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60B4">
      <w:pPr>
        <w:autoSpaceDE w:val="0"/>
        <w:autoSpaceDN w:val="0"/>
        <w:adjustRightInd w:val="0"/>
        <w:spacing w:line="240" w:lineRule="atLeast"/>
        <w:ind w:right="924"/>
        <w:rPr>
          <w:rFonts w:ascii="宋体" w:hAnsi="宋体"/>
          <w:b/>
          <w:bCs/>
          <w:color w:val="auto"/>
          <w:kern w:val="0"/>
          <w:sz w:val="52"/>
          <w:szCs w:val="52"/>
          <w:highlight w:val="none"/>
        </w:rPr>
      </w:pPr>
      <w:bookmarkStart w:id="10" w:name="_GoBack"/>
    </w:p>
    <w:p w14:paraId="58E73A2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highlight w:val="none"/>
        </w:rPr>
      </w:pPr>
      <w:r>
        <w:rPr>
          <w:rFonts w:hint="eastAsia" w:ascii="宋体"/>
          <w:b/>
          <w:color w:val="auto"/>
          <w:kern w:val="0"/>
          <w:sz w:val="52"/>
          <w:highlight w:val="none"/>
        </w:rPr>
        <w:t>　　竞争性谈判文件</w:t>
      </w:r>
    </w:p>
    <w:p w14:paraId="73654C6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highlight w:val="none"/>
          <w:lang w:eastAsia="zh-CN"/>
        </w:rPr>
      </w:pPr>
    </w:p>
    <w:p w14:paraId="11942E6F">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color w:val="auto"/>
          <w:kern w:val="0"/>
          <w:sz w:val="28"/>
          <w:highlight w:val="none"/>
          <w:lang w:eastAsia="zh-CN"/>
        </w:rPr>
      </w:pPr>
      <w:r>
        <w:rPr>
          <w:rFonts w:hint="eastAsia" w:ascii="宋体"/>
          <w:color w:val="auto"/>
          <w:kern w:val="0"/>
          <w:sz w:val="28"/>
          <w:highlight w:val="none"/>
          <w:lang w:eastAsia="zh-CN"/>
        </w:rPr>
        <w:t>浙欧招备【202</w:t>
      </w:r>
      <w:r>
        <w:rPr>
          <w:rFonts w:hint="eastAsia" w:ascii="宋体"/>
          <w:color w:val="auto"/>
          <w:kern w:val="0"/>
          <w:sz w:val="28"/>
          <w:highlight w:val="none"/>
          <w:lang w:val="en-US" w:eastAsia="zh-CN"/>
        </w:rPr>
        <w:t>5</w:t>
      </w:r>
      <w:r>
        <w:rPr>
          <w:rFonts w:hint="eastAsia" w:ascii="宋体"/>
          <w:color w:val="auto"/>
          <w:kern w:val="0"/>
          <w:sz w:val="28"/>
          <w:highlight w:val="none"/>
          <w:lang w:eastAsia="zh-CN"/>
        </w:rPr>
        <w:t>】</w:t>
      </w:r>
      <w:r>
        <w:rPr>
          <w:rFonts w:hint="eastAsia" w:ascii="宋体"/>
          <w:color w:val="auto"/>
          <w:kern w:val="0"/>
          <w:sz w:val="28"/>
          <w:highlight w:val="none"/>
          <w:lang w:val="en-US" w:eastAsia="zh-CN"/>
        </w:rPr>
        <w:t>038</w:t>
      </w:r>
      <w:r>
        <w:rPr>
          <w:rFonts w:hint="eastAsia" w:ascii="宋体"/>
          <w:color w:val="auto"/>
          <w:kern w:val="0"/>
          <w:sz w:val="28"/>
          <w:highlight w:val="none"/>
          <w:lang w:eastAsia="zh-CN"/>
        </w:rPr>
        <w:t>号</w:t>
      </w:r>
    </w:p>
    <w:p w14:paraId="1D8D16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0ED9873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103D416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44C4AC8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06C703A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0A43594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4B8E0A3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398BACB2">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三门县下湾生活垃圾填埋场地下水、土壤监测项目</w:t>
      </w:r>
    </w:p>
    <w:p w14:paraId="34B79F5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487479C7">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5DF4CC3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563E0F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4D13FB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70A12A99">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highlight w:val="none"/>
        </w:rPr>
      </w:pPr>
    </w:p>
    <w:p w14:paraId="2411CA36">
      <w:pPr>
        <w:pStyle w:val="2"/>
        <w:rPr>
          <w:color w:val="auto"/>
          <w:highlight w:val="none"/>
        </w:rPr>
      </w:pPr>
    </w:p>
    <w:p w14:paraId="335A3A6F">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三门县环境卫生服务中心</w:t>
      </w:r>
    </w:p>
    <w:p w14:paraId="59A29F88">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ascii="宋体"/>
          <w:color w:val="auto"/>
          <w:kern w:val="0"/>
          <w:sz w:val="28"/>
          <w:highlight w:val="none"/>
        </w:rPr>
      </w:pPr>
      <w:r>
        <w:rPr>
          <w:rFonts w:hint="eastAsia" w:ascii="宋体"/>
          <w:color w:val="auto"/>
          <w:kern w:val="0"/>
          <w:sz w:val="28"/>
          <w:highlight w:val="none"/>
        </w:rPr>
        <w:t>代理机构：欧邦工程管理集团有限公司</w:t>
      </w:r>
    </w:p>
    <w:p w14:paraId="5E9CEAFA">
      <w:pPr>
        <w:tabs>
          <w:tab w:val="left" w:pos="720"/>
          <w:tab w:val="left" w:pos="1440"/>
          <w:tab w:val="left" w:pos="2160"/>
          <w:tab w:val="left" w:pos="2880"/>
          <w:tab w:val="left" w:pos="3600"/>
          <w:tab w:val="left" w:pos="4320"/>
          <w:tab w:val="left" w:pos="5040"/>
          <w:tab w:val="left" w:pos="5760"/>
        </w:tabs>
        <w:autoSpaceDE w:val="0"/>
        <w:autoSpaceDN w:val="0"/>
        <w:adjustRightInd w:val="0"/>
        <w:ind w:firstLine="3080" w:firstLineChars="1100"/>
        <w:rPr>
          <w:rFonts w:ascii="宋体"/>
          <w:color w:val="auto"/>
          <w:kern w:val="0"/>
          <w:sz w:val="28"/>
          <w:highlight w:val="none"/>
        </w:rPr>
      </w:pPr>
      <w:r>
        <w:rPr>
          <w:rFonts w:hint="eastAsia" w:ascii="宋体"/>
          <w:color w:val="auto"/>
          <w:kern w:val="0"/>
          <w:sz w:val="28"/>
          <w:highlight w:val="none"/>
          <w:lang w:eastAsia="zh-CN"/>
        </w:rPr>
        <w:t>2025</w:t>
      </w:r>
      <w:r>
        <w:rPr>
          <w:rFonts w:hint="eastAsia" w:ascii="宋体"/>
          <w:color w:val="auto"/>
          <w:kern w:val="0"/>
          <w:sz w:val="28"/>
          <w:highlight w:val="none"/>
        </w:rPr>
        <w:t>年</w:t>
      </w:r>
      <w:r>
        <w:rPr>
          <w:rFonts w:hint="eastAsia" w:ascii="宋体"/>
          <w:color w:val="auto"/>
          <w:kern w:val="0"/>
          <w:sz w:val="28"/>
          <w:highlight w:val="none"/>
          <w:lang w:val="en-US" w:eastAsia="zh-CN"/>
        </w:rPr>
        <w:t>8</w:t>
      </w:r>
      <w:r>
        <w:rPr>
          <w:rFonts w:hint="eastAsia" w:ascii="宋体"/>
          <w:color w:val="auto"/>
          <w:kern w:val="0"/>
          <w:sz w:val="28"/>
          <w:highlight w:val="none"/>
        </w:rPr>
        <w:t>月</w:t>
      </w:r>
    </w:p>
    <w:p w14:paraId="44FB036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14:paraId="504B859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14:paraId="327C808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14:paraId="7EDB42CD">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12591BB4">
      <w:pPr>
        <w:spacing w:line="360" w:lineRule="auto"/>
        <w:ind w:firstLine="703" w:firstLineChars="250"/>
        <w:jc w:val="left"/>
        <w:rPr>
          <w:rFonts w:ascii="宋体" w:hAnsi="宋体"/>
          <w:b/>
          <w:color w:val="auto"/>
          <w:sz w:val="28"/>
          <w:szCs w:val="28"/>
          <w:highlight w:val="none"/>
        </w:rPr>
      </w:pPr>
    </w:p>
    <w:p w14:paraId="17BFCC50">
      <w:pPr>
        <w:spacing w:line="360" w:lineRule="auto"/>
        <w:ind w:firstLine="703" w:firstLineChars="250"/>
        <w:jc w:val="left"/>
        <w:rPr>
          <w:rFonts w:ascii="宋体" w:hAnsi="宋体"/>
          <w:b/>
          <w:color w:val="auto"/>
          <w:sz w:val="28"/>
          <w:szCs w:val="28"/>
          <w:highlight w:val="none"/>
        </w:rPr>
      </w:pPr>
    </w:p>
    <w:p w14:paraId="3991FDF3">
      <w:pPr>
        <w:ind w:firstLine="703" w:firstLineChars="25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第一章  竞争性谈判采购</w:t>
      </w:r>
      <w:r>
        <w:rPr>
          <w:rFonts w:hint="eastAsia" w:ascii="宋体" w:hAnsi="宋体"/>
          <w:b/>
          <w:color w:val="auto"/>
          <w:sz w:val="28"/>
          <w:szCs w:val="28"/>
          <w:highlight w:val="none"/>
          <w:lang w:eastAsia="zh-CN"/>
        </w:rPr>
        <w:t>公告</w:t>
      </w:r>
    </w:p>
    <w:p w14:paraId="546674D5">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第二章　供应商须知</w:t>
      </w:r>
    </w:p>
    <w:p w14:paraId="10D7F28E">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第三章　谈判内容</w:t>
      </w:r>
    </w:p>
    <w:p w14:paraId="75E8B3FC">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第四章  采购合同主要条款指引</w:t>
      </w:r>
    </w:p>
    <w:p w14:paraId="21353620">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第五章  响应文件格式附件</w:t>
      </w:r>
    </w:p>
    <w:p w14:paraId="7A4BBFEB">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313BD626">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highlight w:val="none"/>
        </w:rPr>
      </w:pPr>
    </w:p>
    <w:p w14:paraId="7D1085AC">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7F4998C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3638CE9">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CAEE9E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F007E8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CAD6197">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71B5872">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947BF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6F4C5B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49A9149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14:paraId="59F54D3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r>
        <w:rPr>
          <w:rFonts w:hint="eastAsia" w:ascii="宋体"/>
          <w:b/>
          <w:color w:val="auto"/>
          <w:kern w:val="0"/>
          <w:sz w:val="36"/>
          <w:highlight w:val="none"/>
        </w:rPr>
        <w:br w:type="page"/>
      </w:r>
    </w:p>
    <w:p w14:paraId="66351390">
      <w:pPr>
        <w:pStyle w:val="33"/>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hint="eastAsia" w:ascii="宋体" w:hAnsi="宋体" w:eastAsia="宋体"/>
          <w:b/>
          <w:color w:val="auto"/>
          <w:kern w:val="0"/>
          <w:sz w:val="36"/>
          <w:szCs w:val="36"/>
          <w:highlight w:val="none"/>
          <w:lang w:eastAsia="zh-CN"/>
        </w:rPr>
      </w:pPr>
      <w:r>
        <w:rPr>
          <w:rFonts w:hint="eastAsia" w:ascii="宋体" w:hAnsi="宋体"/>
          <w:b/>
          <w:color w:val="auto"/>
          <w:kern w:val="0"/>
          <w:sz w:val="36"/>
          <w:szCs w:val="36"/>
          <w:highlight w:val="none"/>
          <w:lang w:eastAsia="zh-CN"/>
        </w:rPr>
        <w:t>第一章</w:t>
      </w:r>
    </w:p>
    <w:p w14:paraId="127229FE">
      <w:pPr>
        <w:pStyle w:val="33"/>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ascii="宋体" w:hAnsi="宋体"/>
          <w:b/>
          <w:color w:val="auto"/>
          <w:kern w:val="0"/>
          <w:sz w:val="36"/>
          <w:szCs w:val="36"/>
          <w:highlight w:val="none"/>
        </w:rPr>
      </w:pPr>
      <w:r>
        <w:rPr>
          <w:rFonts w:hint="eastAsia" w:ascii="宋体" w:hAnsi="宋体"/>
          <w:b/>
          <w:color w:val="auto"/>
          <w:kern w:val="0"/>
          <w:sz w:val="36"/>
          <w:szCs w:val="36"/>
          <w:highlight w:val="none"/>
        </w:rPr>
        <w:t>竞争性谈判采购</w:t>
      </w:r>
      <w:r>
        <w:rPr>
          <w:rFonts w:hint="eastAsia" w:ascii="宋体" w:hAnsi="宋体"/>
          <w:b/>
          <w:color w:val="auto"/>
          <w:kern w:val="0"/>
          <w:sz w:val="36"/>
          <w:szCs w:val="36"/>
          <w:highlight w:val="none"/>
          <w:lang w:eastAsia="zh-CN"/>
        </w:rPr>
        <w:t>公告</w:t>
      </w:r>
    </w:p>
    <w:p w14:paraId="1C842F4C">
      <w:pPr>
        <w:tabs>
          <w:tab w:val="left" w:pos="180"/>
          <w:tab w:val="left" w:pos="360"/>
          <w:tab w:val="left" w:pos="540"/>
          <w:tab w:val="left" w:pos="8280"/>
        </w:tabs>
        <w:autoSpaceDE w:val="0"/>
        <w:autoSpaceDN w:val="0"/>
        <w:adjustRightInd w:val="0"/>
        <w:spacing w:line="360" w:lineRule="auto"/>
        <w:ind w:right="23" w:firstLine="480" w:firstLineChars="200"/>
        <w:rPr>
          <w:rFonts w:ascii="宋体"/>
          <w:color w:val="auto"/>
          <w:kern w:val="0"/>
          <w:sz w:val="24"/>
          <w:highlight w:val="none"/>
        </w:rPr>
      </w:pPr>
      <w:r>
        <w:rPr>
          <w:rFonts w:hint="eastAsia" w:ascii="宋体"/>
          <w:color w:val="auto"/>
          <w:kern w:val="0"/>
          <w:sz w:val="24"/>
          <w:highlight w:val="none"/>
        </w:rPr>
        <w:t>根据</w:t>
      </w:r>
      <w:r>
        <w:rPr>
          <w:rFonts w:hint="eastAsia" w:ascii="宋体"/>
          <w:color w:val="auto"/>
          <w:kern w:val="0"/>
          <w:sz w:val="24"/>
          <w:highlight w:val="none"/>
          <w:lang w:eastAsia="zh-CN"/>
        </w:rPr>
        <w:t>相关法律法规的</w:t>
      </w:r>
      <w:r>
        <w:rPr>
          <w:rFonts w:hint="eastAsia" w:ascii="宋体"/>
          <w:color w:val="auto"/>
          <w:kern w:val="0"/>
          <w:sz w:val="24"/>
          <w:highlight w:val="none"/>
        </w:rPr>
        <w:t>规定</w:t>
      </w:r>
      <w:r>
        <w:rPr>
          <w:rFonts w:ascii="宋体"/>
          <w:color w:val="auto"/>
          <w:kern w:val="0"/>
          <w:sz w:val="24"/>
          <w:highlight w:val="none"/>
        </w:rPr>
        <w:t xml:space="preserve">, </w:t>
      </w:r>
      <w:r>
        <w:rPr>
          <w:rFonts w:hint="eastAsia" w:ascii="宋体"/>
          <w:color w:val="auto"/>
          <w:kern w:val="0"/>
          <w:sz w:val="24"/>
          <w:highlight w:val="none"/>
        </w:rPr>
        <w:t>受采购人的委托，现就</w:t>
      </w:r>
      <w:r>
        <w:rPr>
          <w:rFonts w:hint="eastAsia" w:ascii="宋体"/>
          <w:color w:val="auto"/>
          <w:kern w:val="0"/>
          <w:sz w:val="24"/>
          <w:highlight w:val="none"/>
          <w:lang w:eastAsia="zh-CN"/>
        </w:rPr>
        <w:t>三门县下湾生活垃圾填埋场地下水、土壤监测项目</w:t>
      </w:r>
      <w:r>
        <w:rPr>
          <w:rFonts w:hint="eastAsia" w:ascii="宋体"/>
          <w:color w:val="auto"/>
          <w:kern w:val="0"/>
          <w:sz w:val="24"/>
          <w:highlight w:val="none"/>
        </w:rPr>
        <w:t>进行竞争性谈判采购</w:t>
      </w:r>
      <w:r>
        <w:rPr>
          <w:rFonts w:hint="eastAsia" w:ascii="宋体" w:hAnsi="宋体"/>
          <w:color w:val="auto"/>
          <w:kern w:val="0"/>
          <w:sz w:val="24"/>
          <w:highlight w:val="none"/>
        </w:rPr>
        <w:t>，欢迎合格供应商前来</w:t>
      </w:r>
      <w:r>
        <w:rPr>
          <w:rFonts w:hint="eastAsia"/>
          <w:color w:val="auto"/>
          <w:sz w:val="24"/>
          <w:highlight w:val="none"/>
        </w:rPr>
        <w:t>洽谈</w:t>
      </w:r>
      <w:r>
        <w:rPr>
          <w:rFonts w:hint="eastAsia" w:ascii="宋体" w:hAnsi="宋体"/>
          <w:color w:val="auto"/>
          <w:kern w:val="0"/>
          <w:sz w:val="24"/>
          <w:highlight w:val="none"/>
        </w:rPr>
        <w:t>。</w:t>
      </w:r>
    </w:p>
    <w:p w14:paraId="38EFC778">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color w:val="auto"/>
          <w:kern w:val="0"/>
          <w:sz w:val="24"/>
          <w:highlight w:val="none"/>
        </w:rPr>
      </w:pPr>
      <w:r>
        <w:rPr>
          <w:rFonts w:hint="eastAsia" w:ascii="宋体"/>
          <w:b/>
          <w:color w:val="auto"/>
          <w:kern w:val="0"/>
          <w:sz w:val="24"/>
          <w:highlight w:val="none"/>
        </w:rPr>
        <w:t>一、项目编号：</w:t>
      </w:r>
      <w:r>
        <w:rPr>
          <w:rFonts w:hint="eastAsia" w:ascii="宋体"/>
          <w:color w:val="auto"/>
          <w:kern w:val="0"/>
          <w:sz w:val="24"/>
          <w:highlight w:val="none"/>
        </w:rPr>
        <w:t>浙欧招备【</w:t>
      </w:r>
      <w:r>
        <w:rPr>
          <w:rFonts w:hint="eastAsia" w:ascii="宋体"/>
          <w:color w:val="auto"/>
          <w:kern w:val="0"/>
          <w:sz w:val="24"/>
          <w:highlight w:val="none"/>
          <w:lang w:eastAsia="zh-CN"/>
        </w:rPr>
        <w:t>2025</w:t>
      </w:r>
      <w:r>
        <w:rPr>
          <w:rFonts w:hint="eastAsia" w:ascii="宋体"/>
          <w:color w:val="auto"/>
          <w:kern w:val="0"/>
          <w:sz w:val="24"/>
          <w:highlight w:val="none"/>
        </w:rPr>
        <w:t>】</w:t>
      </w:r>
      <w:r>
        <w:rPr>
          <w:rFonts w:hint="eastAsia" w:ascii="宋体"/>
          <w:color w:val="auto"/>
          <w:kern w:val="0"/>
          <w:sz w:val="24"/>
          <w:highlight w:val="none"/>
          <w:lang w:val="en-US" w:eastAsia="zh-CN"/>
        </w:rPr>
        <w:t>038</w:t>
      </w:r>
      <w:r>
        <w:rPr>
          <w:rFonts w:hint="eastAsia" w:ascii="宋体"/>
          <w:color w:val="auto"/>
          <w:kern w:val="0"/>
          <w:sz w:val="24"/>
          <w:highlight w:val="none"/>
        </w:rPr>
        <w:t>号</w:t>
      </w:r>
    </w:p>
    <w:p w14:paraId="6B3E9DB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b/>
          <w:color w:val="auto"/>
          <w:kern w:val="0"/>
          <w:sz w:val="24"/>
          <w:highlight w:val="none"/>
        </w:rPr>
      </w:pPr>
      <w:r>
        <w:rPr>
          <w:rFonts w:hint="eastAsia" w:ascii="宋体"/>
          <w:b/>
          <w:color w:val="auto"/>
          <w:kern w:val="0"/>
          <w:sz w:val="24"/>
          <w:highlight w:val="none"/>
        </w:rPr>
        <w:t>二、谈判内容：</w:t>
      </w:r>
    </w:p>
    <w:tbl>
      <w:tblPr>
        <w:tblStyle w:val="27"/>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704"/>
        <w:gridCol w:w="765"/>
        <w:gridCol w:w="1635"/>
        <w:gridCol w:w="1815"/>
      </w:tblGrid>
      <w:tr w14:paraId="2BB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53" w:type="dxa"/>
            <w:vAlign w:val="center"/>
          </w:tcPr>
          <w:p w14:paraId="063097E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项目名称</w:t>
            </w:r>
          </w:p>
        </w:tc>
        <w:tc>
          <w:tcPr>
            <w:tcW w:w="704" w:type="dxa"/>
            <w:vAlign w:val="center"/>
          </w:tcPr>
          <w:p w14:paraId="784F6BAA">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数量</w:t>
            </w:r>
          </w:p>
        </w:tc>
        <w:tc>
          <w:tcPr>
            <w:tcW w:w="765" w:type="dxa"/>
            <w:vAlign w:val="center"/>
          </w:tcPr>
          <w:p w14:paraId="457410E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单位</w:t>
            </w:r>
          </w:p>
        </w:tc>
        <w:tc>
          <w:tcPr>
            <w:tcW w:w="1635" w:type="dxa"/>
            <w:vAlign w:val="center"/>
          </w:tcPr>
          <w:p w14:paraId="669B4CA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b/>
                <w:color w:val="auto"/>
                <w:sz w:val="24"/>
                <w:highlight w:val="none"/>
                <w:lang w:eastAsia="zh-CN"/>
              </w:rPr>
            </w:pPr>
            <w:r>
              <w:rPr>
                <w:rFonts w:hint="eastAsia" w:ascii="宋体" w:hAnsi="宋体"/>
                <w:b/>
                <w:color w:val="auto"/>
                <w:sz w:val="24"/>
                <w:highlight w:val="none"/>
                <w:lang w:eastAsia="zh-CN"/>
              </w:rPr>
              <w:t>最高限价</w:t>
            </w:r>
          </w:p>
          <w:p w14:paraId="00EF9F4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highlight w:val="none"/>
              </w:rPr>
            </w:pPr>
            <w:r>
              <w:rPr>
                <w:rFonts w:hint="eastAsia" w:ascii="宋体" w:hAnsi="宋体"/>
                <w:b/>
                <w:color w:val="auto"/>
                <w:sz w:val="24"/>
                <w:highlight w:val="none"/>
              </w:rPr>
              <w:t>（万元）</w:t>
            </w:r>
          </w:p>
        </w:tc>
        <w:tc>
          <w:tcPr>
            <w:tcW w:w="1815" w:type="dxa"/>
            <w:vAlign w:val="center"/>
          </w:tcPr>
          <w:p w14:paraId="7A56BE2D">
            <w:pPr>
              <w:keepNext w:val="0"/>
              <w:keepLines w:val="0"/>
              <w:pageBreakBefore w:val="0"/>
              <w:tabs>
                <w:tab w:val="left" w:pos="8280"/>
              </w:tabs>
              <w:kinsoku/>
              <w:wordWrap/>
              <w:overflowPunct/>
              <w:topLinePunct w:val="0"/>
              <w:autoSpaceDE w:val="0"/>
              <w:autoSpaceDN w:val="0"/>
              <w:bidi w:val="0"/>
              <w:adjustRightInd w:val="0"/>
              <w:spacing w:line="360" w:lineRule="exact"/>
              <w:ind w:right="25" w:firstLine="240"/>
              <w:jc w:val="center"/>
              <w:textAlignment w:val="auto"/>
              <w:rPr>
                <w:rFonts w:ascii="宋体" w:hAnsi="宋体"/>
                <w:b/>
                <w:color w:val="auto"/>
                <w:sz w:val="24"/>
                <w:highlight w:val="none"/>
              </w:rPr>
            </w:pPr>
            <w:r>
              <w:rPr>
                <w:rFonts w:hint="eastAsia" w:ascii="宋体" w:hAnsi="宋体"/>
                <w:b/>
                <w:color w:val="auto"/>
                <w:sz w:val="24"/>
                <w:highlight w:val="none"/>
                <w:lang w:eastAsia="zh-CN"/>
              </w:rPr>
              <w:t>服务</w:t>
            </w:r>
            <w:r>
              <w:rPr>
                <w:rFonts w:hint="eastAsia" w:ascii="宋体" w:hAnsi="宋体"/>
                <w:b/>
                <w:color w:val="auto"/>
                <w:sz w:val="24"/>
                <w:highlight w:val="none"/>
              </w:rPr>
              <w:t>期</w:t>
            </w:r>
          </w:p>
        </w:tc>
      </w:tr>
      <w:tr w14:paraId="6AB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753" w:type="dxa"/>
            <w:vAlign w:val="center"/>
          </w:tcPr>
          <w:p w14:paraId="31BD6226">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highlight w:val="none"/>
                <w:lang w:eastAsia="zh-CN"/>
              </w:rPr>
            </w:pPr>
            <w:r>
              <w:rPr>
                <w:rFonts w:hint="eastAsia" w:ascii="宋体"/>
                <w:color w:val="auto"/>
                <w:kern w:val="0"/>
                <w:sz w:val="24"/>
                <w:highlight w:val="none"/>
                <w:lang w:eastAsia="zh-CN"/>
              </w:rPr>
              <w:t>三门县下湾生活垃圾填埋场地下水、土壤监测项目</w:t>
            </w:r>
          </w:p>
        </w:tc>
        <w:tc>
          <w:tcPr>
            <w:tcW w:w="704" w:type="dxa"/>
            <w:vAlign w:val="center"/>
          </w:tcPr>
          <w:p w14:paraId="1BEBE24E">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highlight w:val="none"/>
              </w:rPr>
            </w:pPr>
            <w:r>
              <w:rPr>
                <w:rFonts w:hint="eastAsia" w:ascii="宋体" w:hAnsi="宋体"/>
                <w:color w:val="auto"/>
                <w:sz w:val="24"/>
                <w:highlight w:val="none"/>
              </w:rPr>
              <w:t>1</w:t>
            </w:r>
          </w:p>
        </w:tc>
        <w:tc>
          <w:tcPr>
            <w:tcW w:w="765" w:type="dxa"/>
            <w:vAlign w:val="center"/>
          </w:tcPr>
          <w:p w14:paraId="2BB5B81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highlight w:val="none"/>
              </w:rPr>
            </w:pPr>
            <w:r>
              <w:rPr>
                <w:rFonts w:hint="eastAsia" w:ascii="宋体" w:hAnsi="宋体"/>
                <w:color w:val="auto"/>
                <w:sz w:val="24"/>
                <w:highlight w:val="none"/>
              </w:rPr>
              <w:t>项</w:t>
            </w:r>
          </w:p>
        </w:tc>
        <w:tc>
          <w:tcPr>
            <w:tcW w:w="1635" w:type="dxa"/>
            <w:vAlign w:val="center"/>
          </w:tcPr>
          <w:p w14:paraId="3EE64FB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29</w:t>
            </w:r>
          </w:p>
        </w:tc>
        <w:tc>
          <w:tcPr>
            <w:tcW w:w="1815" w:type="dxa"/>
            <w:vAlign w:val="center"/>
          </w:tcPr>
          <w:p w14:paraId="7549F09D">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highlight w:val="none"/>
                <w:lang w:eastAsia="zh-CN"/>
              </w:rPr>
            </w:pPr>
            <w:r>
              <w:rPr>
                <w:rFonts w:hint="eastAsia"/>
                <w:color w:val="auto"/>
                <w:highlight w:val="none"/>
                <w:lang w:val="en-US" w:eastAsia="zh-CN"/>
              </w:rPr>
              <w:t>2025年8月—2026年7月</w:t>
            </w:r>
          </w:p>
        </w:tc>
      </w:tr>
    </w:tbl>
    <w:p w14:paraId="03E6F6F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highlight w:val="none"/>
        </w:rPr>
      </w:pPr>
      <w:r>
        <w:rPr>
          <w:rFonts w:hint="eastAsia"/>
          <w:b/>
          <w:color w:val="auto"/>
          <w:sz w:val="24"/>
          <w:highlight w:val="none"/>
        </w:rPr>
        <w:t>三、合格谈判供应商的资格条件：</w:t>
      </w:r>
    </w:p>
    <w:p w14:paraId="2D9A6C7A">
      <w:pPr>
        <w:pStyle w:val="33"/>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olor w:val="auto"/>
          <w:sz w:val="24"/>
          <w:highlight w:val="none"/>
        </w:rPr>
        <w:t>投标人资格：</w:t>
      </w:r>
      <w:r>
        <w:rPr>
          <w:rFonts w:hint="eastAsia" w:ascii="宋体" w:hAnsi="宋体"/>
          <w:color w:val="auto"/>
          <w:sz w:val="24"/>
          <w:highlight w:val="none"/>
          <w:lang w:eastAsia="zh-CN"/>
        </w:rPr>
        <w:t>具有本项目服务能力的供应商</w:t>
      </w:r>
      <w:r>
        <w:rPr>
          <w:rFonts w:hint="eastAsia" w:ascii="宋体" w:hAnsi="宋体" w:cs="宋体"/>
          <w:color w:val="auto"/>
          <w:sz w:val="24"/>
          <w:highlight w:val="none"/>
        </w:rPr>
        <w:t>；</w:t>
      </w:r>
    </w:p>
    <w:p w14:paraId="0A4FCD48">
      <w:pPr>
        <w:pStyle w:val="33"/>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）本项目不接受联合体投标。</w:t>
      </w:r>
    </w:p>
    <w:p w14:paraId="00314D4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highlight w:val="none"/>
        </w:rPr>
      </w:pPr>
      <w:r>
        <w:rPr>
          <w:rFonts w:hint="eastAsia" w:ascii="宋体"/>
          <w:b/>
          <w:color w:val="auto"/>
          <w:kern w:val="0"/>
          <w:sz w:val="24"/>
          <w:highlight w:val="none"/>
        </w:rPr>
        <w:t>四、响应文件递交截止时间及谈判开始时间、地点：</w:t>
      </w:r>
    </w:p>
    <w:p w14:paraId="5369566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0" w:firstLineChars="200"/>
        <w:jc w:val="left"/>
        <w:textAlignment w:val="auto"/>
        <w:rPr>
          <w:rFonts w:ascii="宋体" w:hAnsi="宋体" w:cs="宋体"/>
          <w:color w:val="auto"/>
          <w:kern w:val="0"/>
          <w:sz w:val="24"/>
          <w:highlight w:val="none"/>
        </w:rPr>
      </w:pPr>
      <w:r>
        <w:rPr>
          <w:rFonts w:hint="eastAsia" w:ascii="宋体" w:hAnsi="宋体" w:cs="Arial"/>
          <w:color w:val="auto"/>
          <w:sz w:val="24"/>
          <w:highlight w:val="none"/>
        </w:rPr>
        <w:t>5.1本次谈判</w:t>
      </w:r>
      <w:r>
        <w:rPr>
          <w:rFonts w:hint="eastAsia" w:ascii="宋体" w:hAnsi="宋体" w:cs="宋体"/>
          <w:color w:val="auto"/>
          <w:kern w:val="0"/>
          <w:sz w:val="24"/>
          <w:highlight w:val="none"/>
        </w:rPr>
        <w:t>标文件递交的截</w:t>
      </w:r>
      <w:r>
        <w:rPr>
          <w:rFonts w:hint="eastAsia" w:ascii="宋体" w:hAnsi="宋体" w:cs="宋体"/>
          <w:color w:val="auto"/>
          <w:kern w:val="0"/>
          <w:sz w:val="24"/>
          <w:highlight w:val="none"/>
        </w:rPr>
        <w:t>止时间（投标截止时间，下同</w:t>
      </w:r>
      <w:r>
        <w:rPr>
          <w:rFonts w:hint="eastAsia" w:ascii="宋体" w:hAnsi="宋体" w:cs="宋体"/>
          <w:color w:val="auto"/>
          <w:kern w:val="0"/>
          <w:sz w:val="24"/>
          <w:highlight w:val="none"/>
        </w:rPr>
        <w:t>）</w:t>
      </w:r>
      <w:r>
        <w:rPr>
          <w:rFonts w:hint="eastAsia" w:ascii="宋体" w:hAnsi="宋体" w:cs="宋体"/>
          <w:color w:val="auto"/>
          <w:kern w:val="0"/>
          <w:sz w:val="24"/>
          <w:highlight w:val="none"/>
        </w:rPr>
        <w:t>为</w:t>
      </w:r>
      <w:r>
        <w:rPr>
          <w:rFonts w:hint="eastAsia" w:ascii="宋体" w:hAnsi="宋体" w:cs="宋体"/>
          <w:color w:val="auto"/>
          <w:kern w:val="0"/>
          <w:sz w:val="24"/>
          <w:highlight w:val="none"/>
          <w:lang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8月28日上</w:t>
      </w:r>
      <w:r>
        <w:rPr>
          <w:rFonts w:hint="eastAsia" w:ascii="宋体" w:hAnsi="宋体" w:cs="宋体"/>
          <w:color w:val="auto"/>
          <w:kern w:val="0"/>
          <w:sz w:val="24"/>
          <w:highlight w:val="none"/>
          <w:lang w:eastAsia="zh-CN"/>
        </w:rPr>
        <w:t>午</w:t>
      </w:r>
      <w:r>
        <w:rPr>
          <w:rFonts w:hint="eastAsia" w:ascii="宋体" w:hAnsi="宋体" w:cs="宋体"/>
          <w:color w:val="auto"/>
          <w:kern w:val="0"/>
          <w:sz w:val="24"/>
          <w:highlight w:val="none"/>
          <w:lang w:val="en-US" w:eastAsia="zh-CN"/>
        </w:rPr>
        <w:t>9：00</w:t>
      </w:r>
      <w:r>
        <w:rPr>
          <w:rFonts w:hint="eastAsia" w:ascii="宋体" w:hAnsi="宋体" w:cs="宋体"/>
          <w:color w:val="auto"/>
          <w:kern w:val="0"/>
          <w:sz w:val="24"/>
          <w:highlight w:val="none"/>
        </w:rPr>
        <w:t>时，地点为</w:t>
      </w:r>
      <w:bookmarkStart w:id="0" w:name="_Toc221949936"/>
      <w:r>
        <w:rPr>
          <w:rFonts w:hint="eastAsia" w:ascii="宋体" w:hAnsi="宋体" w:cs="宋体"/>
          <w:color w:val="auto"/>
          <w:kern w:val="0"/>
          <w:sz w:val="24"/>
          <w:highlight w:val="none"/>
          <w:u w:val="single"/>
          <w:lang w:eastAsia="zh-CN"/>
        </w:rPr>
        <w:t>三门县综合行政执法局三楼会议室</w:t>
      </w:r>
      <w:r>
        <w:rPr>
          <w:rFonts w:hint="eastAsia" w:ascii="宋体" w:hAnsi="宋体" w:cs="宋体"/>
          <w:color w:val="auto"/>
          <w:kern w:val="0"/>
          <w:sz w:val="24"/>
          <w:highlight w:val="none"/>
        </w:rPr>
        <w:t>。</w:t>
      </w:r>
    </w:p>
    <w:p w14:paraId="78194D5D">
      <w:pPr>
        <w:keepNext w:val="0"/>
        <w:keepLines w:val="0"/>
        <w:pageBreakBefore w:val="0"/>
        <w:widowControl/>
        <w:kinsoku/>
        <w:wordWrap/>
        <w:overflowPunct/>
        <w:topLinePunct w:val="0"/>
        <w:bidi w:val="0"/>
        <w:adjustRightInd w:val="0"/>
        <w:snapToGrid w:val="0"/>
        <w:spacing w:line="3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5.2</w:t>
      </w:r>
      <w:bookmarkEnd w:id="0"/>
      <w:r>
        <w:rPr>
          <w:rFonts w:hint="eastAsia" w:ascii="宋体" w:hAnsi="宋体" w:cs="宋体"/>
          <w:color w:val="auto"/>
          <w:kern w:val="0"/>
          <w:sz w:val="24"/>
          <w:highlight w:val="none"/>
        </w:rPr>
        <w:t>逾期送达的或者未送达指定地点的投标文件，招标人不予受理。</w:t>
      </w:r>
    </w:p>
    <w:p w14:paraId="5829082E">
      <w:pPr>
        <w:keepNext w:val="0"/>
        <w:keepLines w:val="0"/>
        <w:pageBreakBefore w:val="0"/>
        <w:kinsoku/>
        <w:wordWrap/>
        <w:overflowPunct/>
        <w:topLinePunct w:val="0"/>
        <w:bidi w:val="0"/>
        <w:spacing w:line="360" w:lineRule="exact"/>
        <w:ind w:firstLine="590" w:firstLineChars="24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五、联系方式：</w:t>
      </w:r>
    </w:p>
    <w:p w14:paraId="77321788">
      <w:pPr>
        <w:keepNext w:val="0"/>
        <w:keepLines w:val="0"/>
        <w:pageBreakBefore w:val="0"/>
        <w:kinsoku/>
        <w:wordWrap/>
        <w:overflowPunct/>
        <w:topLinePunct w:val="0"/>
        <w:bidi w:val="0"/>
        <w:spacing w:line="360" w:lineRule="exact"/>
        <w:ind w:firstLine="472" w:firstLineChars="196"/>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14:paraId="60C71514">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w:t>
      </w:r>
      <w:r>
        <w:rPr>
          <w:rFonts w:hint="eastAsia" w:cs="Arial" w:asciiTheme="minorEastAsia" w:hAnsiTheme="minorEastAsia" w:eastAsiaTheme="minorEastAsia"/>
          <w:color w:val="auto"/>
          <w:sz w:val="24"/>
          <w:highlight w:val="none"/>
          <w:lang w:eastAsia="zh-CN"/>
        </w:rPr>
        <w:t>倪勇</w:t>
      </w:r>
    </w:p>
    <w:p w14:paraId="2B8CAD60">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联系电话：0576-83321522</w:t>
      </w:r>
    </w:p>
    <w:p w14:paraId="088C1D3D">
      <w:pPr>
        <w:keepNext w:val="0"/>
        <w:keepLines w:val="0"/>
        <w:pageBreakBefore w:val="0"/>
        <w:kinsoku/>
        <w:wordWrap/>
        <w:overflowPunct/>
        <w:topLinePunct w:val="0"/>
        <w:bidi w:val="0"/>
        <w:spacing w:line="360" w:lineRule="exact"/>
        <w:ind w:firstLine="600" w:firstLineChars="25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地址：三门县湫水大道58号</w:t>
      </w:r>
    </w:p>
    <w:p w14:paraId="007AB1AD">
      <w:pPr>
        <w:keepNext w:val="0"/>
        <w:keepLines w:val="0"/>
        <w:pageBreakBefore w:val="0"/>
        <w:kinsoku/>
        <w:wordWrap/>
        <w:overflowPunct/>
        <w:topLinePunct w:val="0"/>
        <w:bidi w:val="0"/>
        <w:snapToGrid w:val="0"/>
        <w:spacing w:line="360" w:lineRule="exact"/>
        <w:ind w:firstLine="602" w:firstLineChars="25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p>
    <w:p w14:paraId="214B18F7">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三门县环境卫生服务中心</w:t>
      </w:r>
    </w:p>
    <w:p w14:paraId="66A0B804">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地址：台州市三门县海游街道环城东路27号</w:t>
      </w:r>
    </w:p>
    <w:p w14:paraId="266E89AC">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王伟强</w:t>
      </w:r>
      <w:r>
        <w:rPr>
          <w:rFonts w:hint="eastAsia" w:cs="Arial" w:asciiTheme="minorEastAsia" w:hAnsiTheme="minorEastAsia" w:eastAsiaTheme="minorEastAsia"/>
          <w:color w:val="auto"/>
          <w:sz w:val="24"/>
          <w:highlight w:val="none"/>
        </w:rPr>
        <w:t xml:space="preserve">      联系电话：15967615151             </w:t>
      </w:r>
      <w:r>
        <w:rPr>
          <w:rFonts w:hint="eastAsia" w:cs="Arial" w:asciiTheme="minorEastAsia" w:hAnsiTheme="minorEastAsia" w:eastAsiaTheme="minorEastAsia"/>
          <w:color w:val="auto"/>
          <w:sz w:val="24"/>
          <w:highlight w:val="none"/>
        </w:rPr>
        <w:t xml:space="preserve">                      </w:t>
      </w:r>
    </w:p>
    <w:p w14:paraId="3B2C7A36">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三门县环境卫生服务中心</w:t>
      </w:r>
    </w:p>
    <w:p w14:paraId="448DBF2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欧邦工程管理集团有限公司</w:t>
      </w:r>
    </w:p>
    <w:p w14:paraId="24D8CFB5">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ascii="宋体"/>
          <w:color w:val="auto"/>
          <w:kern w:val="0"/>
          <w:sz w:val="24"/>
          <w:highlight w:val="none"/>
        </w:rPr>
      </w:pPr>
      <w:r>
        <w:rPr>
          <w:rFonts w:hint="eastAsia" w:ascii="宋体" w:hAnsi="宋体"/>
          <w:color w:val="auto"/>
          <w:sz w:val="24"/>
          <w:highlight w:val="none"/>
          <w:lang w:eastAsia="zh-CN"/>
        </w:rPr>
        <w:t>2025</w:t>
      </w:r>
      <w:r>
        <w:rPr>
          <w:rFonts w:hint="eastAsia" w:ascii="宋体"/>
          <w:color w:val="auto"/>
          <w:kern w:val="0"/>
          <w:sz w:val="24"/>
          <w:highlight w:val="none"/>
        </w:rPr>
        <w:t>年</w:t>
      </w:r>
      <w:r>
        <w:rPr>
          <w:rFonts w:hint="eastAsia" w:ascii="宋体"/>
          <w:color w:val="auto"/>
          <w:kern w:val="0"/>
          <w:sz w:val="24"/>
          <w:highlight w:val="none"/>
          <w:lang w:val="en-US" w:eastAsia="zh-CN"/>
        </w:rPr>
        <w:t>8</w:t>
      </w:r>
      <w:r>
        <w:rPr>
          <w:rFonts w:hint="eastAsia" w:ascii="宋体"/>
          <w:color w:val="auto"/>
          <w:kern w:val="0"/>
          <w:sz w:val="24"/>
          <w:highlight w:val="none"/>
        </w:rPr>
        <w:t>月</w:t>
      </w:r>
      <w:r>
        <w:rPr>
          <w:rFonts w:hint="eastAsia" w:ascii="宋体" w:hAnsi="宋体"/>
          <w:color w:val="auto"/>
          <w:sz w:val="24"/>
          <w:highlight w:val="none"/>
          <w:lang w:val="en-US" w:eastAsia="zh-CN"/>
        </w:rPr>
        <w:t>22</w:t>
      </w:r>
      <w:r>
        <w:rPr>
          <w:rFonts w:hint="eastAsia" w:ascii="宋体"/>
          <w:color w:val="auto"/>
          <w:kern w:val="0"/>
          <w:sz w:val="24"/>
          <w:highlight w:val="none"/>
        </w:rPr>
        <w:t>日</w:t>
      </w:r>
    </w:p>
    <w:p w14:paraId="586C298D">
      <w:pPr>
        <w:snapToGrid w:val="0"/>
        <w:spacing w:line="360" w:lineRule="auto"/>
        <w:jc w:val="cente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br w:type="page"/>
      </w:r>
    </w:p>
    <w:p w14:paraId="775C667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p>
    <w:p w14:paraId="5776F547">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3CC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F253C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74DCFF8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6FDE47E3">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14:paraId="1BA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B1FFA">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266F12B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09EBB6C9">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符合谈判公告资格要求的供应商</w:t>
            </w:r>
          </w:p>
        </w:tc>
      </w:tr>
      <w:tr w14:paraId="692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2B6F13">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5A3B3A2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45FABBE8">
            <w:pPr>
              <w:pStyle w:val="9"/>
              <w:spacing w:line="360" w:lineRule="auto"/>
              <w:rPr>
                <w:rFonts w:asciiTheme="majorEastAsia" w:hAnsiTheme="majorEastAsia" w:eastAsiaTheme="majorEastAsia" w:cstheme="majorEastAsia"/>
                <w:color w:val="auto"/>
                <w:sz w:val="24"/>
                <w:highlight w:val="none"/>
              </w:rPr>
            </w:pPr>
            <w:r>
              <w:rPr>
                <w:rFonts w:hint="eastAsia" w:ascii="宋体" w:hAnsi="宋体" w:cs="Arial" w:eastAsiaTheme="majorEastAsia"/>
                <w:color w:val="auto"/>
                <w:sz w:val="24"/>
                <w:highlight w:val="none"/>
              </w:rPr>
              <w:t>不组织</w:t>
            </w:r>
          </w:p>
        </w:tc>
      </w:tr>
      <w:tr w14:paraId="582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A744F78">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4AD305ED">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55C053DC">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正本</w:t>
            </w:r>
            <w:r>
              <w:rPr>
                <w:rFonts w:hint="eastAsia" w:cs="Arial" w:asciiTheme="minorEastAsia" w:hAnsiTheme="minorEastAsia" w:eastAsiaTheme="minorEastAsia"/>
                <w:color w:val="auto"/>
                <w:sz w:val="24"/>
                <w:highlight w:val="none"/>
              </w:rPr>
              <w:t>一</w:t>
            </w:r>
            <w:r>
              <w:rPr>
                <w:rFonts w:hint="eastAsia" w:asciiTheme="majorEastAsia" w:hAnsiTheme="majorEastAsia" w:eastAsiaTheme="majorEastAsia" w:cstheme="majorEastAsia"/>
                <w:color w:val="auto"/>
                <w:sz w:val="24"/>
                <w:highlight w:val="none"/>
              </w:rPr>
              <w:t>份、副本</w:t>
            </w:r>
            <w:r>
              <w:rPr>
                <w:rFonts w:hint="eastAsia" w:cs="Arial" w:asciiTheme="minorEastAsia" w:hAnsiTheme="minorEastAsia" w:eastAsiaTheme="minorEastAsia"/>
                <w:color w:val="auto"/>
                <w:sz w:val="24"/>
                <w:highlight w:val="none"/>
              </w:rPr>
              <w:t>三</w:t>
            </w:r>
            <w:r>
              <w:rPr>
                <w:rFonts w:hint="eastAsia" w:asciiTheme="majorEastAsia" w:hAnsiTheme="majorEastAsia" w:eastAsiaTheme="majorEastAsia" w:cstheme="majorEastAsia"/>
                <w:color w:val="auto"/>
                <w:sz w:val="24"/>
                <w:highlight w:val="none"/>
              </w:rPr>
              <w:t>份密封包装。</w:t>
            </w:r>
          </w:p>
        </w:tc>
      </w:tr>
      <w:tr w14:paraId="0BF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380FA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51F3DDE5">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14:paraId="7C440422">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谈判响应有效期为谈判后90天，</w:t>
            </w:r>
            <w:r>
              <w:rPr>
                <w:rFonts w:hint="eastAsia" w:asciiTheme="majorEastAsia" w:hAnsiTheme="majorEastAsia" w:eastAsiaTheme="majorEastAsia" w:cstheme="majorEastAsia"/>
                <w:color w:val="auto"/>
                <w:kern w:val="0"/>
                <w:sz w:val="24"/>
                <w:highlight w:val="none"/>
              </w:rPr>
              <w:t>谈判响应有效期从提交谈判响应文件的截止之日起算。</w:t>
            </w:r>
          </w:p>
        </w:tc>
      </w:tr>
      <w:tr w14:paraId="6FF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9498D7">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136AC151">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5D9AAF48">
            <w:pPr>
              <w:spacing w:line="360" w:lineRule="auto"/>
              <w:rPr>
                <w:rFonts w:hint="eastAsia" w:eastAsia="宋体" w:asciiTheme="majorEastAsia" w:hAnsi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截止时间：北京时间</w:t>
            </w:r>
            <w:r>
              <w:rPr>
                <w:rFonts w:hint="eastAsia" w:ascii="宋体" w:hAnsi="宋体" w:cs="宋体" w:eastAsiaTheme="majorEastAsia"/>
                <w:color w:val="auto"/>
                <w:kern w:val="0"/>
                <w:sz w:val="24"/>
                <w:highlight w:val="none"/>
                <w:lang w:eastAsia="zh-CN"/>
              </w:rPr>
              <w:t>2025年8月28日上午9：00时</w:t>
            </w:r>
          </w:p>
          <w:p w14:paraId="74253F79">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递交地点：</w:t>
            </w:r>
            <w:r>
              <w:rPr>
                <w:rFonts w:hint="eastAsia" w:ascii="宋体" w:hAnsi="宋体" w:cs="宋体" w:eastAsiaTheme="majorEastAsia"/>
                <w:color w:val="auto"/>
                <w:kern w:val="0"/>
                <w:sz w:val="24"/>
                <w:highlight w:val="none"/>
                <w:u w:val="single"/>
                <w:lang w:val="en-US" w:eastAsia="zh-CN"/>
              </w:rPr>
              <w:t>三门县综合行政执法局三楼会议室</w:t>
            </w:r>
          </w:p>
          <w:p w14:paraId="041E9DE8">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逾期送达的谈判响应文件恕不接受</w:t>
            </w:r>
          </w:p>
        </w:tc>
      </w:tr>
      <w:tr w14:paraId="413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6462D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65E943B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054F23C2">
            <w:pPr>
              <w:spacing w:line="360" w:lineRule="auto"/>
              <w:rPr>
                <w:rFonts w:hint="eastAsia" w:eastAsia="宋体" w:asciiTheme="majorEastAsia" w:hAnsi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时间：北京时间</w:t>
            </w:r>
            <w:r>
              <w:rPr>
                <w:rFonts w:hint="eastAsia" w:ascii="宋体" w:hAnsi="宋体" w:cs="宋体" w:eastAsiaTheme="majorEastAsia"/>
                <w:color w:val="auto"/>
                <w:kern w:val="0"/>
                <w:sz w:val="24"/>
                <w:highlight w:val="none"/>
                <w:lang w:eastAsia="zh-CN"/>
              </w:rPr>
              <w:t>2025年8月28日上午9：00时</w:t>
            </w:r>
          </w:p>
          <w:p w14:paraId="221530F2">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地点：</w:t>
            </w:r>
            <w:r>
              <w:rPr>
                <w:rFonts w:hint="eastAsia" w:ascii="宋体" w:hAnsi="宋体" w:cs="宋体" w:eastAsiaTheme="majorEastAsia"/>
                <w:color w:val="auto"/>
                <w:kern w:val="0"/>
                <w:sz w:val="24"/>
                <w:highlight w:val="none"/>
                <w:u w:val="single"/>
                <w:lang w:val="en-US" w:eastAsia="zh-CN"/>
              </w:rPr>
              <w:t>三门县综合行政执法局三楼会议室</w:t>
            </w:r>
          </w:p>
        </w:tc>
      </w:tr>
      <w:tr w14:paraId="37C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C2172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14:paraId="0CDC30D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14:paraId="411566D5">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r>
      <w:tr w14:paraId="05E9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0B6BA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14:paraId="2DACD0F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E7CF2BA">
            <w:pPr>
              <w:pStyle w:val="13"/>
              <w:spacing w:line="360" w:lineRule="auto"/>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w:t>
            </w:r>
          </w:p>
        </w:tc>
      </w:tr>
      <w:tr w14:paraId="44B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BB7EA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14:paraId="1F46E86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36D00940">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▲”的条款是实质性条款，谈判响应文件须作出实质性响应，</w:t>
            </w:r>
            <w:r>
              <w:rPr>
                <w:rFonts w:hint="eastAsia" w:ascii="宋体" w:hAnsi="宋体" w:cs="宋体"/>
                <w:bCs/>
                <w:color w:val="auto"/>
                <w:sz w:val="24"/>
                <w:highlight w:val="none"/>
              </w:rPr>
              <w:t>否则作无效响应处理</w:t>
            </w:r>
            <w:r>
              <w:rPr>
                <w:rFonts w:hint="eastAsia" w:asciiTheme="majorEastAsia" w:hAnsiTheme="majorEastAsia" w:eastAsiaTheme="majorEastAsia" w:cstheme="majorEastAsia"/>
                <w:bCs/>
                <w:color w:val="auto"/>
                <w:sz w:val="24"/>
                <w:highlight w:val="none"/>
              </w:rPr>
              <w:t>。</w:t>
            </w:r>
          </w:p>
        </w:tc>
      </w:tr>
      <w:tr w14:paraId="2849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AC403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383F545">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3398738B">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本谈判文件解释权</w:t>
            </w:r>
            <w:r>
              <w:rPr>
                <w:rFonts w:hint="eastAsia" w:ascii="宋体" w:hAnsi="宋体" w:cs="宋体"/>
                <w:bCs/>
                <w:color w:val="auto"/>
                <w:sz w:val="24"/>
                <w:highlight w:val="none"/>
              </w:rPr>
              <w:t>属于采购人和采购代理机构</w:t>
            </w:r>
          </w:p>
        </w:tc>
      </w:tr>
    </w:tbl>
    <w:p w14:paraId="2EB9E768">
      <w:pPr>
        <w:snapToGrid w:val="0"/>
        <w:spacing w:line="360" w:lineRule="auto"/>
        <w:rPr>
          <w:rFonts w:asciiTheme="majorEastAsia" w:hAnsiTheme="majorEastAsia" w:eastAsiaTheme="majorEastAsia"/>
          <w:b/>
          <w:color w:val="auto"/>
          <w:sz w:val="24"/>
          <w:highlight w:val="none"/>
        </w:rPr>
      </w:pPr>
    </w:p>
    <w:p w14:paraId="7E8C37CD">
      <w:pPr>
        <w:snapToGrid w:val="0"/>
        <w:spacing w:line="360" w:lineRule="auto"/>
        <w:rPr>
          <w:rFonts w:asciiTheme="majorEastAsia" w:hAnsiTheme="majorEastAsia" w:eastAsiaTheme="majorEastAsia"/>
          <w:b/>
          <w:color w:val="auto"/>
          <w:sz w:val="24"/>
          <w:highlight w:val="none"/>
        </w:rPr>
      </w:pPr>
    </w:p>
    <w:p w14:paraId="2AFFA52C">
      <w:pPr>
        <w:snapToGrid w:val="0"/>
        <w:spacing w:line="360" w:lineRule="auto"/>
        <w:rPr>
          <w:rFonts w:asciiTheme="majorEastAsia" w:hAnsiTheme="majorEastAsia" w:eastAsiaTheme="majorEastAsia"/>
          <w:b/>
          <w:color w:val="auto"/>
          <w:sz w:val="24"/>
          <w:highlight w:val="none"/>
        </w:rPr>
      </w:pPr>
    </w:p>
    <w:p w14:paraId="5E99C211">
      <w:pPr>
        <w:snapToGrid w:val="0"/>
        <w:spacing w:line="360" w:lineRule="auto"/>
        <w:rPr>
          <w:rFonts w:asciiTheme="majorEastAsia" w:hAnsiTheme="majorEastAsia" w:eastAsiaTheme="majorEastAsia"/>
          <w:b/>
          <w:color w:val="auto"/>
          <w:sz w:val="24"/>
          <w:highlight w:val="none"/>
        </w:rPr>
      </w:pPr>
    </w:p>
    <w:p w14:paraId="4AD9552C">
      <w:pPr>
        <w:snapToGrid w:val="0"/>
        <w:spacing w:line="360" w:lineRule="auto"/>
        <w:rPr>
          <w:rFonts w:asciiTheme="majorEastAsia" w:hAnsiTheme="majorEastAsia" w:eastAsiaTheme="majorEastAsia"/>
          <w:b/>
          <w:color w:val="auto"/>
          <w:sz w:val="24"/>
          <w:highlight w:val="none"/>
        </w:rPr>
      </w:pPr>
    </w:p>
    <w:p w14:paraId="562FA5E9">
      <w:pPr>
        <w:snapToGrid w:val="0"/>
        <w:spacing w:line="360" w:lineRule="auto"/>
        <w:rPr>
          <w:rFonts w:asciiTheme="majorEastAsia" w:hAnsiTheme="majorEastAsia" w:eastAsiaTheme="majorEastAsia"/>
          <w:b/>
          <w:color w:val="auto"/>
          <w:sz w:val="24"/>
          <w:highlight w:val="none"/>
        </w:rPr>
      </w:pPr>
    </w:p>
    <w:p w14:paraId="7C24F5BB">
      <w:pPr>
        <w:snapToGrid w:val="0"/>
        <w:spacing w:line="360" w:lineRule="auto"/>
        <w:rPr>
          <w:rFonts w:asciiTheme="majorEastAsia" w:hAnsiTheme="majorEastAsia" w:eastAsiaTheme="majorEastAsia"/>
          <w:b/>
          <w:color w:val="auto"/>
          <w:sz w:val="24"/>
          <w:highlight w:val="none"/>
        </w:rPr>
      </w:pPr>
    </w:p>
    <w:p w14:paraId="0233DC86">
      <w:pPr>
        <w:pStyle w:val="12"/>
        <w:snapToGrid w:val="0"/>
        <w:spacing w:before="120" w:after="120" w:line="360" w:lineRule="auto"/>
        <w:rPr>
          <w:rFonts w:hAnsi="宋体"/>
          <w:b/>
          <w:color w:val="auto"/>
          <w:sz w:val="24"/>
          <w:highlight w:val="none"/>
        </w:rPr>
      </w:pPr>
      <w:r>
        <w:rPr>
          <w:rFonts w:hint="eastAsia" w:hAnsi="宋体"/>
          <w:b/>
          <w:color w:val="auto"/>
          <w:sz w:val="24"/>
          <w:highlight w:val="none"/>
        </w:rPr>
        <w:t>一 、总  则</w:t>
      </w:r>
    </w:p>
    <w:p w14:paraId="69CBB682">
      <w:pPr>
        <w:numPr>
          <w:ilvl w:val="0"/>
          <w:numId w:val="2"/>
        </w:numPr>
        <w:snapToGrid w:val="0"/>
        <w:spacing w:line="360" w:lineRule="auto"/>
        <w:ind w:firstLine="472" w:firstLineChars="196"/>
        <w:jc w:val="left"/>
        <w:outlineLvl w:val="1"/>
        <w:rPr>
          <w:rFonts w:ascii="宋体" w:hAnsi="宋体"/>
          <w:b/>
          <w:color w:val="auto"/>
          <w:sz w:val="24"/>
          <w:highlight w:val="none"/>
        </w:rPr>
      </w:pPr>
      <w:r>
        <w:rPr>
          <w:rFonts w:ascii="宋体" w:hAnsi="宋体"/>
          <w:b/>
          <w:color w:val="auto"/>
          <w:sz w:val="24"/>
          <w:highlight w:val="none"/>
        </w:rPr>
        <w:t>适用范围</w:t>
      </w:r>
    </w:p>
    <w:p w14:paraId="66694B10">
      <w:pPr>
        <w:snapToGrid w:val="0"/>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本谈判文件适用于</w:t>
      </w:r>
      <w:r>
        <w:rPr>
          <w:rFonts w:hint="eastAsia" w:ascii="宋体" w:hAnsi="宋体"/>
          <w:bCs/>
          <w:color w:val="auto"/>
          <w:sz w:val="24"/>
          <w:highlight w:val="none"/>
        </w:rPr>
        <w:t>本次</w:t>
      </w:r>
      <w:r>
        <w:rPr>
          <w:rFonts w:hint="eastAsia" w:ascii="宋体" w:hAnsi="宋体"/>
          <w:color w:val="auto"/>
          <w:sz w:val="24"/>
          <w:highlight w:val="none"/>
        </w:rPr>
        <w:t>项目的</w:t>
      </w:r>
      <w:r>
        <w:rPr>
          <w:rFonts w:hint="eastAsia" w:ascii="宋体" w:hAnsi="宋体"/>
          <w:bCs/>
          <w:color w:val="auto"/>
          <w:sz w:val="24"/>
          <w:highlight w:val="none"/>
        </w:rPr>
        <w:t>谈判、评审、确定成交供应商</w:t>
      </w:r>
      <w:r>
        <w:rPr>
          <w:rFonts w:hint="eastAsia" w:ascii="宋体" w:hAnsi="宋体"/>
          <w:color w:val="auto"/>
          <w:sz w:val="24"/>
          <w:highlight w:val="none"/>
        </w:rPr>
        <w:t>、验收、合同履约、付款等行为（法律、法规另有规定的，从其规定）。</w:t>
      </w:r>
    </w:p>
    <w:p w14:paraId="24555B46">
      <w:pPr>
        <w:snapToGrid w:val="0"/>
        <w:spacing w:before="156" w:beforeLines="50" w:line="360" w:lineRule="auto"/>
        <w:ind w:firstLine="354" w:firstLineChars="147"/>
        <w:jc w:val="left"/>
        <w:outlineLvl w:val="1"/>
        <w:rPr>
          <w:rFonts w:ascii="宋体" w:hAnsi="宋体"/>
          <w:b/>
          <w:color w:val="auto"/>
          <w:sz w:val="24"/>
          <w:highlight w:val="none"/>
        </w:rPr>
      </w:pPr>
      <w:r>
        <w:rPr>
          <w:rFonts w:hint="eastAsia" w:ascii="宋体" w:hAnsi="宋体"/>
          <w:b/>
          <w:color w:val="auto"/>
          <w:sz w:val="24"/>
          <w:highlight w:val="none"/>
        </w:rPr>
        <w:t>（二）定义</w:t>
      </w:r>
    </w:p>
    <w:p w14:paraId="0A727E68">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“采购组织机构”指采购人委托采购代理机构。</w:t>
      </w:r>
    </w:p>
    <w:p w14:paraId="5A8C0EED">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14:paraId="4876B941">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14:paraId="5ED0CDAA">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14:paraId="6197B51F">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是指除货物和工程以外的采购对象，包括各类专业服务、信息网络开发服务、金融保险服务、运输服务，以及维修与维护服务等。</w:t>
      </w:r>
    </w:p>
    <w:p w14:paraId="61426909">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14:paraId="4D842BE8">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14:paraId="53AD6767">
      <w:pPr>
        <w:snapToGrid w:val="0"/>
        <w:spacing w:before="156" w:beforeLines="50"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（三）谈判费用</w:t>
      </w:r>
    </w:p>
    <w:p w14:paraId="75C5517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14:paraId="21A4029E">
      <w:pPr>
        <w:snapToGrid w:val="0"/>
        <w:spacing w:line="360" w:lineRule="auto"/>
        <w:ind w:firstLine="480" w:firstLineChars="20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2、本项目招标代理费5000元，由成交供应商在领取成交通知书前一次性支付给招标代理机构。</w:t>
      </w:r>
    </w:p>
    <w:p w14:paraId="1AC7AB3E">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14:paraId="363E413A">
      <w:pPr>
        <w:pStyle w:val="12"/>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14:paraId="5799C259">
      <w:pPr>
        <w:spacing w:line="360" w:lineRule="auto"/>
        <w:ind w:firstLine="480" w:firstLineChars="200"/>
        <w:rPr>
          <w:rFonts w:ascii="宋体" w:hAnsi="宋体" w:cs="黑体"/>
          <w:color w:val="auto"/>
          <w:sz w:val="24"/>
          <w:highlight w:val="none"/>
        </w:rPr>
      </w:pPr>
      <w:r>
        <w:rPr>
          <w:rFonts w:hint="eastAsia" w:ascii="宋体" w:hAnsi="宋体" w:cs="黑体"/>
          <w:color w:val="auto"/>
          <w:sz w:val="24"/>
          <w:highlight w:val="none"/>
        </w:rPr>
        <w:t>2、供应商</w:t>
      </w:r>
      <w:r>
        <w:rPr>
          <w:rFonts w:hint="eastAsia" w:hAnsi="宋体"/>
          <w:color w:val="auto"/>
          <w:sz w:val="24"/>
          <w:highlight w:val="none"/>
        </w:rPr>
        <w:t>所标产品</w:t>
      </w:r>
      <w:r>
        <w:rPr>
          <w:rFonts w:hint="eastAsia" w:ascii="宋体" w:hAnsi="宋体" w:cs="黑体"/>
          <w:color w:val="auto"/>
          <w:sz w:val="24"/>
          <w:highlight w:val="none"/>
        </w:rPr>
        <w:t>除谈判文件中明确规定要求“提供官网截图或相应检测报告的证明材料”以外，所有技术参数描述均以谈判文件为准。</w:t>
      </w:r>
      <w:r>
        <w:rPr>
          <w:rFonts w:hint="eastAsia" w:ascii="宋体" w:hAnsi="宋体" w:cs="黑体"/>
          <w:b/>
          <w:bCs/>
          <w:color w:val="auto"/>
          <w:sz w:val="24"/>
          <w:highlight w:val="none"/>
        </w:rPr>
        <w:t>谈判供应商对所投产品技术参数的真实性承担法律责任。</w:t>
      </w:r>
      <w:r>
        <w:rPr>
          <w:rFonts w:hint="eastAsia" w:ascii="宋体" w:hAnsi="宋体" w:cs="黑体"/>
          <w:color w:val="auto"/>
          <w:sz w:val="24"/>
          <w:highlight w:val="none"/>
        </w:rPr>
        <w:t>项目谈判结束后、质疑期限内，如有质疑供应商认为成交供应商所投产品、谈判文件技术参数与谈判需求存在重大偏离、错误、甚至造假的情况，应提供具体有效的证明材料。</w:t>
      </w:r>
    </w:p>
    <w:p w14:paraId="2EBCF504">
      <w:pPr>
        <w:pStyle w:val="51"/>
        <w:snapToGrid w:val="0"/>
        <w:spacing w:line="360" w:lineRule="auto"/>
        <w:ind w:firstLineChars="0"/>
        <w:rPr>
          <w:rFonts w:ascii="宋体" w:hAnsi="宋体" w:cs="黑体"/>
          <w:color w:val="auto"/>
          <w:sz w:val="24"/>
          <w:szCs w:val="24"/>
          <w:highlight w:val="none"/>
        </w:rPr>
      </w:pPr>
      <w:r>
        <w:rPr>
          <w:rFonts w:hint="eastAsia" w:ascii="宋体" w:hAnsi="宋体" w:cs="黑体"/>
          <w:color w:val="auto"/>
          <w:sz w:val="24"/>
          <w:szCs w:val="24"/>
          <w:highlight w:val="none"/>
        </w:rPr>
        <w:t>3、</w:t>
      </w:r>
      <w:r>
        <w:rPr>
          <w:rFonts w:hint="eastAsia" w:ascii="宋体"/>
          <w:color w:val="auto"/>
          <w:kern w:val="0"/>
          <w:sz w:val="24"/>
          <w:szCs w:val="24"/>
          <w:highlight w:val="none"/>
        </w:rPr>
        <w:t>供应商</w:t>
      </w:r>
      <w:r>
        <w:rPr>
          <w:rFonts w:ascii="宋体" w:hAnsi="宋体" w:cs="黑体"/>
          <w:color w:val="auto"/>
          <w:sz w:val="24"/>
          <w:szCs w:val="24"/>
          <w:highlight w:val="none"/>
        </w:rPr>
        <w:t>在</w:t>
      </w:r>
      <w:r>
        <w:rPr>
          <w:rFonts w:hint="eastAsia" w:ascii="宋体" w:hAnsi="宋体" w:cs="黑体"/>
          <w:color w:val="auto"/>
          <w:sz w:val="24"/>
          <w:szCs w:val="24"/>
          <w:highlight w:val="none"/>
        </w:rPr>
        <w:t>谈判</w:t>
      </w:r>
      <w:r>
        <w:rPr>
          <w:rFonts w:ascii="宋体" w:hAnsi="宋体" w:cs="黑体"/>
          <w:color w:val="auto"/>
          <w:sz w:val="24"/>
          <w:szCs w:val="24"/>
          <w:highlight w:val="none"/>
        </w:rPr>
        <w:t>活动中提供任何虚假材料,其</w:t>
      </w:r>
      <w:r>
        <w:rPr>
          <w:rFonts w:hint="eastAsia" w:ascii="宋体" w:hAnsi="宋体" w:cs="黑体"/>
          <w:color w:val="auto"/>
          <w:sz w:val="24"/>
          <w:szCs w:val="24"/>
          <w:highlight w:val="none"/>
        </w:rPr>
        <w:t>响应</w:t>
      </w:r>
      <w:r>
        <w:rPr>
          <w:rFonts w:ascii="宋体" w:hAnsi="宋体" w:cs="黑体"/>
          <w:color w:val="auto"/>
          <w:sz w:val="24"/>
          <w:szCs w:val="24"/>
          <w:highlight w:val="none"/>
        </w:rPr>
        <w:t>无效，并报监管部门查处；</w:t>
      </w:r>
    </w:p>
    <w:p w14:paraId="67350280">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14:paraId="4FD0774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14:paraId="03523B2D">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14:paraId="4CCE387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7、单位负责人为同一人或者存在直接控股、管理关系的不同供应商，不得参加同一合同项下的采购活动。</w:t>
      </w:r>
    </w:p>
    <w:p w14:paraId="19A4D47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8、本项目不允许分包。</w:t>
      </w:r>
    </w:p>
    <w:p w14:paraId="7AC6E63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kern w:val="0"/>
          <w:sz w:val="24"/>
          <w:highlight w:val="none"/>
        </w:rPr>
      </w:pPr>
      <w:r>
        <w:rPr>
          <w:rFonts w:hint="eastAsia" w:ascii="宋体"/>
          <w:b/>
          <w:color w:val="auto"/>
          <w:kern w:val="0"/>
          <w:sz w:val="24"/>
          <w:highlight w:val="none"/>
        </w:rPr>
        <w:t>二、</w:t>
      </w:r>
      <w:r>
        <w:rPr>
          <w:rFonts w:hint="eastAsia" w:ascii="宋体" w:hAnsi="宋体"/>
          <w:b/>
          <w:color w:val="auto"/>
          <w:kern w:val="0"/>
          <w:sz w:val="24"/>
          <w:highlight w:val="none"/>
        </w:rPr>
        <w:t>谈判响应文件</w:t>
      </w:r>
    </w:p>
    <w:p w14:paraId="676880C1">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14:paraId="0ABECA89">
      <w:pPr>
        <w:numPr>
          <w:ilvl w:val="0"/>
          <w:numId w:val="3"/>
        </w:num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供应商应仔细阅读谈判文件的所有内容，按谈判采购文件的要求，详细编制谈判响应文件</w:t>
      </w:r>
      <w:r>
        <w:rPr>
          <w:rFonts w:hint="eastAsia" w:ascii="宋体" w:hAnsi="宋体" w:cs="宋体"/>
          <w:color w:val="auto"/>
          <w:sz w:val="24"/>
          <w:highlight w:val="none"/>
        </w:rPr>
        <w:t>，并对所提供的全部资料的真实性承担法律责任。</w:t>
      </w:r>
    </w:p>
    <w:p w14:paraId="735D7C50">
      <w:pPr>
        <w:numPr>
          <w:ilvl w:val="0"/>
          <w:numId w:val="3"/>
        </w:num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不按谈判文件的要求提供的谈判响应文件将被拒绝。</w:t>
      </w:r>
    </w:p>
    <w:p w14:paraId="494F2F98">
      <w:pPr>
        <w:numPr>
          <w:ilvl w:val="0"/>
          <w:numId w:val="4"/>
        </w:numPr>
        <w:spacing w:line="360" w:lineRule="auto"/>
        <w:ind w:firstLine="472" w:firstLineChars="196"/>
        <w:jc w:val="left"/>
        <w:outlineLvl w:val="1"/>
        <w:rPr>
          <w:rFonts w:ascii="宋体" w:hAnsi="宋体"/>
          <w:bCs/>
          <w:color w:val="auto"/>
          <w:kern w:val="0"/>
          <w:sz w:val="24"/>
          <w:highlight w:val="none"/>
        </w:rPr>
      </w:pPr>
      <w:r>
        <w:rPr>
          <w:rFonts w:hint="eastAsia" w:ascii="宋体" w:hAnsi="宋体" w:cs="宋体"/>
          <w:b/>
          <w:color w:val="auto"/>
          <w:sz w:val="24"/>
          <w:highlight w:val="none"/>
          <w:lang w:val="zh-CN"/>
        </w:rPr>
        <w:t>谈判响应文件的组成</w:t>
      </w:r>
    </w:p>
    <w:p w14:paraId="585DC793">
      <w:pPr>
        <w:autoSpaceDE w:val="0"/>
        <w:autoSpaceDN w:val="0"/>
        <w:adjustRightInd w:val="0"/>
        <w:spacing w:line="360" w:lineRule="auto"/>
        <w:ind w:firstLine="720" w:firstLineChars="300"/>
        <w:rPr>
          <w:rFonts w:ascii="宋体" w:hAnsi="宋体"/>
          <w:color w:val="auto"/>
          <w:kern w:val="0"/>
          <w:sz w:val="24"/>
          <w:highlight w:val="none"/>
          <w:lang w:val="zh-CN"/>
        </w:rPr>
      </w:pPr>
      <w:r>
        <w:rPr>
          <w:rFonts w:hint="eastAsia" w:ascii="宋体"/>
          <w:color w:val="auto"/>
          <w:kern w:val="0"/>
          <w:sz w:val="24"/>
          <w:highlight w:val="none"/>
        </w:rPr>
        <w:t>供应商应仔细阅读谈判采购文件的所有内容，按谈判采购文件的要求，详细编制谈判响应文件</w:t>
      </w:r>
      <w:r>
        <w:rPr>
          <w:rFonts w:hAnsi="宋体"/>
          <w:color w:val="auto"/>
          <w:sz w:val="24"/>
          <w:highlight w:val="none"/>
        </w:rPr>
        <w:t>。</w:t>
      </w:r>
    </w:p>
    <w:p w14:paraId="249741C4">
      <w:pPr>
        <w:autoSpaceDE w:val="0"/>
        <w:autoSpaceDN w:val="0"/>
        <w:adjustRightInd w:val="0"/>
        <w:spacing w:line="360" w:lineRule="auto"/>
        <w:ind w:firstLine="482" w:firstLineChars="200"/>
        <w:rPr>
          <w:rFonts w:ascii="宋体"/>
          <w:color w:val="auto"/>
          <w:kern w:val="0"/>
          <w:sz w:val="24"/>
          <w:highlight w:val="none"/>
        </w:rPr>
      </w:pPr>
      <w:r>
        <w:rPr>
          <w:rFonts w:hint="eastAsia" w:ascii="宋体" w:hAnsi="宋体"/>
          <w:b/>
          <w:color w:val="auto"/>
          <w:sz w:val="24"/>
          <w:highlight w:val="none"/>
        </w:rPr>
        <w:t>1、资格证明内容的组成：</w:t>
      </w:r>
    </w:p>
    <w:p w14:paraId="6D8FA13E">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lang w:val="zh-CN"/>
        </w:rPr>
        <w:t>（</w:t>
      </w:r>
      <w:r>
        <w:rPr>
          <w:rFonts w:hint="eastAsia" w:ascii="宋体"/>
          <w:color w:val="auto"/>
          <w:kern w:val="0"/>
          <w:sz w:val="24"/>
          <w:highlight w:val="none"/>
        </w:rPr>
        <w:t>1</w:t>
      </w:r>
      <w:r>
        <w:rPr>
          <w:rFonts w:hint="eastAsia" w:ascii="宋体"/>
          <w:color w:val="auto"/>
          <w:kern w:val="0"/>
          <w:sz w:val="24"/>
          <w:highlight w:val="none"/>
          <w:lang w:val="zh-CN"/>
        </w:rPr>
        <w:t>）谈判</w:t>
      </w:r>
      <w:r>
        <w:rPr>
          <w:rFonts w:hint="eastAsia" w:ascii="宋体"/>
          <w:color w:val="auto"/>
          <w:kern w:val="0"/>
          <w:sz w:val="24"/>
          <w:highlight w:val="none"/>
        </w:rPr>
        <w:t>声明书（见附件）；</w:t>
      </w:r>
    </w:p>
    <w:p w14:paraId="4EBEECB8">
      <w:pPr>
        <w:autoSpaceDE w:val="0"/>
        <w:autoSpaceDN w:val="0"/>
        <w:adjustRightInd w:val="0"/>
        <w:spacing w:line="360" w:lineRule="auto"/>
        <w:ind w:left="479" w:leftChars="228"/>
        <w:rPr>
          <w:rFonts w:ascii="宋体"/>
          <w:color w:val="auto"/>
          <w:kern w:val="0"/>
          <w:sz w:val="24"/>
          <w:highlight w:val="none"/>
        </w:rPr>
      </w:pPr>
      <w:r>
        <w:rPr>
          <w:rFonts w:hint="eastAsia" w:ascii="宋体"/>
          <w:color w:val="auto"/>
          <w:kern w:val="0"/>
          <w:sz w:val="24"/>
          <w:highlight w:val="none"/>
        </w:rPr>
        <w:t>（2）授权委托书（法定代表人亲自办理投标事宜的，则无需提交）（见附件）；</w:t>
      </w:r>
    </w:p>
    <w:p w14:paraId="4DED0EF2">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w:t>
      </w:r>
      <w:r>
        <w:rPr>
          <w:rFonts w:hint="eastAsia" w:ascii="宋体"/>
          <w:color w:val="auto"/>
          <w:kern w:val="0"/>
          <w:sz w:val="24"/>
          <w:highlight w:val="none"/>
          <w:lang w:val="en-US" w:eastAsia="zh-CN"/>
        </w:rPr>
        <w:t>3</w:t>
      </w:r>
      <w:r>
        <w:rPr>
          <w:rFonts w:hint="eastAsia" w:ascii="宋体"/>
          <w:color w:val="auto"/>
          <w:kern w:val="0"/>
          <w:sz w:val="24"/>
          <w:highlight w:val="none"/>
        </w:rPr>
        <w:t>）</w:t>
      </w:r>
      <w:r>
        <w:rPr>
          <w:rFonts w:hint="eastAsia" w:ascii="宋体" w:hAnsi="宋体" w:eastAsia="宋体" w:cs="宋体"/>
          <w:bCs/>
          <w:color w:val="auto"/>
          <w:sz w:val="24"/>
          <w:highlight w:val="none"/>
        </w:rPr>
        <w:t>法人或者其他组织的营业执照等证明文件，自然人的身份证明</w:t>
      </w:r>
      <w:r>
        <w:rPr>
          <w:rFonts w:hint="eastAsia" w:ascii="宋体" w:hAnsi="宋体" w:eastAsia="宋体" w:cs="宋体"/>
          <w:bCs/>
          <w:color w:val="auto"/>
          <w:sz w:val="24"/>
          <w:highlight w:val="none"/>
          <w:lang w:eastAsia="zh-CN"/>
        </w:rPr>
        <w:t>；</w:t>
      </w:r>
    </w:p>
    <w:p w14:paraId="76E7335E">
      <w:pPr>
        <w:autoSpaceDE w:val="0"/>
        <w:autoSpaceDN w:val="0"/>
        <w:adjustRightInd w:val="0"/>
        <w:spacing w:line="360" w:lineRule="auto"/>
        <w:ind w:firstLine="480" w:firstLineChars="200"/>
        <w:rPr>
          <w:rFonts w:hint="eastAsia" w:ascii="宋体" w:hAnsi="Times New Roman" w:eastAsia="宋体" w:cs="Times New Roman"/>
          <w:color w:val="auto"/>
          <w:kern w:val="0"/>
          <w:sz w:val="24"/>
          <w:highlight w:val="none"/>
        </w:rPr>
      </w:pPr>
      <w:r>
        <w:rPr>
          <w:rFonts w:hint="eastAsia" w:ascii="宋体" w:hAnsi="Times New Roman" w:eastAsia="宋体" w:cs="Times New Roman"/>
          <w:color w:val="auto"/>
          <w:kern w:val="0"/>
          <w:sz w:val="24"/>
          <w:highlight w:val="none"/>
        </w:rPr>
        <w:t>（</w:t>
      </w:r>
      <w:r>
        <w:rPr>
          <w:rFonts w:hint="eastAsia" w:ascii="宋体" w:hAnsi="Times New Roman" w:eastAsia="宋体" w:cs="Times New Roman"/>
          <w:color w:val="auto"/>
          <w:kern w:val="0"/>
          <w:sz w:val="24"/>
          <w:highlight w:val="none"/>
          <w:lang w:val="en-US" w:eastAsia="zh-CN"/>
        </w:rPr>
        <w:t>4</w:t>
      </w:r>
      <w:r>
        <w:rPr>
          <w:rFonts w:hint="eastAsia" w:ascii="宋体" w:hAnsi="Times New Roman" w:eastAsia="宋体" w:cs="Times New Roman"/>
          <w:color w:val="auto"/>
          <w:kern w:val="0"/>
          <w:sz w:val="24"/>
          <w:highlight w:val="none"/>
        </w:rPr>
        <w:t>）符合参加采购活动应当具备的一般条件的承诺函；（</w:t>
      </w:r>
      <w:r>
        <w:rPr>
          <w:rFonts w:hint="eastAsia" w:ascii="宋体" w:hAnsi="Times New Roman" w:eastAsia="宋体" w:cs="Times New Roman"/>
          <w:color w:val="auto"/>
          <w:kern w:val="0"/>
          <w:sz w:val="24"/>
          <w:highlight w:val="none"/>
          <w:lang w:eastAsia="zh-CN"/>
        </w:rPr>
        <w:t>见</w:t>
      </w:r>
      <w:r>
        <w:rPr>
          <w:rFonts w:hint="eastAsia" w:ascii="宋体" w:hAnsi="Times New Roman" w:eastAsia="宋体" w:cs="Times New Roman"/>
          <w:color w:val="auto"/>
          <w:kern w:val="0"/>
          <w:sz w:val="24"/>
          <w:highlight w:val="none"/>
        </w:rPr>
        <w:t>附件）</w:t>
      </w:r>
    </w:p>
    <w:p w14:paraId="32659AC3">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w:t>
      </w:r>
      <w:r>
        <w:rPr>
          <w:rFonts w:hint="eastAsia" w:ascii="宋体"/>
          <w:color w:val="auto"/>
          <w:kern w:val="0"/>
          <w:sz w:val="24"/>
          <w:highlight w:val="none"/>
          <w:lang w:val="en-US" w:eastAsia="zh-CN"/>
        </w:rPr>
        <w:t>5</w:t>
      </w:r>
      <w:r>
        <w:rPr>
          <w:rFonts w:hint="eastAsia" w:ascii="宋体"/>
          <w:color w:val="auto"/>
          <w:kern w:val="0"/>
          <w:sz w:val="24"/>
          <w:highlight w:val="none"/>
        </w:rPr>
        <w:t>）</w:t>
      </w:r>
      <w:r>
        <w:rPr>
          <w:rFonts w:hint="eastAsia" w:ascii="宋体" w:hAnsi="宋体"/>
          <w:color w:val="auto"/>
          <w:kern w:val="0"/>
          <w:sz w:val="24"/>
          <w:highlight w:val="none"/>
        </w:rPr>
        <w:t>供应商认为其他需要说明的内</w:t>
      </w:r>
      <w:r>
        <w:rPr>
          <w:rFonts w:hint="eastAsia" w:ascii="宋体" w:hAnsi="宋体"/>
          <w:color w:val="auto"/>
          <w:kern w:val="0"/>
          <w:sz w:val="24"/>
          <w:highlight w:val="none"/>
        </w:rPr>
        <w:t>容；</w:t>
      </w:r>
    </w:p>
    <w:p w14:paraId="22EDB7F2">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2、报价内容的组成</w:t>
      </w:r>
    </w:p>
    <w:p w14:paraId="60A3FE01">
      <w:pP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（1）报价内容由首次报价一览表</w:t>
      </w:r>
      <w:r>
        <w:rPr>
          <w:rFonts w:hint="eastAsia" w:ascii="宋体" w:hAnsi="宋体" w:eastAsia="宋体" w:cs="Times New Roman"/>
          <w:color w:val="auto"/>
          <w:kern w:val="0"/>
          <w:sz w:val="24"/>
          <w:highlight w:val="none"/>
          <w:lang w:eastAsia="zh-CN"/>
        </w:rPr>
        <w:t>和</w:t>
      </w:r>
      <w:r>
        <w:rPr>
          <w:rFonts w:hint="eastAsia" w:ascii="宋体" w:hAnsi="宋体" w:eastAsia="宋体" w:cs="Times New Roman"/>
          <w:color w:val="auto"/>
          <w:kern w:val="0"/>
          <w:sz w:val="24"/>
          <w:highlight w:val="none"/>
        </w:rPr>
        <w:t>报价明细表，以及供应商认为其他需要说明的内容组成。</w:t>
      </w:r>
    </w:p>
    <w:p w14:paraId="373E804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（2）此报价为供应商针对本项目报出的唯一的首次报价，包含其它一切所要涉及到的费用，有选择的报价将被拒绝。</w:t>
      </w:r>
    </w:p>
    <w:p w14:paraId="7AA68731">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）总报价应当包括合同范围内的所有风险责任等各项费用及不可预见费等所需的全部费用。</w:t>
      </w:r>
    </w:p>
    <w:p w14:paraId="5A1FC5C8">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（4）相关报价单需打印或用不退色的墨水填写，谈判报价单不得涂改和增删，如有错漏必须修改，修改处须由同一签署人签字或盖章。由于字迹模糊或表达不清引起的后果由供应商负责。</w:t>
      </w:r>
    </w:p>
    <w:p w14:paraId="0D98AB56">
      <w:pPr>
        <w:autoSpaceDE w:val="0"/>
        <w:autoSpaceDN w:val="0"/>
        <w:adjustRightInd w:val="0"/>
        <w:spacing w:line="360" w:lineRule="auto"/>
        <w:ind w:firstLine="480"/>
        <w:rPr>
          <w:rFonts w:ascii="宋体" w:hAnsi="宋体"/>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5</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14:paraId="730D7E53">
      <w:pPr>
        <w:numPr>
          <w:ilvl w:val="0"/>
          <w:numId w:val="5"/>
        </w:numPr>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14:paraId="35BAF371">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14:paraId="4F875BCF">
      <w:pPr>
        <w:spacing w:line="440" w:lineRule="exact"/>
        <w:ind w:firstLine="480" w:firstLineChars="200"/>
        <w:jc w:val="left"/>
        <w:rPr>
          <w:rFonts w:ascii="仿宋_GB2312" w:hAnsi="仿宋_GB2312" w:eastAsia="仿宋_GB2312" w:cs="仿宋_GB2312"/>
          <w:b/>
          <w:color w:val="auto"/>
          <w:sz w:val="24"/>
          <w:highlight w:val="none"/>
        </w:rPr>
      </w:pPr>
      <w:r>
        <w:rPr>
          <w:rFonts w:hint="eastAsia" w:ascii="宋体" w:hAnsi="宋体"/>
          <w:color w:val="auto"/>
          <w:sz w:val="24"/>
          <w:highlight w:val="none"/>
        </w:rPr>
        <w:t>（1）谈判供应商应按照谈判响应文件组成内容及项目招标需求制作谈判响应文件，</w:t>
      </w:r>
      <w:r>
        <w:rPr>
          <w:rFonts w:hint="eastAsia" w:ascii="宋体" w:hAnsi="宋体"/>
          <w:color w:val="auto"/>
          <w:kern w:val="0"/>
          <w:sz w:val="24"/>
          <w:highlight w:val="none"/>
        </w:rPr>
        <w:t>不按采购文件要求制作谈判响应文件的将视情处理（拒收、扣分等），由此产生的责任由谈判供应商自行承担。</w:t>
      </w:r>
    </w:p>
    <w:p w14:paraId="02D2EEDC">
      <w:pPr>
        <w:spacing w:line="440" w:lineRule="exact"/>
        <w:ind w:firstLine="480" w:firstLineChars="200"/>
        <w:jc w:val="left"/>
        <w:rPr>
          <w:rFonts w:hint="eastAsia" w:ascii="宋体" w:hAnsi="宋体" w:eastAsia="宋体"/>
          <w:color w:val="auto"/>
          <w:kern w:val="0"/>
          <w:sz w:val="24"/>
          <w:highlight w:val="none"/>
          <w:lang w:val="en-US" w:eastAsia="zh-CN"/>
        </w:rPr>
      </w:pPr>
      <w:r>
        <w:rPr>
          <w:rFonts w:hint="eastAsia" w:ascii="宋体" w:hAnsi="宋体"/>
          <w:color w:val="auto"/>
          <w:sz w:val="24"/>
          <w:highlight w:val="none"/>
        </w:rPr>
        <w:t>（2）谈判供应商应对所提供的全部资料的真实性承担法律责任，</w:t>
      </w:r>
      <w:r>
        <w:rPr>
          <w:rFonts w:hint="eastAsia" w:ascii="宋体" w:hAnsi="宋体"/>
          <w:color w:val="auto"/>
          <w:kern w:val="0"/>
          <w:sz w:val="24"/>
          <w:highlight w:val="none"/>
          <w:lang w:val="zh-CN"/>
        </w:rPr>
        <w:t>谈判响应文件内容中有要求盖章或签字的地方，必须加盖谈判供应商的公章以及法定代表人或全权代表盖章或签字</w:t>
      </w:r>
      <w:r>
        <w:rPr>
          <w:rFonts w:hint="eastAsia" w:ascii="宋体" w:hAnsi="宋体"/>
          <w:color w:val="auto"/>
          <w:kern w:val="0"/>
          <w:sz w:val="24"/>
          <w:highlight w:val="none"/>
          <w:lang w:val="zh-CN" w:eastAsia="zh-CN"/>
        </w:rPr>
        <w:t>。</w:t>
      </w:r>
    </w:p>
    <w:p w14:paraId="702FE4FD">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w:t>
      </w:r>
      <w:r>
        <w:rPr>
          <w:rFonts w:ascii="宋体" w:hAnsi="宋体"/>
          <w:color w:val="auto"/>
          <w:sz w:val="24"/>
          <w:highlight w:val="none"/>
        </w:rPr>
        <w:t>谈判响应文件以及谈判供应商与</w:t>
      </w:r>
      <w:r>
        <w:rPr>
          <w:rFonts w:hint="eastAsia" w:ascii="宋体" w:hAnsi="宋体"/>
          <w:color w:val="auto"/>
          <w:sz w:val="24"/>
          <w:highlight w:val="none"/>
        </w:rPr>
        <w:t>采购组织机构</w:t>
      </w:r>
      <w:r>
        <w:rPr>
          <w:rFonts w:ascii="宋体" w:hAnsi="宋体"/>
          <w:color w:val="auto"/>
          <w:sz w:val="24"/>
          <w:highlight w:val="none"/>
        </w:rPr>
        <w:t>就有关投标事宜的所有来往函电，均应以中文汉语书写。除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14:paraId="76AE961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投标计量单位，采购文件已有明确规定的，使用采购文件规定的计量单位；采购文件没有规定的，应采用中华人民共和国法定计量单位（货币单位：人民币元）。</w:t>
      </w:r>
    </w:p>
    <w:p w14:paraId="2A34B992">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若谈判供应商不按采购文件的要求提供资格审查材料，其风险由谈判供应商自行承担。</w:t>
      </w:r>
    </w:p>
    <w:p w14:paraId="749BFCAF">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与本次投标无关的内容请不要制作在内，确保谈判响应文件有针对性、简洁明了。</w:t>
      </w:r>
    </w:p>
    <w:p w14:paraId="79856E87">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14:paraId="58FDD559">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14:paraId="7CA12B99">
      <w:pPr>
        <w:pStyle w:val="5"/>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14:paraId="32122685">
      <w:pPr>
        <w:pStyle w:val="5"/>
        <w:numPr>
          <w:ilvl w:val="0"/>
          <w:numId w:val="0"/>
        </w:numPr>
        <w:tabs>
          <w:tab w:val="left" w:pos="0"/>
          <w:tab w:val="left" w:pos="720"/>
          <w:tab w:val="left" w:pos="1200"/>
          <w:tab w:val="clear" w:pos="36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14:paraId="3D8ECF7A">
      <w:pPr>
        <w:snapToGrid w:val="0"/>
        <w:spacing w:line="360" w:lineRule="auto"/>
        <w:ind w:firstLine="480" w:firstLineChars="200"/>
        <w:jc w:val="left"/>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14:paraId="4782A4EF">
      <w:pPr>
        <w:tabs>
          <w:tab w:val="left" w:pos="1418"/>
        </w:tabs>
        <w:autoSpaceDE w:val="0"/>
        <w:autoSpaceDN w:val="0"/>
        <w:adjustRightInd w:val="0"/>
        <w:spacing w:line="360" w:lineRule="auto"/>
        <w:rPr>
          <w:rFonts w:ascii="宋体" w:hAnsi="宋体"/>
          <w:bCs/>
          <w:color w:val="auto"/>
          <w:sz w:val="24"/>
          <w:highlight w:val="none"/>
        </w:rPr>
      </w:pPr>
      <w:r>
        <w:rPr>
          <w:rFonts w:hint="eastAsia" w:ascii="宋体" w:hAnsi="宋体"/>
          <w:b/>
          <w:color w:val="auto"/>
          <w:kern w:val="0"/>
          <w:sz w:val="24"/>
          <w:highlight w:val="none"/>
        </w:rPr>
        <w:t>三、谈判保证金:</w:t>
      </w:r>
      <w:r>
        <w:rPr>
          <w:rFonts w:hint="eastAsia" w:ascii="宋体" w:hAnsi="宋体"/>
          <w:b/>
          <w:color w:val="auto"/>
          <w:kern w:val="0"/>
          <w:sz w:val="24"/>
          <w:highlight w:val="none"/>
          <w:u w:val="single"/>
          <w:lang w:val="en-US" w:eastAsia="zh-CN"/>
        </w:rPr>
        <w:t>/</w:t>
      </w:r>
      <w:r>
        <w:rPr>
          <w:rFonts w:hint="eastAsia" w:ascii="宋体" w:hAnsi="宋体"/>
          <w:b/>
          <w:color w:val="auto"/>
          <w:kern w:val="0"/>
          <w:sz w:val="24"/>
          <w:highlight w:val="none"/>
          <w:u w:val="single"/>
        </w:rPr>
        <w:t>元</w:t>
      </w:r>
    </w:p>
    <w:p w14:paraId="2CEA7067">
      <w:pPr>
        <w:tabs>
          <w:tab w:val="left" w:pos="1418"/>
        </w:tabs>
        <w:autoSpaceDE w:val="0"/>
        <w:autoSpaceDN w:val="0"/>
        <w:adjustRightInd w:val="0"/>
        <w:spacing w:line="360" w:lineRule="auto"/>
        <w:rPr>
          <w:rFonts w:ascii="宋体"/>
          <w:b/>
          <w:color w:val="auto"/>
          <w:kern w:val="0"/>
          <w:sz w:val="24"/>
          <w:highlight w:val="none"/>
        </w:rPr>
      </w:pPr>
      <w:r>
        <w:rPr>
          <w:rFonts w:hint="eastAsia" w:ascii="宋体"/>
          <w:b/>
          <w:color w:val="auto"/>
          <w:kern w:val="0"/>
          <w:sz w:val="24"/>
          <w:highlight w:val="none"/>
        </w:rPr>
        <w:t>四、谈判</w:t>
      </w:r>
    </w:p>
    <w:p w14:paraId="679966D6">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14:paraId="6456CFB1">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1、谈判截止时间到后，谈判项目负责人准时组织谈判；</w:t>
      </w:r>
    </w:p>
    <w:p w14:paraId="236E7C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highlight w:val="none"/>
        </w:rPr>
      </w:pPr>
      <w:r>
        <w:rPr>
          <w:rFonts w:hint="eastAsia" w:ascii="宋体" w:hAnsi="宋体"/>
          <w:color w:val="auto"/>
          <w:kern w:val="0"/>
          <w:sz w:val="24"/>
          <w:highlight w:val="none"/>
        </w:rPr>
        <w:t>2、谈判的顺序，由谈判小组对各供应商进行资格审查、报价通过，评审三分之二谈判小组成员通过后，进入下轮报价谈判。</w:t>
      </w:r>
    </w:p>
    <w:p w14:paraId="23A39A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color w:val="auto"/>
          <w:highlight w:val="none"/>
        </w:rPr>
      </w:pPr>
      <w:r>
        <w:rPr>
          <w:rFonts w:hint="eastAsia" w:ascii="宋体" w:hAnsi="宋体"/>
          <w:color w:val="auto"/>
          <w:kern w:val="0"/>
          <w:sz w:val="24"/>
          <w:highlight w:val="none"/>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14:paraId="0432340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highlight w:val="none"/>
        </w:rPr>
      </w:pPr>
      <w:r>
        <w:rPr>
          <w:rFonts w:hint="eastAsia" w:ascii="宋体" w:hAnsi="宋体"/>
          <w:color w:val="auto"/>
          <w:kern w:val="0"/>
          <w:sz w:val="24"/>
          <w:highlight w:val="none"/>
        </w:rPr>
        <w:t>5、在谈判小组与各谈判供应商进行了相同轮次的谈判后</w:t>
      </w:r>
      <w:r>
        <w:rPr>
          <w:rFonts w:hint="eastAsia" w:ascii="宋体" w:hAnsi="宋体"/>
          <w:b/>
          <w:color w:val="auto"/>
          <w:kern w:val="0"/>
          <w:sz w:val="24"/>
          <w:highlight w:val="none"/>
        </w:rPr>
        <w:t>（本次谈判共</w:t>
      </w:r>
      <w:r>
        <w:rPr>
          <w:rFonts w:hint="eastAsia" w:ascii="宋体" w:hAnsi="宋体"/>
          <w:b/>
          <w:color w:val="auto"/>
          <w:kern w:val="0"/>
          <w:sz w:val="24"/>
          <w:highlight w:val="none"/>
          <w:lang w:val="en-US" w:eastAsia="zh-CN"/>
        </w:rPr>
        <w:t>1</w:t>
      </w:r>
      <w:r>
        <w:rPr>
          <w:rFonts w:hint="eastAsia" w:ascii="宋体" w:hAnsi="宋体"/>
          <w:b/>
          <w:color w:val="auto"/>
          <w:kern w:val="0"/>
          <w:sz w:val="24"/>
          <w:highlight w:val="none"/>
        </w:rPr>
        <w:t>轮）</w:t>
      </w:r>
      <w:r>
        <w:rPr>
          <w:rFonts w:hint="eastAsia" w:ascii="宋体" w:hAnsi="宋体"/>
          <w:color w:val="auto"/>
          <w:kern w:val="0"/>
          <w:sz w:val="24"/>
          <w:highlight w:val="none"/>
        </w:rPr>
        <w:t>，为了更好地实现采购目标，谈判小组可以适当调整谈判文件，但涉及实质性变动的，以书面形式通知所有参加谈判的供应商。</w:t>
      </w:r>
    </w:p>
    <w:p w14:paraId="4D4A9F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highlight w:val="none"/>
        </w:rPr>
      </w:pPr>
      <w:r>
        <w:rPr>
          <w:rFonts w:hint="eastAsia" w:ascii="宋体" w:hAnsi="宋体"/>
          <w:b/>
          <w:color w:val="auto"/>
          <w:kern w:val="0"/>
          <w:sz w:val="24"/>
          <w:highlight w:val="none"/>
        </w:rPr>
        <w:t>6、谈判小组在谈判结束后，要求所有参加谈判的供应商在规定时间内报出最终价格。超过规定时间提交的报价作无效处理。</w:t>
      </w:r>
    </w:p>
    <w:p w14:paraId="17CECD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highlight w:val="none"/>
        </w:rPr>
      </w:pPr>
      <w:r>
        <w:rPr>
          <w:rFonts w:hint="eastAsia" w:ascii="宋体" w:hAnsi="宋体"/>
          <w:b/>
          <w:color w:val="auto"/>
          <w:kern w:val="0"/>
          <w:sz w:val="24"/>
          <w:highlight w:val="none"/>
        </w:rPr>
        <w:t>7、超过上限价的作为无效标处理。</w:t>
      </w:r>
    </w:p>
    <w:p w14:paraId="661AF9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highlight w:val="none"/>
        </w:rPr>
      </w:pPr>
      <w:r>
        <w:rPr>
          <w:rFonts w:ascii="宋体" w:hAnsi="宋体"/>
          <w:b/>
          <w:color w:val="auto"/>
          <w:kern w:val="0"/>
          <w:sz w:val="24"/>
          <w:highlight w:val="none"/>
        </w:rPr>
        <w:t>8、在谈判内容不变的情况下，最终报价不能高于首次报价和上限价，高于首次报价和上限价的将作为无效标处理（如最低报价相同的</w:t>
      </w:r>
      <w:r>
        <w:rPr>
          <w:rFonts w:hint="eastAsia" w:ascii="宋体" w:hAnsi="宋体"/>
          <w:b/>
          <w:color w:val="auto"/>
          <w:kern w:val="0"/>
          <w:sz w:val="24"/>
          <w:highlight w:val="none"/>
        </w:rPr>
        <w:t>则在相同最低报价中重新报价，直至产生最低报价者为成交单位</w:t>
      </w:r>
      <w:r>
        <w:rPr>
          <w:rFonts w:ascii="宋体" w:hAnsi="宋体"/>
          <w:b/>
          <w:color w:val="auto"/>
          <w:kern w:val="0"/>
          <w:sz w:val="24"/>
          <w:highlight w:val="none"/>
        </w:rPr>
        <w:t>）。</w:t>
      </w:r>
    </w:p>
    <w:p w14:paraId="77EBECF0">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（二）澄清问题的形式</w:t>
      </w:r>
    </w:p>
    <w:p w14:paraId="2B73BC7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14:paraId="67278A5E">
      <w:pPr>
        <w:pStyle w:val="12"/>
        <w:snapToGrid w:val="0"/>
        <w:spacing w:line="360" w:lineRule="auto"/>
        <w:ind w:left="720" w:leftChars="228" w:hanging="241" w:hangingChars="100"/>
        <w:rPr>
          <w:rFonts w:hAnsi="宋体"/>
          <w:b/>
          <w:color w:val="auto"/>
          <w:sz w:val="24"/>
          <w:highlight w:val="none"/>
        </w:rPr>
      </w:pPr>
      <w:r>
        <w:rPr>
          <w:rFonts w:hint="eastAsia" w:hAnsi="宋体"/>
          <w:b/>
          <w:color w:val="auto"/>
          <w:sz w:val="24"/>
          <w:highlight w:val="none"/>
        </w:rPr>
        <w:t>（三）错误修正</w:t>
      </w:r>
    </w:p>
    <w:p w14:paraId="08CF3130">
      <w:pPr>
        <w:pStyle w:val="24"/>
        <w:spacing w:before="0" w:beforeAutospacing="0" w:after="0" w:afterAutospacing="0" w:line="360" w:lineRule="auto"/>
        <w:ind w:firstLine="480" w:firstLineChars="200"/>
        <w:jc w:val="both"/>
        <w:rPr>
          <w:rFonts w:hint="default"/>
          <w:color w:val="auto"/>
          <w:highlight w:val="none"/>
        </w:rPr>
      </w:pPr>
      <w:r>
        <w:rPr>
          <w:color w:val="auto"/>
          <w:highlight w:val="none"/>
        </w:rPr>
        <w:t>谈判响应文件报价出现前后不一致的，除谈判采购文件另有规定外，按照下列规定修正：</w:t>
      </w:r>
    </w:p>
    <w:p w14:paraId="4E64B302">
      <w:pPr>
        <w:pStyle w:val="24"/>
        <w:spacing w:before="0" w:beforeAutospacing="0" w:after="0" w:afterAutospacing="0" w:line="360" w:lineRule="auto"/>
        <w:jc w:val="both"/>
        <w:rPr>
          <w:rFonts w:hint="default"/>
          <w:color w:val="auto"/>
          <w:highlight w:val="none"/>
        </w:rPr>
      </w:pPr>
      <w:r>
        <w:rPr>
          <w:color w:val="auto"/>
          <w:highlight w:val="none"/>
        </w:rPr>
        <w:t>　　1.谈判响应文件中首次报价一览表内容与谈判响应文件中相应内容不一致的，以首次报价一览表为准；</w:t>
      </w:r>
    </w:p>
    <w:p w14:paraId="647EB5E5">
      <w:pPr>
        <w:pStyle w:val="24"/>
        <w:spacing w:before="0" w:beforeAutospacing="0" w:after="0" w:afterAutospacing="0" w:line="360" w:lineRule="auto"/>
        <w:jc w:val="both"/>
        <w:rPr>
          <w:rFonts w:hint="default"/>
          <w:color w:val="auto"/>
          <w:highlight w:val="none"/>
        </w:rPr>
      </w:pPr>
      <w:r>
        <w:rPr>
          <w:color w:val="auto"/>
          <w:highlight w:val="none"/>
        </w:rPr>
        <w:t>　　2.大写金额和小写金额不一致的，以大写金额为准；</w:t>
      </w:r>
    </w:p>
    <w:p w14:paraId="38B39A75">
      <w:pPr>
        <w:pStyle w:val="24"/>
        <w:spacing w:before="0" w:beforeAutospacing="0" w:after="0" w:afterAutospacing="0" w:line="360" w:lineRule="auto"/>
        <w:jc w:val="both"/>
        <w:rPr>
          <w:rFonts w:hint="default"/>
          <w:color w:val="auto"/>
          <w:highlight w:val="none"/>
        </w:rPr>
      </w:pPr>
      <w:r>
        <w:rPr>
          <w:color w:val="auto"/>
          <w:highlight w:val="none"/>
        </w:rPr>
        <w:t>　　3.单价金额小数点或者百分比有明显错位的，以首次报价一览表的总价为准，并修改单价；</w:t>
      </w:r>
    </w:p>
    <w:p w14:paraId="0134C923">
      <w:pPr>
        <w:pStyle w:val="24"/>
        <w:spacing w:before="0" w:beforeAutospacing="0" w:after="0" w:afterAutospacing="0" w:line="360" w:lineRule="auto"/>
        <w:jc w:val="both"/>
        <w:rPr>
          <w:rFonts w:hint="default"/>
          <w:color w:val="auto"/>
          <w:highlight w:val="none"/>
        </w:rPr>
      </w:pPr>
      <w:r>
        <w:rPr>
          <w:color w:val="auto"/>
          <w:highlight w:val="none"/>
        </w:rPr>
        <w:t>　　4.总价金额与按单价汇总金额不一致的，以单价金额计算结果为准。</w:t>
      </w:r>
    </w:p>
    <w:p w14:paraId="1858A363">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同时出现两种以上不一致的，按照前款规定的顺序修正。修正应当采用书面形式，并加盖公章，或者由法定代表人或其授权的代表签字。修正后的报价经谈判人确认后产生约束力，谈判人不确认的，将的。</w:t>
      </w:r>
    </w:p>
    <w:p w14:paraId="59D9A323">
      <w:pPr>
        <w:pStyle w:val="24"/>
        <w:spacing w:before="0" w:beforeAutospacing="0" w:after="0" w:afterAutospacing="0" w:line="360" w:lineRule="auto"/>
        <w:ind w:firstLine="480" w:firstLineChars="200"/>
        <w:jc w:val="both"/>
        <w:rPr>
          <w:rFonts w:hint="default"/>
          <w:color w:val="auto"/>
          <w:highlight w:val="none"/>
        </w:rPr>
      </w:pPr>
      <w:r>
        <w:rPr>
          <w:color w:val="auto"/>
          <w:highlight w:val="none"/>
        </w:rPr>
        <w:t>2.谈判响应文件中报价的货物跟商务与技术内容中的供应货物出现重大偏差的；终止谈判。</w:t>
      </w:r>
    </w:p>
    <w:p w14:paraId="485B1769">
      <w:pPr>
        <w:pStyle w:val="24"/>
        <w:spacing w:before="0" w:beforeAutospacing="0" w:after="0" w:afterAutospacing="0" w:line="360" w:lineRule="auto"/>
        <w:ind w:firstLine="361" w:firstLineChars="150"/>
        <w:jc w:val="both"/>
        <w:rPr>
          <w:rFonts w:hint="default"/>
          <w:color w:val="auto"/>
          <w:highlight w:val="none"/>
        </w:rPr>
      </w:pPr>
      <w:r>
        <w:rPr>
          <w:b/>
          <w:bCs/>
          <w:color w:val="auto"/>
          <w:highlight w:val="none"/>
        </w:rPr>
        <w:t>（四）</w:t>
      </w:r>
      <w:r>
        <w:rPr>
          <w:b/>
          <w:color w:val="auto"/>
          <w:highlight w:val="none"/>
        </w:rPr>
        <w:t>供应商存在下列情况之一的，响应无效，终止谈判</w:t>
      </w:r>
    </w:p>
    <w:p w14:paraId="48724D90">
      <w:pPr>
        <w:pStyle w:val="24"/>
        <w:tabs>
          <w:tab w:val="left" w:pos="7380"/>
        </w:tabs>
        <w:adjustRightInd w:val="0"/>
        <w:snapToGrid w:val="0"/>
        <w:spacing w:before="0" w:beforeAutospacing="0" w:after="0" w:afterAutospacing="0" w:line="360" w:lineRule="auto"/>
        <w:jc w:val="both"/>
        <w:rPr>
          <w:rFonts w:hint="default"/>
          <w:color w:val="auto"/>
          <w:highlight w:val="none"/>
        </w:rPr>
      </w:pPr>
      <w:r>
        <w:rPr>
          <w:color w:val="auto"/>
          <w:highlight w:val="none"/>
        </w:rPr>
        <w:t>　　1.不具备谈判文件中规定的资格要求的。</w:t>
      </w:r>
      <w:r>
        <w:rPr>
          <w:rFonts w:hint="default"/>
          <w:color w:val="auto"/>
          <w:highlight w:val="none"/>
        </w:rPr>
        <w:tab/>
      </w:r>
    </w:p>
    <w:p w14:paraId="4249CD6F">
      <w:pPr>
        <w:pStyle w:val="24"/>
        <w:adjustRightInd w:val="0"/>
        <w:snapToGrid w:val="0"/>
        <w:spacing w:before="0" w:beforeAutospacing="0" w:after="0" w:afterAutospacing="0" w:line="360" w:lineRule="auto"/>
        <w:jc w:val="both"/>
        <w:rPr>
          <w:rFonts w:hint="default"/>
          <w:color w:val="auto"/>
          <w:highlight w:val="none"/>
        </w:rPr>
      </w:pPr>
      <w:r>
        <w:rPr>
          <w:color w:val="auto"/>
          <w:highlight w:val="none"/>
        </w:rPr>
        <w:t>　  2.谈判响应文件含有采购人不能接受的附加条件的。</w:t>
      </w:r>
    </w:p>
    <w:p w14:paraId="4E559860">
      <w:pPr>
        <w:adjustRightInd w:val="0"/>
        <w:snapToGrid w:val="0"/>
        <w:spacing w:line="360" w:lineRule="auto"/>
        <w:ind w:firstLine="470" w:firstLineChars="196"/>
        <w:rPr>
          <w:rFonts w:ascii="宋体" w:hAnsi="宋体"/>
          <w:bCs/>
          <w:color w:val="auto"/>
          <w:kern w:val="0"/>
          <w:sz w:val="24"/>
          <w:highlight w:val="none"/>
        </w:rPr>
      </w:pPr>
      <w:r>
        <w:rPr>
          <w:rFonts w:hint="eastAsia" w:ascii="宋体" w:hAnsi="宋体"/>
          <w:color w:val="auto"/>
          <w:kern w:val="0"/>
          <w:sz w:val="24"/>
          <w:highlight w:val="none"/>
        </w:rPr>
        <w:t>3.谈判代表人</w:t>
      </w:r>
      <w:r>
        <w:rPr>
          <w:rFonts w:hint="eastAsia" w:ascii="宋体" w:hAnsi="宋体"/>
          <w:color w:val="auto"/>
          <w:sz w:val="24"/>
          <w:highlight w:val="none"/>
        </w:rPr>
        <w:t>未能出具身份证明或与法定代表人授权委托人身份不符的；</w:t>
      </w:r>
    </w:p>
    <w:p w14:paraId="12114FC5">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6C8F4653">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 xml:space="preserve">5.报价超过谈判文件中规定的预算金额/最高限价。 </w:t>
      </w:r>
    </w:p>
    <w:p w14:paraId="58AA8368">
      <w:pPr>
        <w:pStyle w:val="24"/>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6.主要性能参数指标负偏离</w:t>
      </w:r>
      <w:r>
        <w:rPr>
          <w:rFonts w:hint="default"/>
          <w:color w:val="auto"/>
          <w:highlight w:val="none"/>
        </w:rPr>
        <w:t>/</w:t>
      </w:r>
      <w:r>
        <w:rPr>
          <w:color w:val="auto"/>
          <w:highlight w:val="none"/>
        </w:rPr>
        <w:t>项（含）以上的。</w:t>
      </w:r>
    </w:p>
    <w:p w14:paraId="53CF2BEE">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7.谈判响应参数未如实填写，完全复制粘贴采购参数的。</w:t>
      </w:r>
    </w:p>
    <w:p w14:paraId="684C9FDD">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 xml:space="preserve">8.谈判响应文件提供虚假材料的。 </w:t>
      </w:r>
    </w:p>
    <w:p w14:paraId="734A5A8F">
      <w:pPr>
        <w:tabs>
          <w:tab w:val="left" w:pos="1898"/>
        </w:tabs>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rPr>
        <w:t>9.</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14:paraId="2E87A381">
      <w:pPr>
        <w:pStyle w:val="24"/>
        <w:spacing w:before="0" w:beforeAutospacing="0" w:after="0" w:afterAutospacing="0" w:line="360" w:lineRule="auto"/>
        <w:ind w:firstLine="480" w:firstLineChars="200"/>
        <w:rPr>
          <w:rFonts w:hint="default"/>
          <w:color w:val="auto"/>
          <w:highlight w:val="none"/>
        </w:rPr>
      </w:pPr>
      <w:r>
        <w:rPr>
          <w:color w:val="auto"/>
          <w:highlight w:val="none"/>
        </w:rPr>
        <w:t>10.不同供应商委托同一单位或者个人办理谈判事宜；</w:t>
      </w:r>
    </w:p>
    <w:p w14:paraId="629EDBC6">
      <w:pPr>
        <w:pStyle w:val="24"/>
        <w:spacing w:before="0" w:beforeAutospacing="0" w:after="0" w:afterAutospacing="0" w:line="360" w:lineRule="auto"/>
        <w:ind w:firstLine="480" w:firstLineChars="200"/>
        <w:rPr>
          <w:rFonts w:hint="default"/>
          <w:color w:val="auto"/>
          <w:highlight w:val="none"/>
        </w:rPr>
      </w:pPr>
      <w:r>
        <w:rPr>
          <w:color w:val="auto"/>
          <w:highlight w:val="none"/>
        </w:rPr>
        <w:t>11.不同供应商的谈判响应文件载明的项目管理成员或者联系人员为同一人；</w:t>
      </w:r>
    </w:p>
    <w:p w14:paraId="167185CC">
      <w:pPr>
        <w:pStyle w:val="24"/>
        <w:spacing w:before="0" w:beforeAutospacing="0" w:after="0" w:afterAutospacing="0" w:line="360" w:lineRule="auto"/>
        <w:ind w:firstLine="480" w:firstLineChars="200"/>
        <w:rPr>
          <w:rFonts w:hint="default"/>
          <w:color w:val="auto"/>
          <w:highlight w:val="none"/>
        </w:rPr>
      </w:pPr>
      <w:r>
        <w:rPr>
          <w:color w:val="auto"/>
          <w:highlight w:val="none"/>
        </w:rPr>
        <w:t>12.不同供应商的谈判响应文件异常一致或者报价呈规律性差异；</w:t>
      </w:r>
    </w:p>
    <w:p w14:paraId="440D155A">
      <w:pPr>
        <w:pStyle w:val="24"/>
        <w:spacing w:before="0" w:beforeAutospacing="0" w:after="0" w:afterAutospacing="0" w:line="360" w:lineRule="auto"/>
        <w:ind w:firstLine="480" w:firstLineChars="200"/>
        <w:rPr>
          <w:rFonts w:hint="default"/>
          <w:color w:val="auto"/>
          <w:highlight w:val="none"/>
        </w:rPr>
      </w:pPr>
      <w:r>
        <w:rPr>
          <w:color w:val="auto"/>
          <w:highlight w:val="none"/>
        </w:rPr>
        <w:t>13.不同供应商的谈判响应文件相互混装；</w:t>
      </w:r>
    </w:p>
    <w:p w14:paraId="73E11CA3">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14.不符合法律、法规和谈判文件中规定的其他实质性要求的（谈判采购文件中打“▲”内容及被拒绝的条款）。</w:t>
      </w:r>
    </w:p>
    <w:p w14:paraId="4650F469">
      <w:pPr>
        <w:autoSpaceDE w:val="0"/>
        <w:autoSpaceDN w:val="0"/>
        <w:adjustRightInd w:val="0"/>
        <w:spacing w:line="360" w:lineRule="auto"/>
        <w:ind w:left="480"/>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14:paraId="124186B4">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1.出现影响采购公正的违法、违规行为的；</w:t>
      </w:r>
    </w:p>
    <w:p w14:paraId="6A172E79">
      <w:pPr>
        <w:pStyle w:val="24"/>
        <w:spacing w:before="0" w:beforeAutospacing="0" w:after="0" w:afterAutospacing="0" w:line="360" w:lineRule="auto"/>
        <w:ind w:firstLine="600" w:firstLineChars="250"/>
        <w:jc w:val="both"/>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14:paraId="5A902C46">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14:paraId="5742FECA">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14:paraId="7666F884">
      <w:pPr>
        <w:pStyle w:val="12"/>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14:paraId="7BCA3CAC">
      <w:pPr>
        <w:pStyle w:val="12"/>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14:paraId="1B1481FA">
      <w:pPr>
        <w:pStyle w:val="12"/>
        <w:snapToGrid w:val="0"/>
        <w:spacing w:line="360" w:lineRule="auto"/>
        <w:ind w:firstLine="600" w:firstLineChars="250"/>
        <w:rPr>
          <w:rFonts w:ascii="仿宋_GB2312" w:hAnsi="仿宋_GB2312" w:eastAsia="仿宋_GB2312" w:cs="仿宋_GB2312"/>
          <w:color w:val="auto"/>
          <w:highlight w:val="none"/>
          <w:shd w:val="clear" w:color="FFFFFF" w:fill="D9D9D9"/>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hAnsi="宋体"/>
          <w:b/>
          <w:color w:val="auto"/>
          <w:kern w:val="0"/>
          <w:sz w:val="24"/>
          <w:highlight w:val="none"/>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14:paraId="3FA42AC7">
      <w:pPr>
        <w:pStyle w:val="24"/>
        <w:spacing w:before="0" w:beforeAutospacing="0" w:after="0" w:afterAutospacing="0" w:line="360" w:lineRule="auto"/>
        <w:ind w:firstLine="482" w:firstLineChars="200"/>
        <w:jc w:val="both"/>
        <w:rPr>
          <w:rFonts w:hint="default"/>
          <w:color w:val="auto"/>
          <w:highlight w:val="none"/>
        </w:rPr>
      </w:pPr>
      <w:r>
        <w:rPr>
          <w:b/>
          <w:color w:val="auto"/>
          <w:highlight w:val="none"/>
        </w:rPr>
        <w:t>五、谈判结果确定</w:t>
      </w:r>
    </w:p>
    <w:p w14:paraId="745021D4">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1、确定成交供应商。本项目由谈判小组推荐成交候选供应商。</w:t>
      </w:r>
    </w:p>
    <w:p w14:paraId="35963D3E">
      <w:pPr>
        <w:pStyle w:val="24"/>
        <w:spacing w:before="0" w:beforeAutospacing="0" w:after="0" w:afterAutospacing="0" w:line="360" w:lineRule="auto"/>
        <w:ind w:firstLine="600" w:firstLineChars="250"/>
        <w:jc w:val="both"/>
        <w:rPr>
          <w:rFonts w:hint="default"/>
          <w:color w:val="auto"/>
          <w:highlight w:val="none"/>
        </w:rPr>
      </w:pPr>
      <w:r>
        <w:rPr>
          <w:color w:val="auto"/>
          <w:highlight w:val="none"/>
        </w:rPr>
        <w:t>2、</w:t>
      </w:r>
      <w:r>
        <w:rPr>
          <w:rFonts w:hint="default"/>
          <w:color w:val="auto"/>
          <w:highlight w:val="none"/>
        </w:rPr>
        <w:t>采购人依法确定成交供应商后 2 个工作日内，采购代理机构以书面形式发出《成交通知书》,并同时在相关网站上发布成交结果公告。</w:t>
      </w:r>
    </w:p>
    <w:p w14:paraId="519C280A">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六、合同签订</w:t>
      </w:r>
    </w:p>
    <w:p w14:paraId="185E68ED">
      <w:pPr>
        <w:pStyle w:val="7"/>
        <w:ind w:firstLine="480" w:firstLineChars="200"/>
        <w:rPr>
          <w:rFonts w:hint="eastAsia" w:hAnsi="宋体" w:eastAsia="宋体"/>
          <w:color w:val="auto"/>
          <w:szCs w:val="24"/>
          <w:highlight w:val="none"/>
          <w:lang w:eastAsia="zh-CN"/>
        </w:rPr>
      </w:pPr>
      <w:r>
        <w:rPr>
          <w:rFonts w:hint="eastAsia" w:hAnsi="宋体"/>
          <w:color w:val="auto"/>
          <w:szCs w:val="24"/>
          <w:highlight w:val="none"/>
        </w:rPr>
        <w:t>1、采购人应当自成交通知书发出之日起10个工作日内</w:t>
      </w:r>
      <w:r>
        <w:rPr>
          <w:rFonts w:hint="eastAsia" w:hAnsi="宋体"/>
          <w:color w:val="auto"/>
          <w:szCs w:val="24"/>
          <w:highlight w:val="none"/>
          <w:lang w:eastAsia="zh-CN"/>
        </w:rPr>
        <w:t>供应商应提供接收利用场地的正式合同</w:t>
      </w:r>
      <w:r>
        <w:rPr>
          <w:rFonts w:hint="eastAsia" w:hAnsi="宋体"/>
          <w:color w:val="auto"/>
          <w:szCs w:val="24"/>
          <w:highlight w:val="none"/>
        </w:rPr>
        <w:t>，</w:t>
      </w:r>
      <w:r>
        <w:rPr>
          <w:rFonts w:hint="eastAsia" w:hAnsi="宋体"/>
          <w:color w:val="auto"/>
          <w:szCs w:val="24"/>
          <w:highlight w:val="none"/>
          <w:lang w:eastAsia="zh-CN"/>
        </w:rPr>
        <w:t>并采购人现场踏勘，符合要求之后</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确定的合同文本签订合同。</w:t>
      </w:r>
      <w:r>
        <w:rPr>
          <w:rFonts w:hint="eastAsia"/>
          <w:color w:val="auto"/>
          <w:szCs w:val="24"/>
          <w:highlight w:val="none"/>
          <w:lang w:eastAsia="zh-CN"/>
        </w:rPr>
        <w:t>不符合要求的，</w:t>
      </w:r>
      <w:r>
        <w:rPr>
          <w:color w:val="auto"/>
          <w:highlight w:val="none"/>
        </w:rPr>
        <w:t>采购人可以按照评审报告推荐的成交候选供应商名单排序，确定下一候选供应商为成交供应商，也可以重新开展采购活动。</w:t>
      </w:r>
    </w:p>
    <w:p w14:paraId="16009AE5">
      <w:pPr>
        <w:pStyle w:val="24"/>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2、采购人不得向成交供应商提出超出谈判文件以外的任何要求作为签订合同的条件，不得与成交供应商订立背离谈判文件确定的合同文本以及采购金额等实质性内容的协议。</w:t>
      </w:r>
    </w:p>
    <w:p w14:paraId="287B84D0">
      <w:pPr>
        <w:pStyle w:val="24"/>
        <w:spacing w:before="0" w:beforeAutospacing="0" w:after="0" w:afterAutospacing="0" w:line="360" w:lineRule="auto"/>
        <w:ind w:firstLine="600" w:firstLineChars="250"/>
        <w:jc w:val="both"/>
        <w:rPr>
          <w:rFonts w:hAnsi="宋体"/>
          <w:color w:val="auto"/>
          <w:szCs w:val="24"/>
          <w:highlight w:val="none"/>
        </w:rPr>
      </w:pPr>
      <w:r>
        <w:rPr>
          <w:color w:val="auto"/>
          <w:highlight w:val="none"/>
        </w:rPr>
        <w:t>3、成交供应商拒绝与采购人签订合同的，采购人可以按照评审报告推荐的成交候选供应商名单排序，确定下一候选供应商为成交供应商，也可以重新开展采购活动。</w:t>
      </w:r>
    </w:p>
    <w:p w14:paraId="52AA9BE6">
      <w:pPr>
        <w:rPr>
          <w:rFonts w:ascii="宋体" w:hAnsi="宋体"/>
          <w:b/>
          <w:color w:val="auto"/>
          <w:sz w:val="36"/>
          <w:szCs w:val="36"/>
          <w:highlight w:val="none"/>
        </w:rPr>
      </w:pPr>
      <w:r>
        <w:rPr>
          <w:rFonts w:hint="eastAsia" w:ascii="宋体" w:hAnsi="宋体"/>
          <w:b/>
          <w:color w:val="auto"/>
          <w:sz w:val="36"/>
          <w:szCs w:val="36"/>
          <w:highlight w:val="none"/>
        </w:rPr>
        <w:br w:type="page"/>
      </w:r>
    </w:p>
    <w:p w14:paraId="6DF36B2F">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highlight w:val="none"/>
        </w:rPr>
      </w:pPr>
      <w:r>
        <w:rPr>
          <w:rFonts w:hint="eastAsia" w:ascii="宋体" w:hAnsi="宋体"/>
          <w:b/>
          <w:color w:val="auto"/>
          <w:sz w:val="36"/>
          <w:szCs w:val="36"/>
          <w:highlight w:val="none"/>
        </w:rPr>
        <w:t>谈判内容</w:t>
      </w:r>
    </w:p>
    <w:p w14:paraId="0AEEBD5C">
      <w:pPr>
        <w:pStyle w:val="3"/>
        <w:jc w:val="center"/>
        <w:rPr>
          <w:color w:val="auto"/>
          <w:highlight w:val="none"/>
        </w:rPr>
      </w:pPr>
      <w:r>
        <w:rPr>
          <w:rFonts w:hint="eastAsia" w:ascii="宋体" w:hAnsi="宋体"/>
          <w:color w:val="auto"/>
          <w:sz w:val="24"/>
          <w:highlight w:val="none"/>
        </w:rPr>
        <w:t xml:space="preserve">  </w:t>
      </w:r>
      <w:bookmarkStart w:id="1" w:name="_Toc159588300"/>
      <w:bookmarkStart w:id="2" w:name="_Toc2654"/>
      <w:bookmarkStart w:id="3" w:name="_Toc25073"/>
      <w:bookmarkStart w:id="4" w:name="_Toc79398122"/>
      <w:r>
        <w:rPr>
          <w:rFonts w:hint="eastAsia"/>
          <w:color w:val="auto"/>
          <w:highlight w:val="none"/>
        </w:rPr>
        <w:t>第一</w:t>
      </w:r>
      <w:r>
        <w:rPr>
          <w:rFonts w:hint="eastAsia"/>
          <w:color w:val="auto"/>
          <w:highlight w:val="none"/>
          <w:lang w:eastAsia="zh-CN"/>
        </w:rPr>
        <w:t>节</w:t>
      </w:r>
      <w:r>
        <w:rPr>
          <w:rFonts w:hint="eastAsia"/>
          <w:color w:val="auto"/>
          <w:highlight w:val="none"/>
        </w:rPr>
        <w:t xml:space="preserve"> </w:t>
      </w:r>
      <w:bookmarkStart w:id="5" w:name="_Toc506107120"/>
      <w:r>
        <w:rPr>
          <w:rFonts w:hint="eastAsia"/>
          <w:color w:val="auto"/>
          <w:highlight w:val="none"/>
        </w:rPr>
        <w:t>采购内容及要求</w:t>
      </w:r>
      <w:bookmarkEnd w:id="1"/>
      <w:bookmarkEnd w:id="2"/>
      <w:bookmarkEnd w:id="3"/>
      <w:bookmarkEnd w:id="4"/>
      <w:bookmarkEnd w:id="5"/>
      <w:bookmarkStart w:id="6" w:name="_Toc159588301"/>
    </w:p>
    <w:p w14:paraId="61FD2402">
      <w:pPr>
        <w:spacing w:line="360" w:lineRule="auto"/>
        <w:ind w:firstLine="482" w:firstLineChars="200"/>
        <w:rPr>
          <w:rFonts w:hint="eastAsia" w:asciiTheme="minorEastAsia" w:hAnsiTheme="minorEastAsia" w:eastAsiaTheme="minorEastAsia" w:cstheme="minorEastAsia"/>
          <w:b/>
          <w:color w:val="auto"/>
          <w:sz w:val="24"/>
          <w:szCs w:val="24"/>
          <w:highlight w:val="none"/>
        </w:rPr>
      </w:pPr>
      <w:bookmarkStart w:id="7" w:name="_Toc472242213"/>
      <w:bookmarkStart w:id="8" w:name="_Toc527964793"/>
      <w:bookmarkStart w:id="9" w:name="_Toc162835522"/>
      <w:r>
        <w:rPr>
          <w:rFonts w:hint="eastAsia" w:asciiTheme="minorEastAsia" w:hAnsiTheme="minorEastAsia" w:eastAsiaTheme="minorEastAsia" w:cstheme="minorEastAsia"/>
          <w:b/>
          <w:color w:val="auto"/>
          <w:sz w:val="24"/>
          <w:szCs w:val="24"/>
          <w:highlight w:val="none"/>
        </w:rPr>
        <w:t>一、项目背景</w:t>
      </w:r>
    </w:p>
    <w:p w14:paraId="14EBDC8C">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根据《中华人民共和国土壤污染防治法》、《浙江省土壤污染防治条例》</w:t>
      </w:r>
      <w:r>
        <w:rPr>
          <w:rFonts w:hint="eastAsia" w:asciiTheme="minorEastAsia" w:hAnsiTheme="minorEastAsia" w:eastAsiaTheme="minorEastAsia" w:cstheme="minorEastAsia"/>
          <w:bCs/>
          <w:color w:val="auto"/>
          <w:sz w:val="24"/>
          <w:szCs w:val="24"/>
          <w:highlight w:val="none"/>
          <w:lang w:eastAsia="zh-CN"/>
        </w:rPr>
        <w:t>相关</w:t>
      </w:r>
      <w:r>
        <w:rPr>
          <w:rFonts w:hint="eastAsia" w:asciiTheme="minorEastAsia" w:hAnsiTheme="minorEastAsia" w:eastAsiaTheme="minorEastAsia" w:cstheme="minorEastAsia"/>
          <w:bCs/>
          <w:color w:val="auto"/>
          <w:sz w:val="24"/>
          <w:szCs w:val="24"/>
          <w:highlight w:val="none"/>
        </w:rPr>
        <w:t>文件要求，为进一步加强土壤和地下水污染防治工作，</w:t>
      </w:r>
      <w:r>
        <w:rPr>
          <w:rFonts w:hint="eastAsia" w:asciiTheme="minorEastAsia" w:hAnsiTheme="minorEastAsia" w:eastAsiaTheme="minorEastAsia" w:cstheme="minorEastAsia"/>
          <w:bCs/>
          <w:color w:val="auto"/>
          <w:sz w:val="24"/>
          <w:szCs w:val="24"/>
          <w:highlight w:val="none"/>
          <w:lang w:eastAsia="zh-CN"/>
        </w:rPr>
        <w:t>三门县环境卫生服务中心采购的三门县下湾生活垃圾</w:t>
      </w:r>
      <w:r>
        <w:rPr>
          <w:rFonts w:hint="eastAsia" w:asciiTheme="minorEastAsia" w:hAnsiTheme="minorEastAsia" w:eastAsiaTheme="minorEastAsia" w:cstheme="minorEastAsia"/>
          <w:bCs/>
          <w:color w:val="auto"/>
          <w:sz w:val="24"/>
          <w:szCs w:val="24"/>
          <w:highlight w:val="none"/>
        </w:rPr>
        <w:t>填埋场</w:t>
      </w:r>
      <w:r>
        <w:rPr>
          <w:rFonts w:hint="eastAsia" w:asciiTheme="minorEastAsia" w:hAnsiTheme="minorEastAsia" w:eastAsiaTheme="minorEastAsia" w:cstheme="minorEastAsia"/>
          <w:bCs/>
          <w:color w:val="auto"/>
          <w:sz w:val="24"/>
          <w:szCs w:val="24"/>
          <w:highlight w:val="none"/>
          <w:lang w:eastAsia="zh-CN"/>
        </w:rPr>
        <w:t>地下水、土壤</w:t>
      </w:r>
      <w:r>
        <w:rPr>
          <w:rFonts w:hint="eastAsia" w:asciiTheme="minorEastAsia" w:hAnsiTheme="minorEastAsia" w:eastAsiaTheme="minorEastAsia" w:cstheme="minorEastAsia"/>
          <w:bCs/>
          <w:color w:val="auto"/>
          <w:sz w:val="24"/>
          <w:szCs w:val="24"/>
          <w:highlight w:val="none"/>
        </w:rPr>
        <w:t>监测工作，为按时按要求完成上级下达任务，故开展本次</w:t>
      </w:r>
      <w:r>
        <w:rPr>
          <w:rFonts w:hint="eastAsia" w:asciiTheme="minorEastAsia" w:hAnsiTheme="minorEastAsia" w:eastAsiaTheme="minorEastAsia" w:cstheme="minorEastAsia"/>
          <w:bCs/>
          <w:color w:val="auto"/>
          <w:sz w:val="24"/>
          <w:szCs w:val="24"/>
          <w:highlight w:val="none"/>
          <w:lang w:eastAsia="zh-CN"/>
        </w:rPr>
        <w:t>谈判</w:t>
      </w:r>
      <w:r>
        <w:rPr>
          <w:rFonts w:hint="eastAsia" w:asciiTheme="minorEastAsia" w:hAnsiTheme="minorEastAsia" w:eastAsiaTheme="minorEastAsia" w:cstheme="minorEastAsia"/>
          <w:bCs/>
          <w:color w:val="auto"/>
          <w:sz w:val="24"/>
          <w:szCs w:val="24"/>
          <w:highlight w:val="none"/>
        </w:rPr>
        <w:t>工作。</w:t>
      </w:r>
    </w:p>
    <w:p w14:paraId="5E843B83">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二、采购内容及要求</w:t>
      </w:r>
    </w:p>
    <w:tbl>
      <w:tblPr>
        <w:tblStyle w:val="27"/>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1185"/>
        <w:gridCol w:w="900"/>
        <w:gridCol w:w="3045"/>
        <w:gridCol w:w="1140"/>
        <w:gridCol w:w="1200"/>
      </w:tblGrid>
      <w:tr w14:paraId="129E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70B2A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监测内容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0882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监测点位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3EF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点位数量</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5619F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监测项目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9C65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监测频率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9B6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14:paraId="382C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BF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8359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620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57F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值、总硬度、溶解性总固体、耗氧量</w:t>
            </w:r>
            <w:r>
              <w:rPr>
                <w:rStyle w:val="54"/>
                <w:rFonts w:hint="eastAsia" w:asciiTheme="minorEastAsia" w:hAnsiTheme="minorEastAsia" w:eastAsiaTheme="minorEastAsia" w:cstheme="minorEastAsia"/>
                <w:color w:val="auto"/>
                <w:sz w:val="24"/>
                <w:szCs w:val="24"/>
                <w:highlight w:val="none"/>
                <w:lang w:val="en-US" w:eastAsia="zh-CN" w:bidi="ar"/>
              </w:rPr>
              <w:t>(COD</w:t>
            </w:r>
            <w:r>
              <w:rPr>
                <w:rStyle w:val="53"/>
                <w:rFonts w:hint="eastAsia" w:asciiTheme="minorEastAsia" w:hAnsiTheme="minorEastAsia" w:eastAsiaTheme="minorEastAsia" w:cstheme="minorEastAsia"/>
                <w:color w:val="auto"/>
                <w:sz w:val="24"/>
                <w:szCs w:val="24"/>
                <w:highlight w:val="none"/>
                <w:lang w:val="en-US" w:eastAsia="zh-CN" w:bidi="ar"/>
              </w:rPr>
              <w:t>法</w:t>
            </w:r>
            <w:r>
              <w:rPr>
                <w:rStyle w:val="54"/>
                <w:rFonts w:hint="eastAsia" w:asciiTheme="minorEastAsia" w:hAnsiTheme="minorEastAsia" w:eastAsiaTheme="minorEastAsia" w:cstheme="minorEastAsia"/>
                <w:color w:val="auto"/>
                <w:sz w:val="24"/>
                <w:szCs w:val="24"/>
                <w:highlight w:val="none"/>
                <w:lang w:val="en-US" w:eastAsia="zh-CN" w:bidi="ar"/>
              </w:rPr>
              <w:t>)</w:t>
            </w:r>
            <w:r>
              <w:rPr>
                <w:rStyle w:val="53"/>
                <w:rFonts w:hint="eastAsia" w:asciiTheme="minorEastAsia" w:hAnsiTheme="minorEastAsia" w:eastAsiaTheme="minorEastAsia" w:cstheme="minorEastAsia"/>
                <w:color w:val="auto"/>
                <w:sz w:val="24"/>
                <w:szCs w:val="24"/>
                <w:highlight w:val="none"/>
                <w:lang w:val="en-US" w:eastAsia="zh-CN" w:bidi="ar"/>
              </w:rPr>
              <w:t>、氨氮、硝酸盐、亚硝酸盐、硫酸盐、氯化物、挥发性酚类、氰化物、砷、汞、总铬、六价铬、铅</w:t>
            </w:r>
            <w:r>
              <w:rPr>
                <w:rStyle w:val="53"/>
                <w:rFonts w:hint="eastAsia" w:asciiTheme="minorEastAsia" w:hAnsiTheme="minorEastAsia" w:eastAsiaTheme="minorEastAsia" w:cstheme="minorEastAsia"/>
                <w:i w:val="0"/>
                <w:iCs w:val="0"/>
                <w:color w:val="auto"/>
                <w:sz w:val="24"/>
                <w:szCs w:val="24"/>
                <w:highlight w:val="none"/>
                <w:lang w:val="en-US" w:eastAsia="zh-CN" w:bidi="ar"/>
              </w:rPr>
              <w:t>、氟化物、镉、铁、锰、铜、锌、镍、铍、总大肠菌群、总磷、苯胺类</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DF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本底井每月</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次，排水井每周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次，扩散井和监视井每</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vMerge w:val="restart"/>
            <w:tcBorders>
              <w:top w:val="single" w:color="000000" w:sz="4" w:space="0"/>
              <w:left w:val="single" w:color="000000" w:sz="4" w:space="0"/>
              <w:right w:val="single" w:color="000000" w:sz="4" w:space="0"/>
            </w:tcBorders>
            <w:noWrap w:val="0"/>
            <w:vAlign w:val="center"/>
          </w:tcPr>
          <w:p w14:paraId="03951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GB16889-2024</w:t>
            </w:r>
            <w:r>
              <w:rPr>
                <w:rStyle w:val="53"/>
                <w:rFonts w:hint="eastAsia" w:asciiTheme="minorEastAsia" w:hAnsiTheme="minorEastAsia" w:eastAsiaTheme="minorEastAsia" w:cstheme="minorEastAsia"/>
                <w:color w:val="auto"/>
                <w:sz w:val="24"/>
                <w:szCs w:val="24"/>
                <w:highlight w:val="none"/>
                <w:lang w:val="en-US" w:eastAsia="zh-CN" w:bidi="ar"/>
              </w:rPr>
              <w:t>标准</w:t>
            </w:r>
          </w:p>
        </w:tc>
      </w:tr>
      <w:tr w14:paraId="2927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3F852">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516B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排水井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6D6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397CC">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DE85F">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3638DD43">
            <w:pPr>
              <w:jc w:val="center"/>
              <w:rPr>
                <w:rFonts w:hint="eastAsia" w:asciiTheme="minorEastAsia" w:hAnsiTheme="minorEastAsia" w:eastAsiaTheme="minorEastAsia" w:cstheme="minorEastAsia"/>
                <w:i w:val="0"/>
                <w:iCs w:val="0"/>
                <w:color w:val="auto"/>
                <w:sz w:val="24"/>
                <w:szCs w:val="24"/>
                <w:highlight w:val="none"/>
                <w:u w:val="none"/>
              </w:rPr>
            </w:pPr>
          </w:p>
        </w:tc>
      </w:tr>
      <w:tr w14:paraId="7C74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B6F9B">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1651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扩散井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33E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E2349">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DEF23">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5D585BB9">
            <w:pPr>
              <w:jc w:val="center"/>
              <w:rPr>
                <w:rFonts w:hint="eastAsia" w:asciiTheme="minorEastAsia" w:hAnsiTheme="minorEastAsia" w:eastAsiaTheme="minorEastAsia" w:cstheme="minorEastAsia"/>
                <w:i w:val="0"/>
                <w:iCs w:val="0"/>
                <w:color w:val="auto"/>
                <w:sz w:val="24"/>
                <w:szCs w:val="24"/>
                <w:highlight w:val="none"/>
                <w:u w:val="none"/>
              </w:rPr>
            </w:pPr>
          </w:p>
        </w:tc>
      </w:tr>
      <w:tr w14:paraId="2282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FCFDE">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4250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监视井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261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3</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C40D6">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F94A9">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53E43E2E">
            <w:pPr>
              <w:jc w:val="center"/>
              <w:rPr>
                <w:rFonts w:hint="eastAsia" w:asciiTheme="minorEastAsia" w:hAnsiTheme="minorEastAsia" w:eastAsiaTheme="minorEastAsia" w:cstheme="minorEastAsia"/>
                <w:i w:val="0"/>
                <w:iCs w:val="0"/>
                <w:color w:val="auto"/>
                <w:sz w:val="24"/>
                <w:szCs w:val="24"/>
                <w:highlight w:val="none"/>
                <w:u w:val="none"/>
              </w:rPr>
            </w:pPr>
          </w:p>
        </w:tc>
      </w:tr>
      <w:tr w14:paraId="6ABC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03E45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土壤</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71AB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填埋场库边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FD9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4</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017E7B4B">
            <w:pPr>
              <w:keepNext w:val="0"/>
              <w:keepLines w:val="0"/>
              <w:widowControl/>
              <w:suppressLineNumbers w:val="0"/>
              <w:jc w:val="center"/>
              <w:textAlignment w:val="center"/>
              <w:rPr>
                <w:rStyle w:val="53"/>
                <w:rFonts w:hint="eastAsia" w:asciiTheme="minorEastAsia" w:hAnsiTheme="minorEastAsia" w:eastAsiaTheme="minorEastAsia" w:cstheme="minorEastAsia"/>
                <w:color w:val="auto"/>
                <w:sz w:val="24"/>
                <w:szCs w:val="24"/>
                <w:highlight w:val="none"/>
                <w:lang w:val="en-US" w:eastAsia="zh-CN" w:bidi="ar"/>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及《土壤环境质量建设用地土壤污染风险管控标准（试行）》</w:t>
            </w: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中的45项、锌、铍、石油烃、</w:t>
            </w:r>
          </w:p>
          <w:p w14:paraId="09038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二噁英类（S1表层取样）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59A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每年</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D07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中第二类用地筛选值标准</w:t>
            </w:r>
          </w:p>
        </w:tc>
      </w:tr>
    </w:tbl>
    <w:p w14:paraId="4D6126DB">
      <w:pPr>
        <w:tabs>
          <w:tab w:val="left" w:pos="4763"/>
        </w:tabs>
        <w:bidi w:val="0"/>
        <w:ind w:firstLine="630" w:firstLineChars="300"/>
        <w:jc w:val="left"/>
        <w:rPr>
          <w:rFonts w:hint="eastAsia"/>
          <w:color w:val="auto"/>
          <w:highlight w:val="none"/>
          <w:lang w:val="en-US" w:eastAsia="zh-CN"/>
        </w:rPr>
      </w:pPr>
      <w:r>
        <w:rPr>
          <w:rFonts w:hint="eastAsia"/>
          <w:color w:val="auto"/>
          <w:highlight w:val="none"/>
          <w:lang w:eastAsia="zh-CN"/>
        </w:rPr>
        <w:t>备注：</w:t>
      </w:r>
      <w:r>
        <w:rPr>
          <w:rFonts w:hint="eastAsia"/>
          <w:color w:val="auto"/>
          <w:highlight w:val="none"/>
          <w:lang w:val="en-US" w:eastAsia="zh-CN"/>
        </w:rPr>
        <w:t>1.监测点位详见现场位置图。</w:t>
      </w:r>
    </w:p>
    <w:p w14:paraId="213FC22F">
      <w:pPr>
        <w:tabs>
          <w:tab w:val="left" w:pos="4763"/>
        </w:tabs>
        <w:bidi w:val="0"/>
        <w:ind w:firstLine="630" w:firstLineChars="300"/>
        <w:jc w:val="left"/>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 xml:space="preserve">      2.根据监测结果编写地下水（土壤）年度监测报</w:t>
      </w:r>
      <w:r>
        <w:rPr>
          <w:rFonts w:hint="eastAsia" w:ascii="Calibri" w:hAnsi="Calibri" w:eastAsia="宋体" w:cs="Times New Roman"/>
          <w:color w:val="auto"/>
          <w:kern w:val="2"/>
          <w:sz w:val="21"/>
          <w:szCs w:val="22"/>
          <w:highlight w:val="none"/>
          <w:lang w:val="en-US" w:eastAsia="zh-CN" w:bidi="ar-SA"/>
        </w:rPr>
        <w:t>告（地下水分枯水期、丰水期）。</w:t>
      </w:r>
    </w:p>
    <w:bookmarkEnd w:id="7"/>
    <w:bookmarkEnd w:id="8"/>
    <w:bookmarkEnd w:id="9"/>
    <w:p w14:paraId="6102D7CE">
      <w:pPr>
        <w:pStyle w:val="10"/>
        <w:autoSpaceDE/>
        <w:autoSpaceDN/>
        <w:adjustRightInd/>
        <w:ind w:firstLine="482" w:firstLineChars="20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rPr>
        <w:t>、人员要求</w:t>
      </w:r>
    </w:p>
    <w:p w14:paraId="5D57F082">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人拟派团队成员</w:t>
      </w:r>
      <w:r>
        <w:rPr>
          <w:rFonts w:hint="eastAsia" w:asciiTheme="minorEastAsia" w:hAnsiTheme="minorEastAsia" w:eastAsiaTheme="minorEastAsia" w:cstheme="minorEastAsia"/>
          <w:color w:val="auto"/>
          <w:sz w:val="24"/>
          <w:szCs w:val="24"/>
          <w:highlight w:val="none"/>
        </w:rPr>
        <w:t>应具有相关专业背景。</w:t>
      </w:r>
    </w:p>
    <w:p w14:paraId="284E09AC">
      <w:pPr>
        <w:pStyle w:val="10"/>
        <w:tabs>
          <w:tab w:val="left" w:pos="1275"/>
        </w:tabs>
        <w:ind w:firstLine="48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服务期限</w:t>
      </w:r>
    </w:p>
    <w:p w14:paraId="4DAA7570">
      <w:pPr>
        <w:pStyle w:val="10"/>
        <w:tabs>
          <w:tab w:val="left" w:pos="1275"/>
        </w:tabs>
        <w:ind w:firstLine="480"/>
        <w:rPr>
          <w:rFonts w:hint="eastAsia" w:asciiTheme="minorEastAsia" w:hAnsiTheme="minorEastAsia" w:eastAsiaTheme="minorEastAsia" w:cstheme="minorEastAsia"/>
          <w:color w:val="auto"/>
          <w:sz w:val="24"/>
          <w:szCs w:val="24"/>
          <w:highlight w:val="none"/>
          <w:lang w:val="en-US"/>
        </w:rPr>
      </w:pPr>
      <w:r>
        <w:rPr>
          <w:rFonts w:hint="eastAsia"/>
          <w:color w:val="auto"/>
          <w:highlight w:val="none"/>
          <w:lang w:val="en-US" w:eastAsia="zh-CN"/>
        </w:rPr>
        <w:t>2025年8月—2026年7月</w:t>
      </w:r>
      <w:r>
        <w:rPr>
          <w:rFonts w:hint="eastAsia" w:asciiTheme="minorEastAsia" w:hAnsiTheme="minorEastAsia" w:eastAsiaTheme="minorEastAsia" w:cstheme="minorEastAsia"/>
          <w:color w:val="auto"/>
          <w:sz w:val="24"/>
          <w:szCs w:val="24"/>
          <w:highlight w:val="none"/>
          <w:lang w:val="en-US"/>
        </w:rPr>
        <w:t>。</w:t>
      </w:r>
    </w:p>
    <w:p w14:paraId="7029C85B">
      <w:pPr>
        <w:pStyle w:val="10"/>
        <w:tabs>
          <w:tab w:val="left" w:pos="1275"/>
        </w:tabs>
        <w:ind w:firstLine="48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五</w:t>
      </w:r>
      <w:r>
        <w:rPr>
          <w:rFonts w:hint="eastAsia" w:asciiTheme="minorEastAsia" w:hAnsiTheme="minorEastAsia" w:eastAsiaTheme="minorEastAsia" w:cstheme="minorEastAsia"/>
          <w:b/>
          <w:bCs/>
          <w:color w:val="auto"/>
          <w:sz w:val="24"/>
          <w:szCs w:val="24"/>
          <w:highlight w:val="none"/>
        </w:rPr>
        <w:t>、验收要求。</w:t>
      </w:r>
    </w:p>
    <w:p w14:paraId="7822D4DC">
      <w:pPr>
        <w:pStyle w:val="11"/>
        <w:tabs>
          <w:tab w:val="left" w:pos="1275"/>
        </w:tabs>
        <w:ind w:firstLine="24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中标人需根据要求定期开展地下水（土壤）的采样、数据分析、样品保存等，并出具相应监测报告每月提交到三门县环境卫生服务中心，编写三门县下湾生活垃圾填埋场地下水（土壤）年度监测报告（地下水分枯水期、丰水期），需符合相关法律法规的要求并通过甲方和生态环境主管部门验收通过。</w:t>
      </w:r>
    </w:p>
    <w:p w14:paraId="66C4E8E1">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、其他要求</w:t>
      </w:r>
    </w:p>
    <w:p w14:paraId="5F152862">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应当依照法律、法规、规章、国家标准或者行业标准的规定，遵循客观公正、诚实守信、公平竞争的原则，遵守执业准则，恪守职业道德，依法独立开展工作。</w:t>
      </w:r>
    </w:p>
    <w:p w14:paraId="15CA215E">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中标人应结合现场施工实际情况，制定及完善相应的管理制度，采取有效的职业健康安全管理措施。应按相关要求进行安全风险识别、安全培训，现场注意远离易燃易爆及危险品等设施。项目服务</w:t>
      </w:r>
      <w:r>
        <w:rPr>
          <w:rFonts w:hint="eastAsia" w:asciiTheme="minorEastAsia" w:hAnsiTheme="minorEastAsia" w:eastAsiaTheme="minorEastAsia" w:cstheme="minorEastAsia"/>
          <w:color w:val="auto"/>
          <w:sz w:val="24"/>
          <w:szCs w:val="24"/>
          <w:highlight w:val="none"/>
        </w:rPr>
        <w:t>期间，中标</w:t>
      </w:r>
      <w:r>
        <w:rPr>
          <w:rFonts w:hint="eastAsia" w:asciiTheme="minorEastAsia" w:hAnsiTheme="minorEastAsia" w:eastAsiaTheme="minorEastAsia" w:cstheme="minorEastAsia"/>
          <w:color w:val="auto"/>
          <w:sz w:val="24"/>
          <w:szCs w:val="24"/>
          <w:highlight w:val="none"/>
          <w:lang w:val="en-US"/>
        </w:rPr>
        <w:t>人工作人员</w:t>
      </w:r>
      <w:r>
        <w:rPr>
          <w:rFonts w:hint="eastAsia" w:asciiTheme="minorEastAsia" w:hAnsiTheme="minorEastAsia" w:eastAsiaTheme="minorEastAsia" w:cstheme="minorEastAsia"/>
          <w:color w:val="auto"/>
          <w:sz w:val="24"/>
          <w:szCs w:val="24"/>
          <w:highlight w:val="none"/>
        </w:rPr>
        <w:t>在工作中发生任何人身损害及财产损失，与采购人无关，中标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负责全权处理事故并承担全部费用。</w:t>
      </w:r>
    </w:p>
    <w:p w14:paraId="2A5774EC">
      <w:pPr>
        <w:spacing w:line="360" w:lineRule="auto"/>
        <w:ind w:left="48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、技术成果归属</w:t>
      </w:r>
    </w:p>
    <w:p w14:paraId="79B1CF58">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本项目技术成果的所有权及知识产权归属采购人所有。未经采购人授权，中标人无权将调查和方案数据或相关信息发送给任何第三方。</w:t>
      </w:r>
    </w:p>
    <w:p w14:paraId="0710275C">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八</w:t>
      </w:r>
      <w:r>
        <w:rPr>
          <w:rFonts w:hint="eastAsia" w:asciiTheme="minorEastAsia" w:hAnsiTheme="minorEastAsia" w:eastAsiaTheme="minorEastAsia" w:cstheme="minorEastAsia"/>
          <w:b/>
          <w:color w:val="auto"/>
          <w:sz w:val="24"/>
          <w:szCs w:val="24"/>
          <w:highlight w:val="none"/>
        </w:rPr>
        <w:t>、保密要求</w:t>
      </w:r>
    </w:p>
    <w:p w14:paraId="1874F970">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在合同履行期间，中标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所获得的一切原始资料及在服务过程中所取得的与履行合同有关的现有工作成果及相关资料属采购人所有，中标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负有保密义务。未经采购人书面同意，中标人</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rPr>
        <w:t>不得在合同期内或合同履行完毕后以任何方式泄露。保密信息包括但不限于图纸、图表、数据等。但下列信息不属于保密信息：</w:t>
      </w:r>
    </w:p>
    <w:p w14:paraId="77368C8C">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A、</w:t>
      </w:r>
      <w:r>
        <w:rPr>
          <w:rFonts w:hint="eastAsia" w:asciiTheme="minorEastAsia" w:hAnsiTheme="minorEastAsia" w:eastAsiaTheme="minorEastAsia" w:cstheme="minorEastAsia"/>
          <w:color w:val="auto"/>
          <w:sz w:val="24"/>
          <w:szCs w:val="24"/>
          <w:highlight w:val="none"/>
        </w:rPr>
        <w:t>已进入公共领域的信息；</w:t>
      </w:r>
    </w:p>
    <w:p w14:paraId="537FC7F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B、</w:t>
      </w:r>
      <w:r>
        <w:rPr>
          <w:rFonts w:hint="eastAsia" w:asciiTheme="minorEastAsia" w:hAnsiTheme="minorEastAsia" w:eastAsiaTheme="minorEastAsia" w:cstheme="minorEastAsia"/>
          <w:color w:val="auto"/>
          <w:sz w:val="24"/>
          <w:szCs w:val="24"/>
          <w:highlight w:val="none"/>
        </w:rPr>
        <w:t>从任何对信息不承担保密义务的第三方合法获得的信息；</w:t>
      </w:r>
    </w:p>
    <w:p w14:paraId="2766ECF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对于属于中标人所有的新技术和新方法，</w:t>
      </w:r>
      <w:r>
        <w:rPr>
          <w:rFonts w:hint="eastAsia" w:asciiTheme="minorEastAsia" w:hAnsiTheme="minorEastAsia" w:eastAsiaTheme="minorEastAsia" w:cstheme="minorEastAsia"/>
          <w:color w:val="auto"/>
          <w:sz w:val="24"/>
          <w:szCs w:val="24"/>
          <w:highlight w:val="none"/>
          <w:lang w:val="en-US"/>
        </w:rPr>
        <w:t>采购人</w:t>
      </w:r>
      <w:r>
        <w:rPr>
          <w:rFonts w:hint="eastAsia" w:asciiTheme="minorEastAsia" w:hAnsiTheme="minorEastAsia" w:eastAsiaTheme="minorEastAsia" w:cstheme="minorEastAsia"/>
          <w:color w:val="auto"/>
          <w:sz w:val="24"/>
          <w:szCs w:val="24"/>
          <w:highlight w:val="none"/>
        </w:rPr>
        <w:t>负有保密义务，未经</w:t>
      </w:r>
      <w:r>
        <w:rPr>
          <w:rFonts w:hint="eastAsia" w:asciiTheme="minorEastAsia" w:hAnsiTheme="minorEastAsia" w:eastAsiaTheme="minorEastAsia" w:cstheme="minorEastAsia"/>
          <w:color w:val="auto"/>
          <w:sz w:val="24"/>
          <w:szCs w:val="24"/>
          <w:highlight w:val="none"/>
          <w:lang w:val="en-US"/>
        </w:rPr>
        <w:t>中标人</w:t>
      </w:r>
      <w:r>
        <w:rPr>
          <w:rFonts w:hint="eastAsia" w:asciiTheme="minorEastAsia" w:hAnsiTheme="minorEastAsia" w:eastAsiaTheme="minorEastAsia" w:cstheme="minorEastAsia"/>
          <w:color w:val="auto"/>
          <w:sz w:val="24"/>
          <w:szCs w:val="24"/>
          <w:highlight w:val="none"/>
        </w:rPr>
        <w:t>书面同意，不得以任何方式泄露。</w:t>
      </w:r>
    </w:p>
    <w:p w14:paraId="65D9242C">
      <w:pPr>
        <w:pStyle w:val="3"/>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第二章 付款方式及要求</w:t>
      </w:r>
      <w:bookmarkEnd w:id="6"/>
    </w:p>
    <w:p w14:paraId="4DB21658">
      <w:pPr>
        <w:pStyle w:val="6"/>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一、付款方式</w:t>
      </w:r>
    </w:p>
    <w:p w14:paraId="11DF61BD">
      <w:pPr>
        <w:tabs>
          <w:tab w:val="left" w:pos="3870"/>
          <w:tab w:val="left" w:pos="4085"/>
        </w:tabs>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完成土壤地下水监测报告并经验收合格后付清</w:t>
      </w:r>
      <w:r>
        <w:rPr>
          <w:rFonts w:hint="eastAsia" w:asciiTheme="minorEastAsia" w:hAnsiTheme="minorEastAsia" w:eastAsiaTheme="minorEastAsia" w:cstheme="minorEastAsia"/>
          <w:color w:val="auto"/>
          <w:sz w:val="24"/>
          <w:szCs w:val="24"/>
          <w:highlight w:val="none"/>
          <w:lang w:eastAsia="zh-CN"/>
        </w:rPr>
        <w:t>合同价</w:t>
      </w:r>
      <w:r>
        <w:rPr>
          <w:rFonts w:hint="eastAsia" w:asciiTheme="minorEastAsia" w:hAnsiTheme="minorEastAsia" w:eastAsiaTheme="minorEastAsia" w:cstheme="minorEastAsia"/>
          <w:color w:val="auto"/>
          <w:sz w:val="24"/>
          <w:szCs w:val="24"/>
          <w:highlight w:val="none"/>
        </w:rPr>
        <w:t>款。</w:t>
      </w:r>
    </w:p>
    <w:p w14:paraId="7108C10B">
      <w:pPr>
        <w:pStyle w:val="26"/>
        <w:spacing w:after="0" w:line="360" w:lineRule="auto"/>
        <w:ind w:left="0" w:leftChars="0" w:firstLine="48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二、付款要求</w:t>
      </w:r>
    </w:p>
    <w:p w14:paraId="6D2687BD">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中标人在收款之前，应向采购人提供增值税专用发票，采购人凭发票付款。如中标人未按约定提供发票的，采购人有权拒绝付款，直至收到中标人提交的相应发票为止，在此情况下，采购人不承担逾期付款违约责任</w:t>
      </w:r>
      <w:r>
        <w:rPr>
          <w:rFonts w:hint="eastAsia" w:asciiTheme="minorEastAsia" w:hAnsiTheme="minorEastAsia" w:eastAsiaTheme="minorEastAsia" w:cstheme="minorEastAsia"/>
          <w:color w:val="auto"/>
          <w:kern w:val="0"/>
          <w:sz w:val="24"/>
          <w:szCs w:val="24"/>
          <w:highlight w:val="none"/>
        </w:rPr>
        <w:t>。</w:t>
      </w:r>
    </w:p>
    <w:p w14:paraId="7FA40D2A">
      <w:pPr>
        <w:pStyle w:val="2"/>
        <w:rPr>
          <w:rFonts w:hint="eastAsia" w:asciiTheme="minorEastAsia" w:hAnsiTheme="minorEastAsia" w:eastAsiaTheme="minorEastAsia" w:cstheme="minorEastAsia"/>
          <w:color w:val="auto"/>
          <w:sz w:val="24"/>
          <w:szCs w:val="24"/>
          <w:highlight w:val="none"/>
        </w:rPr>
      </w:pPr>
    </w:p>
    <w:p w14:paraId="0B07AF5D">
      <w:pPr>
        <w:keepNext w:val="0"/>
        <w:keepLines w:val="0"/>
        <w:pageBreakBefore w:val="0"/>
        <w:widowControl w:val="0"/>
        <w:kinsoku/>
        <w:wordWrap/>
        <w:overflowPunct/>
        <w:topLinePunct w:val="0"/>
        <w:autoSpaceDE/>
        <w:autoSpaceDN/>
        <w:bidi w:val="0"/>
        <w:adjustRightInd/>
        <w:snapToGrid/>
        <w:spacing w:line="420" w:lineRule="exact"/>
        <w:ind w:firstLine="723" w:firstLineChars="200"/>
        <w:textAlignment w:val="auto"/>
        <w:rPr>
          <w:b/>
          <w:color w:val="auto"/>
          <w:kern w:val="0"/>
          <w:sz w:val="36"/>
          <w:highlight w:val="none"/>
        </w:rPr>
      </w:pPr>
    </w:p>
    <w:p w14:paraId="6D64EB92">
      <w:pPr>
        <w:rPr>
          <w:rFonts w:hint="eastAsia"/>
          <w:b/>
          <w:color w:val="auto"/>
          <w:kern w:val="0"/>
          <w:sz w:val="36"/>
          <w:highlight w:val="none"/>
        </w:rPr>
      </w:pPr>
      <w:r>
        <w:rPr>
          <w:rFonts w:hint="eastAsia"/>
          <w:b/>
          <w:color w:val="auto"/>
          <w:kern w:val="0"/>
          <w:sz w:val="36"/>
          <w:highlight w:val="none"/>
        </w:rPr>
        <w:br w:type="page"/>
      </w:r>
    </w:p>
    <w:p w14:paraId="1B52B8E8">
      <w:pPr>
        <w:jc w:val="center"/>
        <w:rPr>
          <w:rFonts w:hint="eastAsia" w:ascii="黑体" w:eastAsia="黑体"/>
          <w:color w:val="auto"/>
          <w:sz w:val="36"/>
          <w:szCs w:val="32"/>
          <w:highlight w:val="none"/>
        </w:rPr>
      </w:pPr>
      <w:r>
        <w:rPr>
          <w:rFonts w:hint="eastAsia"/>
          <w:b/>
          <w:color w:val="auto"/>
          <w:kern w:val="0"/>
          <w:sz w:val="36"/>
          <w:highlight w:val="none"/>
        </w:rPr>
        <w:t xml:space="preserve">第四章  </w:t>
      </w:r>
      <w:r>
        <w:rPr>
          <w:rFonts w:ascii="黑体" w:eastAsia="黑体"/>
          <w:color w:val="auto"/>
          <w:sz w:val="36"/>
          <w:szCs w:val="32"/>
          <w:highlight w:val="none"/>
        </w:rPr>
        <w:t>合同条款</w:t>
      </w:r>
    </w:p>
    <w:p w14:paraId="769266B7">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合同编号：（2025）第</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号</w:t>
      </w:r>
    </w:p>
    <w:p w14:paraId="5953E124">
      <w:pPr>
        <w:pStyle w:val="55"/>
        <w:spacing w:line="360" w:lineRule="auto"/>
        <w:ind w:firstLine="380"/>
        <w:rPr>
          <w:rFonts w:hint="eastAsia"/>
          <w:color w:val="auto"/>
          <w:sz w:val="24"/>
          <w:szCs w:val="24"/>
          <w:highlight w:val="none"/>
        </w:rPr>
      </w:pPr>
      <w:r>
        <w:rPr>
          <w:rFonts w:hint="eastAsia"/>
          <w:color w:val="auto"/>
          <w:sz w:val="24"/>
          <w:szCs w:val="24"/>
          <w:highlight w:val="none"/>
        </w:rPr>
        <w:t>签订日期：</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lang w:val="zh-CN" w:eastAsia="zh-CN" w:bidi="zh-CN"/>
        </w:rPr>
        <w:t>日</w:t>
      </w:r>
    </w:p>
    <w:p w14:paraId="6F26B49C">
      <w:pPr>
        <w:pStyle w:val="55"/>
        <w:spacing w:line="360" w:lineRule="auto"/>
        <w:ind w:firstLine="380"/>
        <w:rPr>
          <w:rFonts w:hint="eastAsia"/>
          <w:color w:val="auto"/>
          <w:sz w:val="24"/>
          <w:szCs w:val="24"/>
          <w:highlight w:val="none"/>
          <w:lang w:eastAsia="zh-CN"/>
        </w:rPr>
      </w:pPr>
      <w:r>
        <w:rPr>
          <w:rFonts w:hint="eastAsia"/>
          <w:color w:val="auto"/>
          <w:sz w:val="24"/>
          <w:szCs w:val="24"/>
          <w:highlight w:val="none"/>
        </w:rPr>
        <w:t>甲方：</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 xml:space="preserve"> </w:t>
      </w:r>
    </w:p>
    <w:p w14:paraId="4EBE84F2">
      <w:pPr>
        <w:pStyle w:val="55"/>
        <w:tabs>
          <w:tab w:val="left" w:leader="underscore" w:pos="4168"/>
        </w:tabs>
        <w:spacing w:line="360" w:lineRule="auto"/>
        <w:ind w:firstLine="380"/>
        <w:rPr>
          <w:rFonts w:hint="eastAsia"/>
          <w:color w:val="auto"/>
          <w:sz w:val="24"/>
          <w:szCs w:val="24"/>
          <w:highlight w:val="none"/>
          <w:lang w:eastAsia="zh-CN"/>
        </w:rPr>
      </w:pPr>
      <w:r>
        <w:rPr>
          <w:rFonts w:hint="eastAsia"/>
          <w:color w:val="auto"/>
          <w:sz w:val="24"/>
          <w:szCs w:val="24"/>
          <w:highlight w:val="none"/>
        </w:rPr>
        <w:t>乙方：</w:t>
      </w:r>
      <w:r>
        <w:rPr>
          <w:rFonts w:hint="eastAsia"/>
          <w:color w:val="auto"/>
          <w:sz w:val="24"/>
          <w:szCs w:val="24"/>
          <w:highlight w:val="none"/>
          <w:u w:val="single"/>
          <w:lang w:val="en-US" w:eastAsia="zh-CN"/>
        </w:rPr>
        <w:t xml:space="preserve">                            </w:t>
      </w:r>
    </w:p>
    <w:p w14:paraId="38309BF0">
      <w:pPr>
        <w:pStyle w:val="55"/>
        <w:spacing w:line="336" w:lineRule="auto"/>
        <w:ind w:firstLine="380"/>
        <w:rPr>
          <w:rFonts w:hint="eastAsia"/>
          <w:color w:val="auto"/>
          <w:sz w:val="24"/>
          <w:szCs w:val="24"/>
          <w:highlight w:val="none"/>
        </w:rPr>
      </w:pPr>
      <w:r>
        <w:rPr>
          <w:rFonts w:hint="eastAsia"/>
          <w:color w:val="auto"/>
          <w:sz w:val="24"/>
          <w:szCs w:val="24"/>
          <w:highlight w:val="none"/>
        </w:rPr>
        <w:t>根据《中华人民共和国</w:t>
      </w:r>
      <w:r>
        <w:rPr>
          <w:rFonts w:hint="eastAsia"/>
          <w:color w:val="auto"/>
          <w:sz w:val="24"/>
          <w:szCs w:val="24"/>
          <w:highlight w:val="none"/>
          <w:lang w:val="en-US" w:eastAsia="zh-CN"/>
        </w:rPr>
        <w:t>民法典</w:t>
      </w:r>
      <w:r>
        <w:rPr>
          <w:rFonts w:hint="eastAsia"/>
          <w:color w:val="auto"/>
          <w:sz w:val="24"/>
          <w:szCs w:val="24"/>
          <w:highlight w:val="none"/>
        </w:rPr>
        <w:t>》、</w:t>
      </w:r>
      <w:r>
        <w:rPr>
          <w:rFonts w:hint="eastAsia"/>
          <w:color w:val="auto"/>
          <w:sz w:val="24"/>
          <w:szCs w:val="24"/>
          <w:highlight w:val="none"/>
          <w:lang w:eastAsia="zh-CN"/>
        </w:rPr>
        <w:t>采</w:t>
      </w:r>
      <w:r>
        <w:rPr>
          <w:rFonts w:hint="eastAsia"/>
          <w:color w:val="auto"/>
          <w:sz w:val="24"/>
          <w:szCs w:val="24"/>
          <w:highlight w:val="none"/>
        </w:rPr>
        <w:t>购文件、乙方投标文件的规定，经</w:t>
      </w:r>
      <w:r>
        <w:rPr>
          <w:rFonts w:hint="eastAsia"/>
          <w:color w:val="auto"/>
          <w:sz w:val="24"/>
          <w:szCs w:val="24"/>
          <w:highlight w:val="none"/>
          <w:lang w:val="en-US" w:eastAsia="zh-CN"/>
        </w:rPr>
        <w:t>竞争性谈判</w:t>
      </w:r>
      <w:r>
        <w:rPr>
          <w:rFonts w:hint="eastAsia"/>
          <w:color w:val="auto"/>
          <w:sz w:val="24"/>
          <w:szCs w:val="24"/>
          <w:highlight w:val="none"/>
          <w:lang w:eastAsia="zh-CN"/>
        </w:rPr>
        <w:t>采</w:t>
      </w:r>
      <w:r>
        <w:rPr>
          <w:rFonts w:hint="eastAsia"/>
          <w:color w:val="auto"/>
          <w:sz w:val="24"/>
          <w:szCs w:val="24"/>
          <w:highlight w:val="none"/>
        </w:rPr>
        <w:t>购，由</w:t>
      </w:r>
      <w:r>
        <w:rPr>
          <w:rFonts w:hint="eastAsia"/>
          <w:color w:val="auto"/>
          <w:sz w:val="24"/>
          <w:szCs w:val="24"/>
          <w:highlight w:val="none"/>
          <w:lang w:eastAsia="zh-CN"/>
        </w:rPr>
        <w:t>三门县环境卫生服务中心</w:t>
      </w:r>
      <w:r>
        <w:rPr>
          <w:rFonts w:hint="eastAsia"/>
          <w:color w:val="auto"/>
          <w:sz w:val="24"/>
          <w:szCs w:val="24"/>
          <w:highlight w:val="none"/>
        </w:rPr>
        <w:t>与乙方签订本合同。</w:t>
      </w:r>
    </w:p>
    <w:p w14:paraId="25343470">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一、项目背景</w:t>
      </w:r>
    </w:p>
    <w:p w14:paraId="2DEA5679">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根据《中华人民共和国土壤污染防治法》、《浙江省土壤污染防治条例》</w:t>
      </w:r>
      <w:r>
        <w:rPr>
          <w:rFonts w:hint="eastAsia" w:asciiTheme="minorEastAsia" w:hAnsiTheme="minorEastAsia" w:eastAsiaTheme="minorEastAsia" w:cstheme="minorEastAsia"/>
          <w:bCs/>
          <w:color w:val="auto"/>
          <w:sz w:val="24"/>
          <w:szCs w:val="24"/>
          <w:highlight w:val="none"/>
          <w:lang w:eastAsia="zh-CN"/>
        </w:rPr>
        <w:t>相关</w:t>
      </w:r>
      <w:r>
        <w:rPr>
          <w:rFonts w:hint="eastAsia" w:asciiTheme="minorEastAsia" w:hAnsiTheme="minorEastAsia" w:eastAsiaTheme="minorEastAsia" w:cstheme="minorEastAsia"/>
          <w:bCs/>
          <w:color w:val="auto"/>
          <w:sz w:val="24"/>
          <w:szCs w:val="24"/>
          <w:highlight w:val="none"/>
        </w:rPr>
        <w:t>文件要求，为进一步加强土壤和地下水污染防治工作，</w:t>
      </w:r>
      <w:r>
        <w:rPr>
          <w:rFonts w:hint="eastAsia" w:asciiTheme="minorEastAsia" w:hAnsiTheme="minorEastAsia" w:eastAsiaTheme="minorEastAsia" w:cstheme="minorEastAsia"/>
          <w:bCs/>
          <w:color w:val="auto"/>
          <w:sz w:val="24"/>
          <w:szCs w:val="24"/>
          <w:highlight w:val="none"/>
          <w:lang w:eastAsia="zh-CN"/>
        </w:rPr>
        <w:t>三门县环境卫生服务中心采购的三门县下湾生活垃圾</w:t>
      </w:r>
      <w:r>
        <w:rPr>
          <w:rFonts w:hint="eastAsia" w:asciiTheme="minorEastAsia" w:hAnsiTheme="minorEastAsia" w:eastAsiaTheme="minorEastAsia" w:cstheme="minorEastAsia"/>
          <w:bCs/>
          <w:color w:val="auto"/>
          <w:sz w:val="24"/>
          <w:szCs w:val="24"/>
          <w:highlight w:val="none"/>
        </w:rPr>
        <w:t>填埋场</w:t>
      </w:r>
      <w:r>
        <w:rPr>
          <w:rFonts w:hint="eastAsia" w:asciiTheme="minorEastAsia" w:hAnsiTheme="minorEastAsia" w:eastAsiaTheme="minorEastAsia" w:cstheme="minorEastAsia"/>
          <w:bCs/>
          <w:color w:val="auto"/>
          <w:sz w:val="24"/>
          <w:szCs w:val="24"/>
          <w:highlight w:val="none"/>
          <w:lang w:eastAsia="zh-CN"/>
        </w:rPr>
        <w:t>地下水、土壤</w:t>
      </w:r>
      <w:r>
        <w:rPr>
          <w:rFonts w:hint="eastAsia" w:asciiTheme="minorEastAsia" w:hAnsiTheme="minorEastAsia" w:eastAsiaTheme="minorEastAsia" w:cstheme="minorEastAsia"/>
          <w:bCs/>
          <w:color w:val="auto"/>
          <w:sz w:val="24"/>
          <w:szCs w:val="24"/>
          <w:highlight w:val="none"/>
        </w:rPr>
        <w:t>监测工作，为按时按要求完成上级下达任务，故开展本次</w:t>
      </w:r>
      <w:r>
        <w:rPr>
          <w:rFonts w:hint="eastAsia" w:asciiTheme="minorEastAsia" w:hAnsiTheme="minorEastAsia" w:eastAsiaTheme="minorEastAsia" w:cstheme="minorEastAsia"/>
          <w:bCs/>
          <w:color w:val="auto"/>
          <w:sz w:val="24"/>
          <w:szCs w:val="24"/>
          <w:highlight w:val="none"/>
          <w:lang w:eastAsia="zh-CN"/>
        </w:rPr>
        <w:t>谈判</w:t>
      </w:r>
      <w:r>
        <w:rPr>
          <w:rFonts w:hint="eastAsia" w:asciiTheme="minorEastAsia" w:hAnsiTheme="minorEastAsia" w:eastAsiaTheme="minorEastAsia" w:cstheme="minorEastAsia"/>
          <w:bCs/>
          <w:color w:val="auto"/>
          <w:sz w:val="24"/>
          <w:szCs w:val="24"/>
          <w:highlight w:val="none"/>
        </w:rPr>
        <w:t>工作。</w:t>
      </w:r>
    </w:p>
    <w:p w14:paraId="4F65CFDD">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二、采购内容及要求</w:t>
      </w:r>
    </w:p>
    <w:tbl>
      <w:tblPr>
        <w:tblStyle w:val="27"/>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1185"/>
        <w:gridCol w:w="900"/>
        <w:gridCol w:w="3045"/>
        <w:gridCol w:w="1140"/>
        <w:gridCol w:w="1200"/>
      </w:tblGrid>
      <w:tr w14:paraId="20D7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4AAFD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监测内容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F9BF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监测点位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28F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点位数量</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1DB72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监测项目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293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监测频率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FDA2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14:paraId="2E88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5A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C418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F8B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57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值、总硬度、溶解性总固体、耗氧量</w:t>
            </w:r>
            <w:r>
              <w:rPr>
                <w:rStyle w:val="54"/>
                <w:rFonts w:hint="eastAsia" w:asciiTheme="minorEastAsia" w:hAnsiTheme="minorEastAsia" w:eastAsiaTheme="minorEastAsia" w:cstheme="minorEastAsia"/>
                <w:color w:val="auto"/>
                <w:sz w:val="24"/>
                <w:szCs w:val="24"/>
                <w:highlight w:val="none"/>
                <w:lang w:val="en-US" w:eastAsia="zh-CN" w:bidi="ar"/>
              </w:rPr>
              <w:t>(COD</w:t>
            </w:r>
            <w:r>
              <w:rPr>
                <w:rStyle w:val="53"/>
                <w:rFonts w:hint="eastAsia" w:asciiTheme="minorEastAsia" w:hAnsiTheme="minorEastAsia" w:eastAsiaTheme="minorEastAsia" w:cstheme="minorEastAsia"/>
                <w:color w:val="auto"/>
                <w:sz w:val="24"/>
                <w:szCs w:val="24"/>
                <w:highlight w:val="none"/>
                <w:lang w:val="en-US" w:eastAsia="zh-CN" w:bidi="ar"/>
              </w:rPr>
              <w:t>法</w:t>
            </w:r>
            <w:r>
              <w:rPr>
                <w:rStyle w:val="54"/>
                <w:rFonts w:hint="eastAsia" w:asciiTheme="minorEastAsia" w:hAnsiTheme="minorEastAsia" w:eastAsiaTheme="minorEastAsia" w:cstheme="minorEastAsia"/>
                <w:color w:val="auto"/>
                <w:sz w:val="24"/>
                <w:szCs w:val="24"/>
                <w:highlight w:val="none"/>
                <w:lang w:val="en-US" w:eastAsia="zh-CN" w:bidi="ar"/>
              </w:rPr>
              <w:t>)</w:t>
            </w:r>
            <w:r>
              <w:rPr>
                <w:rStyle w:val="53"/>
                <w:rFonts w:hint="eastAsia" w:asciiTheme="minorEastAsia" w:hAnsiTheme="minorEastAsia" w:eastAsiaTheme="minorEastAsia" w:cstheme="minorEastAsia"/>
                <w:color w:val="auto"/>
                <w:sz w:val="24"/>
                <w:szCs w:val="24"/>
                <w:highlight w:val="none"/>
                <w:lang w:val="en-US" w:eastAsia="zh-CN" w:bidi="ar"/>
              </w:rPr>
              <w:t>、氨氮、硝酸盐、亚硝酸盐、硫酸盐、氯化物、挥发性酚类、氰化物、砷、汞、总铬、六价铬、铅</w:t>
            </w:r>
            <w:r>
              <w:rPr>
                <w:rStyle w:val="53"/>
                <w:rFonts w:hint="eastAsia" w:asciiTheme="minorEastAsia" w:hAnsiTheme="minorEastAsia" w:eastAsiaTheme="minorEastAsia" w:cstheme="minorEastAsia"/>
                <w:i w:val="0"/>
                <w:iCs w:val="0"/>
                <w:color w:val="auto"/>
                <w:sz w:val="24"/>
                <w:szCs w:val="24"/>
                <w:highlight w:val="none"/>
                <w:lang w:val="en-US" w:eastAsia="zh-CN" w:bidi="ar"/>
              </w:rPr>
              <w:t>、氟化物、镉、铁、锰、铜、锌、镍、铍、总大肠菌群、总磷、苯胺类</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8FE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本底井每月</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次，排水井每周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次，扩散井和监视井每</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vMerge w:val="restart"/>
            <w:tcBorders>
              <w:top w:val="single" w:color="000000" w:sz="4" w:space="0"/>
              <w:left w:val="single" w:color="000000" w:sz="4" w:space="0"/>
              <w:right w:val="single" w:color="000000" w:sz="4" w:space="0"/>
            </w:tcBorders>
            <w:noWrap w:val="0"/>
            <w:vAlign w:val="center"/>
          </w:tcPr>
          <w:p w14:paraId="16EF3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GB16889-2024</w:t>
            </w:r>
            <w:r>
              <w:rPr>
                <w:rStyle w:val="53"/>
                <w:rFonts w:hint="eastAsia" w:asciiTheme="minorEastAsia" w:hAnsiTheme="minorEastAsia" w:eastAsiaTheme="minorEastAsia" w:cstheme="minorEastAsia"/>
                <w:color w:val="auto"/>
                <w:sz w:val="24"/>
                <w:szCs w:val="24"/>
                <w:highlight w:val="none"/>
                <w:lang w:val="en-US" w:eastAsia="zh-CN" w:bidi="ar"/>
              </w:rPr>
              <w:t>标准</w:t>
            </w:r>
          </w:p>
        </w:tc>
      </w:tr>
      <w:tr w14:paraId="1EAA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15EA1">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8BE7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排水井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767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E2139">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5B6A8">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2BC3D1C5">
            <w:pPr>
              <w:jc w:val="center"/>
              <w:rPr>
                <w:rFonts w:hint="eastAsia" w:asciiTheme="minorEastAsia" w:hAnsiTheme="minorEastAsia" w:eastAsiaTheme="minorEastAsia" w:cstheme="minorEastAsia"/>
                <w:i w:val="0"/>
                <w:iCs w:val="0"/>
                <w:color w:val="auto"/>
                <w:sz w:val="24"/>
                <w:szCs w:val="24"/>
                <w:highlight w:val="none"/>
                <w:u w:val="none"/>
              </w:rPr>
            </w:pPr>
          </w:p>
        </w:tc>
      </w:tr>
      <w:tr w14:paraId="1879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D9908">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F2CC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扩散井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926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FB9B6">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B9968">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2E75AB2D">
            <w:pPr>
              <w:jc w:val="center"/>
              <w:rPr>
                <w:rFonts w:hint="eastAsia" w:asciiTheme="minorEastAsia" w:hAnsiTheme="minorEastAsia" w:eastAsiaTheme="minorEastAsia" w:cstheme="minorEastAsia"/>
                <w:i w:val="0"/>
                <w:iCs w:val="0"/>
                <w:color w:val="auto"/>
                <w:sz w:val="24"/>
                <w:szCs w:val="24"/>
                <w:highlight w:val="none"/>
                <w:u w:val="none"/>
              </w:rPr>
            </w:pPr>
          </w:p>
        </w:tc>
      </w:tr>
      <w:tr w14:paraId="6D0C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A10DC">
            <w:pPr>
              <w:jc w:val="center"/>
              <w:rPr>
                <w:rFonts w:hint="eastAsia" w:asciiTheme="minorEastAsia" w:hAnsiTheme="minorEastAsia" w:eastAsiaTheme="minorEastAsia" w:cstheme="minorEastAsia"/>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3B59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监视井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1F2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3</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45C67">
            <w:pPr>
              <w:jc w:val="center"/>
              <w:rPr>
                <w:rFonts w:hint="eastAsia" w:asciiTheme="minorEastAsia" w:hAnsiTheme="minorEastAsia" w:eastAsiaTheme="minorEastAsia" w:cstheme="minorEastAsia"/>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F021B">
            <w:pPr>
              <w:jc w:val="center"/>
              <w:rPr>
                <w:rFonts w:hint="eastAsia" w:asciiTheme="minorEastAsia" w:hAnsiTheme="minorEastAsia" w:eastAsiaTheme="minorEastAsia" w:cstheme="minorEastAsia"/>
                <w:i w:val="0"/>
                <w:iCs w:val="0"/>
                <w:color w:val="auto"/>
                <w:sz w:val="24"/>
                <w:szCs w:val="24"/>
                <w:highlight w:val="none"/>
                <w:u w:val="none"/>
              </w:rPr>
            </w:pPr>
          </w:p>
        </w:tc>
        <w:tc>
          <w:tcPr>
            <w:tcW w:w="1200" w:type="dxa"/>
            <w:vMerge w:val="continue"/>
            <w:tcBorders>
              <w:left w:val="single" w:color="000000" w:sz="4" w:space="0"/>
              <w:right w:val="single" w:color="000000" w:sz="4" w:space="0"/>
            </w:tcBorders>
            <w:noWrap w:val="0"/>
            <w:vAlign w:val="center"/>
          </w:tcPr>
          <w:p w14:paraId="46D5309E">
            <w:pPr>
              <w:jc w:val="center"/>
              <w:rPr>
                <w:rFonts w:hint="eastAsia" w:asciiTheme="minorEastAsia" w:hAnsiTheme="minorEastAsia" w:eastAsiaTheme="minorEastAsia" w:cstheme="minorEastAsia"/>
                <w:i w:val="0"/>
                <w:iCs w:val="0"/>
                <w:color w:val="auto"/>
                <w:sz w:val="24"/>
                <w:szCs w:val="24"/>
                <w:highlight w:val="none"/>
                <w:u w:val="none"/>
              </w:rPr>
            </w:pPr>
          </w:p>
        </w:tc>
      </w:tr>
      <w:tr w14:paraId="091F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14:paraId="00DE6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土壤</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C3DC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填埋场库边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4EB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4</w:t>
            </w:r>
            <w:r>
              <w:rPr>
                <w:rStyle w:val="53"/>
                <w:rFonts w:hint="eastAsia" w:asciiTheme="minorEastAsia" w:hAnsiTheme="minorEastAsia" w:eastAsiaTheme="minorEastAsia" w:cstheme="minorEastAsia"/>
                <w:color w:val="auto"/>
                <w:sz w:val="24"/>
                <w:szCs w:val="24"/>
                <w:highlight w:val="none"/>
                <w:lang w:val="en-US" w:eastAsia="zh-CN" w:bidi="ar"/>
              </w:rPr>
              <w:t>个</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0AF643F0">
            <w:pPr>
              <w:keepNext w:val="0"/>
              <w:keepLines w:val="0"/>
              <w:widowControl/>
              <w:suppressLineNumbers w:val="0"/>
              <w:jc w:val="center"/>
              <w:textAlignment w:val="center"/>
              <w:rPr>
                <w:rStyle w:val="53"/>
                <w:rFonts w:hint="eastAsia" w:asciiTheme="minorEastAsia" w:hAnsiTheme="minorEastAsia" w:eastAsiaTheme="minorEastAsia" w:cstheme="minorEastAsia"/>
                <w:color w:val="auto"/>
                <w:sz w:val="24"/>
                <w:szCs w:val="24"/>
                <w:highlight w:val="none"/>
                <w:lang w:val="en-US" w:eastAsia="zh-CN" w:bidi="ar"/>
              </w:rPr>
            </w:pPr>
            <w:r>
              <w:rPr>
                <w:rStyle w:val="54"/>
                <w:rFonts w:hint="eastAsia" w:asciiTheme="minorEastAsia" w:hAnsiTheme="minorEastAsia" w:eastAsiaTheme="minorEastAsia" w:cstheme="minorEastAsia"/>
                <w:color w:val="auto"/>
                <w:sz w:val="24"/>
                <w:szCs w:val="24"/>
                <w:highlight w:val="none"/>
                <w:lang w:val="en-US" w:eastAsia="zh-CN" w:bidi="ar"/>
              </w:rPr>
              <w:t>pH</w:t>
            </w:r>
            <w:r>
              <w:rPr>
                <w:rStyle w:val="53"/>
                <w:rFonts w:hint="eastAsia" w:asciiTheme="minorEastAsia" w:hAnsiTheme="minorEastAsia" w:eastAsiaTheme="minorEastAsia" w:cstheme="minorEastAsia"/>
                <w:color w:val="auto"/>
                <w:sz w:val="24"/>
                <w:szCs w:val="24"/>
                <w:highlight w:val="none"/>
                <w:lang w:val="en-US" w:eastAsia="zh-CN" w:bidi="ar"/>
              </w:rPr>
              <w:t>及《土壤环境质量建设用地土壤污染风险管控标准（试行）》</w:t>
            </w: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中的45项、锌、铍、石油烃、</w:t>
            </w:r>
          </w:p>
          <w:p w14:paraId="03F2C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二噁英类（S1表层取样）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3B5C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3"/>
                <w:rFonts w:hint="eastAsia" w:asciiTheme="minorEastAsia" w:hAnsiTheme="minorEastAsia" w:eastAsiaTheme="minorEastAsia" w:cstheme="minorEastAsia"/>
                <w:color w:val="auto"/>
                <w:sz w:val="24"/>
                <w:szCs w:val="24"/>
                <w:highlight w:val="none"/>
                <w:lang w:val="en-US" w:eastAsia="zh-CN" w:bidi="ar"/>
              </w:rPr>
              <w:t>每年</w:t>
            </w:r>
            <w:r>
              <w:rPr>
                <w:rStyle w:val="54"/>
                <w:rFonts w:hint="eastAsia" w:asciiTheme="minorEastAsia" w:hAnsiTheme="minorEastAsia" w:eastAsiaTheme="minorEastAsia" w:cstheme="minorEastAsia"/>
                <w:color w:val="auto"/>
                <w:sz w:val="24"/>
                <w:szCs w:val="24"/>
                <w:highlight w:val="none"/>
                <w:lang w:val="en-US" w:eastAsia="zh-CN" w:bidi="ar"/>
              </w:rPr>
              <w:t>2</w:t>
            </w:r>
            <w:r>
              <w:rPr>
                <w:rStyle w:val="53"/>
                <w:rFonts w:hint="eastAsia" w:asciiTheme="minorEastAsia" w:hAnsiTheme="minorEastAsia" w:eastAsiaTheme="minorEastAsia" w:cstheme="minorEastAsia"/>
                <w:color w:val="auto"/>
                <w:sz w:val="24"/>
                <w:szCs w:val="24"/>
                <w:highlight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5C5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54"/>
                <w:rFonts w:hint="eastAsia" w:asciiTheme="minorEastAsia" w:hAnsiTheme="minorEastAsia" w:eastAsiaTheme="minorEastAsia" w:cstheme="minorEastAsia"/>
                <w:color w:val="auto"/>
                <w:sz w:val="24"/>
                <w:szCs w:val="24"/>
                <w:highlight w:val="none"/>
                <w:lang w:val="en-US" w:eastAsia="zh-CN" w:bidi="ar"/>
              </w:rPr>
              <w:t>GB36600-2018</w:t>
            </w:r>
            <w:r>
              <w:rPr>
                <w:rStyle w:val="53"/>
                <w:rFonts w:hint="eastAsia" w:asciiTheme="minorEastAsia" w:hAnsiTheme="minorEastAsia" w:eastAsiaTheme="minorEastAsia" w:cstheme="minorEastAsia"/>
                <w:color w:val="auto"/>
                <w:sz w:val="24"/>
                <w:szCs w:val="24"/>
                <w:highlight w:val="none"/>
                <w:lang w:val="en-US" w:eastAsia="zh-CN" w:bidi="ar"/>
              </w:rPr>
              <w:t>表</w:t>
            </w:r>
            <w:r>
              <w:rPr>
                <w:rStyle w:val="54"/>
                <w:rFonts w:hint="eastAsia" w:asciiTheme="minorEastAsia" w:hAnsiTheme="minorEastAsia" w:eastAsiaTheme="minorEastAsia" w:cstheme="minorEastAsia"/>
                <w:color w:val="auto"/>
                <w:sz w:val="24"/>
                <w:szCs w:val="24"/>
                <w:highlight w:val="none"/>
                <w:lang w:val="en-US" w:eastAsia="zh-CN" w:bidi="ar"/>
              </w:rPr>
              <w:t>1</w:t>
            </w:r>
            <w:r>
              <w:rPr>
                <w:rStyle w:val="53"/>
                <w:rFonts w:hint="eastAsia" w:asciiTheme="minorEastAsia" w:hAnsiTheme="minorEastAsia" w:eastAsiaTheme="minorEastAsia" w:cstheme="minorEastAsia"/>
                <w:color w:val="auto"/>
                <w:sz w:val="24"/>
                <w:szCs w:val="24"/>
                <w:highlight w:val="none"/>
                <w:lang w:val="en-US" w:eastAsia="zh-CN" w:bidi="ar"/>
              </w:rPr>
              <w:t>中第二类用地筛选值标准</w:t>
            </w:r>
          </w:p>
        </w:tc>
      </w:tr>
    </w:tbl>
    <w:p w14:paraId="28617ACC">
      <w:pPr>
        <w:tabs>
          <w:tab w:val="left" w:pos="4763"/>
        </w:tabs>
        <w:bidi w:val="0"/>
        <w:ind w:firstLine="630" w:firstLineChars="300"/>
        <w:jc w:val="left"/>
        <w:rPr>
          <w:rFonts w:hint="eastAsia"/>
          <w:color w:val="auto"/>
          <w:highlight w:val="none"/>
          <w:lang w:val="en-US" w:eastAsia="zh-CN"/>
        </w:rPr>
      </w:pPr>
      <w:r>
        <w:rPr>
          <w:rFonts w:hint="eastAsia"/>
          <w:color w:val="auto"/>
          <w:highlight w:val="none"/>
          <w:lang w:eastAsia="zh-CN"/>
        </w:rPr>
        <w:t>备注：</w:t>
      </w:r>
      <w:r>
        <w:rPr>
          <w:rFonts w:hint="eastAsia"/>
          <w:color w:val="auto"/>
          <w:highlight w:val="none"/>
          <w:lang w:val="en-US" w:eastAsia="zh-CN"/>
        </w:rPr>
        <w:t>1.监测点位详见现场位置图。</w:t>
      </w:r>
    </w:p>
    <w:p w14:paraId="20DCBEC7">
      <w:pPr>
        <w:tabs>
          <w:tab w:val="left" w:pos="4763"/>
        </w:tabs>
        <w:bidi w:val="0"/>
        <w:ind w:firstLine="630" w:firstLineChars="300"/>
        <w:jc w:val="left"/>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 xml:space="preserve">      2.根据监测结果编写地下水（土壤）年度监测报</w:t>
      </w:r>
      <w:r>
        <w:rPr>
          <w:rFonts w:hint="eastAsia" w:ascii="Calibri" w:hAnsi="Calibri" w:eastAsia="宋体" w:cs="Times New Roman"/>
          <w:color w:val="auto"/>
          <w:kern w:val="2"/>
          <w:sz w:val="21"/>
          <w:szCs w:val="22"/>
          <w:highlight w:val="none"/>
          <w:lang w:val="en-US" w:eastAsia="zh-CN" w:bidi="ar-SA"/>
        </w:rPr>
        <w:t>告（地下水分枯水期、丰水期）。</w:t>
      </w:r>
    </w:p>
    <w:p w14:paraId="715D05D0">
      <w:pPr>
        <w:pStyle w:val="10"/>
        <w:autoSpaceDE/>
        <w:autoSpaceDN/>
        <w:adjustRightInd/>
        <w:ind w:firstLine="482" w:firstLineChars="20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rPr>
        <w:t>、人员要求</w:t>
      </w:r>
    </w:p>
    <w:p w14:paraId="08FA4758">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人拟派团队成员</w:t>
      </w:r>
      <w:r>
        <w:rPr>
          <w:rFonts w:hint="eastAsia" w:asciiTheme="minorEastAsia" w:hAnsiTheme="minorEastAsia" w:eastAsiaTheme="minorEastAsia" w:cstheme="minorEastAsia"/>
          <w:color w:val="auto"/>
          <w:sz w:val="24"/>
          <w:szCs w:val="24"/>
          <w:highlight w:val="none"/>
        </w:rPr>
        <w:t>应具有相关专业背景。</w:t>
      </w:r>
    </w:p>
    <w:p w14:paraId="23116A91">
      <w:pPr>
        <w:pStyle w:val="10"/>
        <w:tabs>
          <w:tab w:val="left" w:pos="1275"/>
        </w:tabs>
        <w:ind w:firstLine="48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服务期限</w:t>
      </w:r>
    </w:p>
    <w:p w14:paraId="1996CF61">
      <w:pPr>
        <w:pStyle w:val="10"/>
        <w:tabs>
          <w:tab w:val="left" w:pos="1275"/>
        </w:tabs>
        <w:ind w:firstLine="480"/>
        <w:rPr>
          <w:rFonts w:hint="eastAsia" w:asciiTheme="minorEastAsia" w:hAnsiTheme="minorEastAsia" w:eastAsiaTheme="minorEastAsia" w:cstheme="minorEastAsia"/>
          <w:color w:val="auto"/>
          <w:sz w:val="24"/>
          <w:szCs w:val="24"/>
          <w:highlight w:val="none"/>
          <w:lang w:val="en-US"/>
        </w:rPr>
      </w:pPr>
      <w:r>
        <w:rPr>
          <w:rFonts w:hint="eastAsia"/>
          <w:color w:val="auto"/>
          <w:highlight w:val="none"/>
          <w:lang w:val="en-US" w:eastAsia="zh-CN"/>
        </w:rPr>
        <w:t>2025年8月—2026年7月</w:t>
      </w:r>
      <w:r>
        <w:rPr>
          <w:rFonts w:hint="eastAsia" w:asciiTheme="minorEastAsia" w:hAnsiTheme="minorEastAsia" w:eastAsiaTheme="minorEastAsia" w:cstheme="minorEastAsia"/>
          <w:color w:val="auto"/>
          <w:sz w:val="24"/>
          <w:szCs w:val="24"/>
          <w:highlight w:val="none"/>
          <w:lang w:val="en-US"/>
        </w:rPr>
        <w:t>。</w:t>
      </w:r>
    </w:p>
    <w:p w14:paraId="0B00A6FE">
      <w:pPr>
        <w:pStyle w:val="10"/>
        <w:tabs>
          <w:tab w:val="left" w:pos="1275"/>
        </w:tabs>
        <w:ind w:firstLine="48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五</w:t>
      </w:r>
      <w:r>
        <w:rPr>
          <w:rFonts w:hint="eastAsia" w:asciiTheme="minorEastAsia" w:hAnsiTheme="minorEastAsia" w:eastAsiaTheme="minorEastAsia" w:cstheme="minorEastAsia"/>
          <w:b/>
          <w:bCs/>
          <w:color w:val="auto"/>
          <w:sz w:val="24"/>
          <w:szCs w:val="24"/>
          <w:highlight w:val="none"/>
        </w:rPr>
        <w:t>、验收要求。</w:t>
      </w:r>
    </w:p>
    <w:p w14:paraId="2D03B519">
      <w:pPr>
        <w:pStyle w:val="10"/>
        <w:tabs>
          <w:tab w:val="left" w:pos="1275"/>
        </w:tabs>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人需根据要求定期开展地下水（土壤）的采样、数据分析、样品保存等，并出具相应监测报告每月提交到三门县环境卫生服务中心，编写三门县下湾生活垃圾填埋场地下水（土壤）年度监测报告（地下水分枯水期、丰水期），需符合相关法律法规的要求并通过甲方和生态环境主管部门验收通过。</w:t>
      </w:r>
    </w:p>
    <w:p w14:paraId="4BEB272C">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、其他要求</w:t>
      </w:r>
    </w:p>
    <w:p w14:paraId="792138D0">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应当依照法律、法规、规章、国家标准或者行业标准的规定，遵循客观公正、诚实守信、公平竞争的原则，遵守执业准则，恪守职业道德，依法独立开展工作。</w:t>
      </w:r>
    </w:p>
    <w:p w14:paraId="745CB65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中标人应结合现场施工实际情况，制定及完善相应的管理制度，采取有效的职业健康安全管理措施。应按相关要求进行安全风险识别、安全培训，现场注意远离易燃易爆及危险品等设施。项目服务</w:t>
      </w:r>
      <w:r>
        <w:rPr>
          <w:rFonts w:hint="eastAsia" w:asciiTheme="minorEastAsia" w:hAnsiTheme="minorEastAsia" w:eastAsiaTheme="minorEastAsia" w:cstheme="minorEastAsia"/>
          <w:color w:val="auto"/>
          <w:sz w:val="24"/>
          <w:szCs w:val="24"/>
          <w:highlight w:val="none"/>
        </w:rPr>
        <w:t>期间，中标</w:t>
      </w:r>
      <w:r>
        <w:rPr>
          <w:rFonts w:hint="eastAsia" w:asciiTheme="minorEastAsia" w:hAnsiTheme="minorEastAsia" w:eastAsiaTheme="minorEastAsia" w:cstheme="minorEastAsia"/>
          <w:color w:val="auto"/>
          <w:sz w:val="24"/>
          <w:szCs w:val="24"/>
          <w:highlight w:val="none"/>
          <w:lang w:val="en-US"/>
        </w:rPr>
        <w:t>人工作人员</w:t>
      </w:r>
      <w:r>
        <w:rPr>
          <w:rFonts w:hint="eastAsia" w:asciiTheme="minorEastAsia" w:hAnsiTheme="minorEastAsia" w:eastAsiaTheme="minorEastAsia" w:cstheme="minorEastAsia"/>
          <w:color w:val="auto"/>
          <w:sz w:val="24"/>
          <w:szCs w:val="24"/>
          <w:highlight w:val="none"/>
        </w:rPr>
        <w:t>在工作中发生任何人身损害及财产损失，与采购人无关，中标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负责全权处理事故并承担全部费用。</w:t>
      </w:r>
    </w:p>
    <w:p w14:paraId="1BF1F7B6">
      <w:pPr>
        <w:pStyle w:val="11"/>
        <w:rPr>
          <w:rFonts w:hint="eastAsia"/>
          <w:color w:val="auto"/>
          <w:highlight w:val="none"/>
        </w:rPr>
      </w:pPr>
      <w:r>
        <w:rPr>
          <w:rFonts w:hint="eastAsia"/>
          <w:color w:val="auto"/>
          <w:highlight w:val="none"/>
          <w:lang w:val="en-US" w:eastAsia="zh-CN"/>
        </w:rPr>
        <w:t>3、</w:t>
      </w:r>
      <w:r>
        <w:rPr>
          <w:rFonts w:hint="eastAsia"/>
          <w:color w:val="auto"/>
          <w:highlight w:val="none"/>
        </w:rPr>
        <w:t>如遇填埋场综合治理工程建设需要（如开展开挖筛分等原因），甲方可终止合同，通过协商根据实际工作量支付相应服务费给乙方。</w:t>
      </w:r>
    </w:p>
    <w:p w14:paraId="76EC8E2D">
      <w:pPr>
        <w:spacing w:line="360" w:lineRule="auto"/>
        <w:ind w:left="48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、技术成果归属</w:t>
      </w:r>
    </w:p>
    <w:p w14:paraId="7E9086D6">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本项目技术成果的所有权及知识产权归属采购人所有。未经采购人授权，中标人无权将调查和方案数据或相关信息发送给任何第三方。</w:t>
      </w:r>
    </w:p>
    <w:p w14:paraId="04A1F11D">
      <w:pPr>
        <w:spacing w:line="360" w:lineRule="auto"/>
        <w:ind w:left="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八</w:t>
      </w:r>
      <w:r>
        <w:rPr>
          <w:rFonts w:hint="eastAsia" w:asciiTheme="minorEastAsia" w:hAnsiTheme="minorEastAsia" w:eastAsiaTheme="minorEastAsia" w:cstheme="minorEastAsia"/>
          <w:b/>
          <w:color w:val="auto"/>
          <w:sz w:val="24"/>
          <w:szCs w:val="24"/>
          <w:highlight w:val="none"/>
        </w:rPr>
        <w:t>、保密要求</w:t>
      </w:r>
    </w:p>
    <w:p w14:paraId="1FFDFCD8">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在合同履行期间，中标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所获得的一切原始资料及在服务过程中所取得的与履行合同有关的现有工作成果及相关资料属采购人所有，中标</w:t>
      </w:r>
      <w:r>
        <w:rPr>
          <w:rFonts w:hint="eastAsia" w:asciiTheme="minorEastAsia" w:hAnsiTheme="minorEastAsia" w:eastAsiaTheme="minorEastAsia" w:cstheme="minorEastAsia"/>
          <w:color w:val="auto"/>
          <w:sz w:val="24"/>
          <w:szCs w:val="24"/>
          <w:highlight w:val="none"/>
          <w:lang w:val="en-US"/>
        </w:rPr>
        <w:t>人</w:t>
      </w:r>
      <w:r>
        <w:rPr>
          <w:rFonts w:hint="eastAsia" w:asciiTheme="minorEastAsia" w:hAnsiTheme="minorEastAsia" w:eastAsiaTheme="minorEastAsia" w:cstheme="minorEastAsia"/>
          <w:color w:val="auto"/>
          <w:sz w:val="24"/>
          <w:szCs w:val="24"/>
          <w:highlight w:val="none"/>
        </w:rPr>
        <w:t>负有保密义务。未经采购人书面同意，中标人</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rPr>
        <w:t>不得在合同期内或合同履行完毕后以任何方式泄露。保密信息包括但不限于图纸、图表、数据等。但下列信息不属于保密信息：</w:t>
      </w:r>
    </w:p>
    <w:p w14:paraId="6EFB95A1">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A、</w:t>
      </w:r>
      <w:r>
        <w:rPr>
          <w:rFonts w:hint="eastAsia" w:asciiTheme="minorEastAsia" w:hAnsiTheme="minorEastAsia" w:eastAsiaTheme="minorEastAsia" w:cstheme="minorEastAsia"/>
          <w:color w:val="auto"/>
          <w:sz w:val="24"/>
          <w:szCs w:val="24"/>
          <w:highlight w:val="none"/>
        </w:rPr>
        <w:t>已进入公共领域的信息；</w:t>
      </w:r>
    </w:p>
    <w:p w14:paraId="53020954">
      <w:pPr>
        <w:pStyle w:val="10"/>
        <w:tabs>
          <w:tab w:val="left" w:pos="1275"/>
        </w:tabs>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B、</w:t>
      </w:r>
      <w:r>
        <w:rPr>
          <w:rFonts w:hint="eastAsia" w:asciiTheme="minorEastAsia" w:hAnsiTheme="minorEastAsia" w:eastAsiaTheme="minorEastAsia" w:cstheme="minorEastAsia"/>
          <w:color w:val="auto"/>
          <w:sz w:val="24"/>
          <w:szCs w:val="24"/>
          <w:highlight w:val="none"/>
        </w:rPr>
        <w:t>从任何对信息不承担保密义务的第三方合法获得的信息；</w:t>
      </w:r>
    </w:p>
    <w:p w14:paraId="5064BEF0">
      <w:pPr>
        <w:pStyle w:val="10"/>
        <w:tabs>
          <w:tab w:val="left" w:pos="1275"/>
        </w:tabs>
        <w:ind w:firstLine="480"/>
        <w:rPr>
          <w:rFonts w:hint="eastAsia" w:ascii="宋体" w:hAnsi="宋体" w:cs="宋体"/>
          <w:b/>
          <w:bCs/>
          <w:color w:val="auto"/>
          <w:sz w:val="24"/>
          <w:highlight w:val="none"/>
        </w:rPr>
      </w:pPr>
      <w:r>
        <w:rPr>
          <w:rFonts w:hint="eastAsia" w:asciiTheme="minorEastAsia" w:hAnsiTheme="minorEastAsia" w:eastAsiaTheme="minorEastAsia" w:cstheme="minorEastAsia"/>
          <w:color w:val="auto"/>
          <w:sz w:val="24"/>
          <w:szCs w:val="24"/>
          <w:highlight w:val="none"/>
        </w:rPr>
        <w:t>对于属于中标人所有的新技术和新方法，</w:t>
      </w:r>
      <w:r>
        <w:rPr>
          <w:rFonts w:hint="eastAsia" w:asciiTheme="minorEastAsia" w:hAnsiTheme="minorEastAsia" w:eastAsiaTheme="minorEastAsia" w:cstheme="minorEastAsia"/>
          <w:color w:val="auto"/>
          <w:sz w:val="24"/>
          <w:szCs w:val="24"/>
          <w:highlight w:val="none"/>
          <w:lang w:val="en-US"/>
        </w:rPr>
        <w:t>采购人</w:t>
      </w:r>
      <w:r>
        <w:rPr>
          <w:rFonts w:hint="eastAsia" w:asciiTheme="minorEastAsia" w:hAnsiTheme="minorEastAsia" w:eastAsiaTheme="minorEastAsia" w:cstheme="minorEastAsia"/>
          <w:color w:val="auto"/>
          <w:sz w:val="24"/>
          <w:szCs w:val="24"/>
          <w:highlight w:val="none"/>
        </w:rPr>
        <w:t>负有保密义务，未经</w:t>
      </w:r>
      <w:r>
        <w:rPr>
          <w:rFonts w:hint="eastAsia" w:asciiTheme="minorEastAsia" w:hAnsiTheme="minorEastAsia" w:eastAsiaTheme="minorEastAsia" w:cstheme="minorEastAsia"/>
          <w:color w:val="auto"/>
          <w:sz w:val="24"/>
          <w:szCs w:val="24"/>
          <w:highlight w:val="none"/>
          <w:lang w:val="en-US"/>
        </w:rPr>
        <w:t>中标人</w:t>
      </w:r>
      <w:r>
        <w:rPr>
          <w:rFonts w:hint="eastAsia" w:asciiTheme="minorEastAsia" w:hAnsiTheme="minorEastAsia" w:eastAsiaTheme="minorEastAsia" w:cstheme="minorEastAsia"/>
          <w:color w:val="auto"/>
          <w:sz w:val="24"/>
          <w:szCs w:val="24"/>
          <w:highlight w:val="none"/>
        </w:rPr>
        <w:t>书面同意，不得以任何方式泄露。</w:t>
      </w:r>
    </w:p>
    <w:p w14:paraId="3E7593DF">
      <w:pPr>
        <w:adjustRightIn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、合同金额及付款方式</w:t>
      </w:r>
    </w:p>
    <w:p w14:paraId="5A5A8499">
      <w:pPr>
        <w:adjustRightIn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服务</w:t>
      </w:r>
      <w:r>
        <w:rPr>
          <w:rFonts w:hint="eastAsia" w:ascii="宋体" w:hAnsi="宋体" w:cs="宋体"/>
          <w:bCs/>
          <w:color w:val="auto"/>
          <w:sz w:val="24"/>
          <w:highlight w:val="none"/>
        </w:rPr>
        <w:t>费用</w:t>
      </w:r>
    </w:p>
    <w:p w14:paraId="390A60A7">
      <w:pPr>
        <w:adjustRightIn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合同金额：大写：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小写: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719D0F9B">
      <w:pPr>
        <w:adjustRightInd w:val="0"/>
        <w:spacing w:line="460" w:lineRule="exact"/>
        <w:rPr>
          <w:rFonts w:hint="eastAsia" w:ascii="宋体" w:hAnsi="宋体" w:cs="宋体"/>
          <w:color w:val="auto"/>
          <w:sz w:val="24"/>
          <w:highlight w:val="none"/>
        </w:rPr>
      </w:pPr>
      <w:r>
        <w:rPr>
          <w:rFonts w:hint="eastAsia" w:ascii="宋体" w:hAnsi="宋体" w:cs="宋体"/>
          <w:color w:val="auto"/>
          <w:sz w:val="24"/>
          <w:highlight w:val="none"/>
        </w:rPr>
        <w:t>费用包含项目所需全部服务及货物，不得缺漏，是履行合同的最终价格包括但不仅限于人工成本费:即人员的工资福利、员工五险费(养老保险、医疗保险、失业保险、工伤保险、生育保险)、调研费、采样费、检测费、设施设备、耗材、专家费、编制费、差旅费、运费、保险、税金、招标代理费等项目所需一切费用。凡投标人在报价中未列明但又为本次采购所必备的项目或遗漏项目，采购方将一律视为已包括在合同价中，在合同执行中将不予考虑。</w:t>
      </w:r>
    </w:p>
    <w:p w14:paraId="25ADA23C">
      <w:pPr>
        <w:spacing w:line="46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 xml:space="preserve">2.付款方式 </w:t>
      </w:r>
    </w:p>
    <w:p w14:paraId="6081489F">
      <w:pPr>
        <w:tabs>
          <w:tab w:val="left" w:pos="3870"/>
          <w:tab w:val="left" w:pos="4085"/>
        </w:tabs>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完成土壤地下水监测报告并经验收合格后付清</w:t>
      </w:r>
      <w:r>
        <w:rPr>
          <w:rFonts w:hint="eastAsia" w:asciiTheme="minorEastAsia" w:hAnsiTheme="minorEastAsia" w:eastAsiaTheme="minorEastAsia" w:cstheme="minorEastAsia"/>
          <w:color w:val="auto"/>
          <w:sz w:val="24"/>
          <w:szCs w:val="24"/>
          <w:highlight w:val="none"/>
          <w:lang w:eastAsia="zh-CN"/>
        </w:rPr>
        <w:t>合同价</w:t>
      </w:r>
      <w:r>
        <w:rPr>
          <w:rFonts w:hint="eastAsia" w:asciiTheme="minorEastAsia" w:hAnsiTheme="minorEastAsia" w:eastAsiaTheme="minorEastAsia" w:cstheme="minorEastAsia"/>
          <w:color w:val="auto"/>
          <w:sz w:val="24"/>
          <w:szCs w:val="24"/>
          <w:highlight w:val="none"/>
        </w:rPr>
        <w:t>款。</w:t>
      </w:r>
    </w:p>
    <w:p w14:paraId="0D2A4450">
      <w:pPr>
        <w:tabs>
          <w:tab w:val="left" w:pos="3870"/>
          <w:tab w:val="left" w:pos="4085"/>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3.付款要求</w:t>
      </w:r>
    </w:p>
    <w:p w14:paraId="284A24CD">
      <w:pPr>
        <w:adjustRightIn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乙方在收款之前，应向甲方提供等额、合法、有效的发票，甲方凭发票付款。如乙方未按约定提供发票的，甲方有权拒绝付款，直至收到乙方提交的相应发票为止，在此情况下，甲方不承担逾期付款违约责任。</w:t>
      </w:r>
    </w:p>
    <w:p w14:paraId="505B288D">
      <w:pPr>
        <w:adjustRightIn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十一、履约保证金</w:t>
      </w:r>
    </w:p>
    <w:p w14:paraId="685F03C3">
      <w:pPr>
        <w:adjustRightInd w:val="0"/>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无。</w:t>
      </w:r>
    </w:p>
    <w:p w14:paraId="48E9A80E">
      <w:pPr>
        <w:adjustRightIn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十二、知识产权</w:t>
      </w:r>
    </w:p>
    <w:p w14:paraId="5BD5851C">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1.乙方应保证所提供的技术、服务或其任何一部分均不会侵犯任何第三方的知识产权。</w:t>
      </w:r>
    </w:p>
    <w:p w14:paraId="3F4F311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双方各自向对方承诺：除本项目由乙方提交给甲方的成果外，未经对方书面同意，甲乙双方均不得将所取得的材料、文件、信息向任何第三方披露或泄漏。甲乙双方应对其在本合同签订/履行过程中所知悉的对方及相关方的任何保密信息承担严格的保密义务，除非有证据证明该等信息属于公知信息或者事先得到对方的书面授权或法律法规规定可以披露外。该保密义务在本合同终止后仍然继续有效。</w:t>
      </w:r>
    </w:p>
    <w:p w14:paraId="4D2A64BE">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cs="宋体"/>
          <w:b/>
          <w:bCs/>
          <w:color w:val="auto"/>
          <w:sz w:val="24"/>
          <w:highlight w:val="none"/>
        </w:rPr>
        <w:t>十三</w:t>
      </w:r>
      <w:r>
        <w:rPr>
          <w:rFonts w:hint="eastAsia" w:ascii="宋体" w:hAnsi="宋体"/>
          <w:b/>
          <w:color w:val="auto"/>
          <w:sz w:val="24"/>
          <w:highlight w:val="none"/>
        </w:rPr>
        <w:t>、甲方违约</w:t>
      </w:r>
    </w:p>
    <w:p w14:paraId="0D72943A">
      <w:pPr>
        <w:tabs>
          <w:tab w:val="left" w:pos="840"/>
        </w:tabs>
        <w:spacing w:line="46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1.甲方未按合同规定期限向乙方付费，经乙方催讨后仍未支付时，对逾期未付的费用每逾期一天，按应付金额的千分之一支付滞纳金</w:t>
      </w:r>
      <w:r>
        <w:rPr>
          <w:rFonts w:ascii="宋体" w:hAnsi="宋体"/>
          <w:bCs/>
          <w:color w:val="auto"/>
          <w:sz w:val="24"/>
          <w:highlight w:val="none"/>
        </w:rPr>
        <w:t>。</w:t>
      </w:r>
    </w:p>
    <w:p w14:paraId="6EC5426F">
      <w:pPr>
        <w:tabs>
          <w:tab w:val="left" w:pos="840"/>
        </w:tabs>
        <w:spacing w:line="46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甲方未及时向乙方提供必需的基础资料，由此影响乙方工作进度的，</w:t>
      </w:r>
      <w:r>
        <w:rPr>
          <w:rFonts w:hint="eastAsia" w:ascii="宋体" w:hAnsi="宋体"/>
          <w:bCs/>
          <w:color w:val="auto"/>
          <w:sz w:val="24"/>
          <w:highlight w:val="none"/>
        </w:rPr>
        <w:t>每延误一天，按合同金额的万分之四向</w:t>
      </w:r>
      <w:r>
        <w:rPr>
          <w:rFonts w:ascii="宋体" w:hAnsi="宋体"/>
          <w:bCs/>
          <w:color w:val="auto"/>
          <w:sz w:val="24"/>
          <w:highlight w:val="none"/>
        </w:rPr>
        <w:t>乙方</w:t>
      </w:r>
      <w:r>
        <w:rPr>
          <w:rFonts w:hint="eastAsia" w:ascii="宋体" w:hAnsi="宋体"/>
          <w:bCs/>
          <w:color w:val="auto"/>
          <w:sz w:val="24"/>
          <w:highlight w:val="none"/>
        </w:rPr>
        <w:t>支付</w:t>
      </w:r>
      <w:r>
        <w:rPr>
          <w:rFonts w:ascii="宋体" w:hAnsi="宋体"/>
          <w:bCs/>
          <w:color w:val="auto"/>
          <w:sz w:val="24"/>
          <w:highlight w:val="none"/>
        </w:rPr>
        <w:t>违约金。</w:t>
      </w:r>
    </w:p>
    <w:p w14:paraId="321521CA">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cs="宋体"/>
          <w:b/>
          <w:bCs/>
          <w:color w:val="auto"/>
          <w:sz w:val="24"/>
          <w:highlight w:val="none"/>
        </w:rPr>
        <w:t>十四</w:t>
      </w:r>
      <w:r>
        <w:rPr>
          <w:rFonts w:hint="eastAsia" w:ascii="宋体" w:hAnsi="宋体"/>
          <w:b/>
          <w:color w:val="auto"/>
          <w:sz w:val="24"/>
          <w:highlight w:val="none"/>
        </w:rPr>
        <w:t>、乙方违约</w:t>
      </w:r>
    </w:p>
    <w:p w14:paraId="479B311B">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1.如乙方未能按合同要求进行服务给甲方造成恶劣影响和损失时，甲方有权向乙方收取剩余合同金额千分之一的违约金，并扣除履约保证金。</w:t>
      </w:r>
    </w:p>
    <w:p w14:paraId="322B6E76">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2.根据投标时拟派项目负责人与实际的项目人负责人和技术负责人必须保持一致，甲方有权对乙方进行处罚，处以合同价的3%。</w:t>
      </w:r>
    </w:p>
    <w:p w14:paraId="33C7038A">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十五、合同的变更与终止</w:t>
      </w:r>
    </w:p>
    <w:p w14:paraId="3E1545F0">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1.合同的变更与提前终止必须采用书面形式；</w:t>
      </w:r>
    </w:p>
    <w:p w14:paraId="58FBEAC5">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2.本合同规定的履行期限届满，合同自行终止；</w:t>
      </w:r>
    </w:p>
    <w:p w14:paraId="1A382875">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3.在合同履行过程中，如遇不可抗的因素，双方协商以补充合同方式解决；</w:t>
      </w:r>
    </w:p>
    <w:p w14:paraId="0B164F1A">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4.合同内容变更、提前终止必须提前一个月书面通知对方。</w:t>
      </w:r>
    </w:p>
    <w:p w14:paraId="47EE334B">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十六、合同解除</w:t>
      </w:r>
    </w:p>
    <w:p w14:paraId="36FDE1EE">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1.乙方不得把本项目转包给第三方，否则甲方单方无条件终止合同。</w:t>
      </w:r>
    </w:p>
    <w:p w14:paraId="671B4D6C">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2.乙方严重失职造成甲方档案的重大损失，甲方可以单方无条件解除合同，并按违约责任要求赔偿。</w:t>
      </w:r>
    </w:p>
    <w:p w14:paraId="38D4D102">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3.乙方发生严重违约后，在乙方收到甲方书面通知一个月内仍不能采取补救措施及行动，甲方可以单方面解除合同。</w:t>
      </w:r>
    </w:p>
    <w:p w14:paraId="445F253C">
      <w:pPr>
        <w:tabs>
          <w:tab w:val="left" w:pos="840"/>
        </w:tabs>
        <w:spacing w:line="46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十七、争议解决</w:t>
      </w:r>
    </w:p>
    <w:p w14:paraId="79C6FF81">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1.由于不可抗力，致使合同无法履行时，双方应按有关法律规定及时协商处理。</w:t>
      </w:r>
    </w:p>
    <w:p w14:paraId="56514384">
      <w:pPr>
        <w:tabs>
          <w:tab w:val="left" w:pos="840"/>
        </w:tabs>
        <w:spacing w:line="46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w:t>
      </w:r>
      <w:r>
        <w:rPr>
          <w:rFonts w:hint="eastAsia" w:ascii="宋体" w:hAnsi="宋体"/>
          <w:bCs/>
          <w:color w:val="auto"/>
          <w:sz w:val="24"/>
          <w:highlight w:val="none"/>
          <w:lang w:eastAsia="zh-CN"/>
        </w:rPr>
        <w:t>三门县</w:t>
      </w:r>
      <w:r>
        <w:rPr>
          <w:rFonts w:hint="eastAsia" w:ascii="宋体" w:hAnsi="宋体"/>
          <w:bCs/>
          <w:color w:val="auto"/>
          <w:sz w:val="24"/>
          <w:highlight w:val="none"/>
        </w:rPr>
        <w:t>人民法院起诉。</w:t>
      </w:r>
    </w:p>
    <w:p w14:paraId="26B0A5FD">
      <w:pPr>
        <w:tabs>
          <w:tab w:val="left" w:pos="840"/>
        </w:tabs>
        <w:spacing w:line="46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十八、附则</w:t>
      </w:r>
    </w:p>
    <w:p w14:paraId="5B10B7AA">
      <w:pPr>
        <w:adjustRightInd w:val="0"/>
        <w:spacing w:line="460" w:lineRule="exact"/>
        <w:ind w:firstLine="480" w:firstLineChars="200"/>
        <w:rPr>
          <w:rFonts w:hint="eastAsia" w:ascii="宋体" w:hAnsi="宋体" w:cs="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.本合同由双方代表签字，加盖双方公章或合同专用章即生效。全部成果交接完毕和服务费结算完成后，本合同终止。</w:t>
      </w:r>
    </w:p>
    <w:p w14:paraId="7ACEEA24">
      <w:pPr>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.本合同一式</w:t>
      </w:r>
      <w:r>
        <w:rPr>
          <w:rFonts w:hint="eastAsia" w:ascii="宋体" w:hAnsi="宋体" w:cs="宋体"/>
          <w:b/>
          <w:bCs/>
          <w:color w:val="auto"/>
          <w:sz w:val="24"/>
          <w:highlight w:val="none"/>
          <w:u w:val="single"/>
        </w:rPr>
        <w:t xml:space="preserve">　肆 </w:t>
      </w:r>
      <w:r>
        <w:rPr>
          <w:rFonts w:hint="eastAsia" w:ascii="宋体" w:hAnsi="宋体" w:cs="宋体"/>
          <w:b/>
          <w:bCs/>
          <w:color w:val="auto"/>
          <w:sz w:val="24"/>
          <w:highlight w:val="none"/>
        </w:rPr>
        <w:t>份，甲方和乙方各执贰份。</w:t>
      </w:r>
    </w:p>
    <w:p w14:paraId="755E9414">
      <w:pPr>
        <w:snapToGrid w:val="0"/>
        <w:spacing w:line="360" w:lineRule="auto"/>
        <w:ind w:firstLine="480" w:firstLineChars="200"/>
        <w:jc w:val="left"/>
        <w:rPr>
          <w:rFonts w:ascii="宋体" w:hAnsi="宋体"/>
          <w:color w:val="auto"/>
          <w:sz w:val="24"/>
          <w:highlight w:val="none"/>
        </w:rPr>
      </w:pPr>
    </w:p>
    <w:tbl>
      <w:tblPr>
        <w:tblStyle w:val="2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7584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771A9F80">
            <w:pPr>
              <w:spacing w:line="360" w:lineRule="auto"/>
              <w:jc w:val="center"/>
              <w:rPr>
                <w:rFonts w:ascii="宋体"/>
                <w:color w:val="auto"/>
                <w:sz w:val="24"/>
                <w:highlight w:val="none"/>
              </w:rPr>
            </w:pPr>
            <w:r>
              <w:rPr>
                <w:rFonts w:hint="eastAsia" w:ascii="宋体"/>
                <w:color w:val="auto"/>
                <w:sz w:val="24"/>
                <w:highlight w:val="none"/>
              </w:rPr>
              <w:t>甲方单位</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EB00960">
            <w:pPr>
              <w:spacing w:line="360" w:lineRule="auto"/>
              <w:jc w:val="center"/>
              <w:rPr>
                <w:rFonts w:ascii="宋体"/>
                <w:color w:val="auto"/>
                <w:sz w:val="24"/>
                <w:highlight w:val="none"/>
              </w:rPr>
            </w:pPr>
            <w:r>
              <w:rPr>
                <w:rFonts w:hint="eastAsia" w:ascii="宋体"/>
                <w:color w:val="auto"/>
                <w:sz w:val="24"/>
                <w:highlight w:val="none"/>
              </w:rPr>
              <w:t>（盖章）</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9DD5FA">
            <w:pPr>
              <w:spacing w:line="360" w:lineRule="auto"/>
              <w:jc w:val="center"/>
              <w:rPr>
                <w:rFonts w:ascii="宋体"/>
                <w:color w:val="auto"/>
                <w:sz w:val="24"/>
                <w:highlight w:val="none"/>
              </w:rPr>
            </w:pPr>
            <w:r>
              <w:rPr>
                <w:rFonts w:hint="eastAsia" w:ascii="宋体"/>
                <w:color w:val="auto"/>
                <w:sz w:val="24"/>
                <w:highlight w:val="none"/>
              </w:rPr>
              <w:t>乙方单位</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87413D1">
            <w:pPr>
              <w:spacing w:line="360" w:lineRule="auto"/>
              <w:jc w:val="center"/>
              <w:rPr>
                <w:rFonts w:ascii="宋体"/>
                <w:color w:val="auto"/>
                <w:sz w:val="24"/>
                <w:highlight w:val="none"/>
              </w:rPr>
            </w:pPr>
            <w:r>
              <w:rPr>
                <w:rFonts w:hint="eastAsia" w:ascii="宋体"/>
                <w:color w:val="auto"/>
                <w:sz w:val="24"/>
                <w:highlight w:val="none"/>
              </w:rPr>
              <w:t>（盖章）</w:t>
            </w:r>
          </w:p>
        </w:tc>
      </w:tr>
      <w:tr w14:paraId="2B86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03292A28">
            <w:pPr>
              <w:spacing w:line="360" w:lineRule="auto"/>
              <w:jc w:val="center"/>
              <w:rPr>
                <w:rFonts w:ascii="宋体"/>
                <w:color w:val="auto"/>
                <w:sz w:val="24"/>
                <w:highlight w:val="none"/>
              </w:rPr>
            </w:pPr>
            <w:r>
              <w:rPr>
                <w:rFonts w:hint="eastAsia" w:ascii="宋体"/>
                <w:color w:val="auto"/>
                <w:sz w:val="24"/>
                <w:highlight w:val="none"/>
              </w:rPr>
              <w:t>代表签名</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AD819EB">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9109BC1">
            <w:pPr>
              <w:spacing w:line="360" w:lineRule="auto"/>
              <w:jc w:val="center"/>
              <w:rPr>
                <w:rFonts w:ascii="宋体"/>
                <w:color w:val="auto"/>
                <w:sz w:val="24"/>
                <w:highlight w:val="none"/>
              </w:rPr>
            </w:pPr>
            <w:r>
              <w:rPr>
                <w:rFonts w:hint="eastAsia" w:ascii="宋体"/>
                <w:color w:val="auto"/>
                <w:sz w:val="24"/>
                <w:highlight w:val="none"/>
              </w:rPr>
              <w:t>代表签名</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9811C1D">
            <w:pPr>
              <w:spacing w:line="360" w:lineRule="auto"/>
              <w:jc w:val="center"/>
              <w:rPr>
                <w:rFonts w:ascii="宋体"/>
                <w:color w:val="auto"/>
                <w:sz w:val="24"/>
                <w:highlight w:val="none"/>
              </w:rPr>
            </w:pPr>
          </w:p>
        </w:tc>
      </w:tr>
      <w:tr w14:paraId="34B2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4B5A775F">
            <w:pPr>
              <w:spacing w:line="360" w:lineRule="auto"/>
              <w:jc w:val="center"/>
              <w:rPr>
                <w:rFonts w:ascii="宋体"/>
                <w:color w:val="auto"/>
                <w:sz w:val="24"/>
                <w:highlight w:val="none"/>
              </w:rPr>
            </w:pPr>
            <w:r>
              <w:rPr>
                <w:rFonts w:hint="eastAsia" w:ascii="宋体"/>
                <w:color w:val="auto"/>
                <w:sz w:val="24"/>
                <w:highlight w:val="none"/>
              </w:rPr>
              <w:t>地址</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A063D58">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385C140">
            <w:pPr>
              <w:spacing w:line="360" w:lineRule="auto"/>
              <w:jc w:val="center"/>
              <w:rPr>
                <w:rFonts w:ascii="宋体"/>
                <w:color w:val="auto"/>
                <w:sz w:val="24"/>
                <w:highlight w:val="none"/>
              </w:rPr>
            </w:pPr>
            <w:r>
              <w:rPr>
                <w:rFonts w:hint="eastAsia" w:ascii="宋体"/>
                <w:color w:val="auto"/>
                <w:sz w:val="24"/>
                <w:highlight w:val="none"/>
              </w:rPr>
              <w:t>地址</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9FE9C5F">
            <w:pPr>
              <w:spacing w:line="360" w:lineRule="auto"/>
              <w:jc w:val="center"/>
              <w:rPr>
                <w:rFonts w:ascii="宋体"/>
                <w:color w:val="auto"/>
                <w:sz w:val="24"/>
                <w:highlight w:val="none"/>
              </w:rPr>
            </w:pPr>
          </w:p>
        </w:tc>
      </w:tr>
      <w:tr w14:paraId="7BDD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3F97F5DD">
            <w:pPr>
              <w:spacing w:line="360" w:lineRule="auto"/>
              <w:jc w:val="center"/>
              <w:rPr>
                <w:rFonts w:ascii="宋体"/>
                <w:color w:val="auto"/>
                <w:sz w:val="24"/>
                <w:highlight w:val="none"/>
              </w:rPr>
            </w:pPr>
            <w:r>
              <w:rPr>
                <w:rFonts w:hint="eastAsia" w:ascii="宋体"/>
                <w:color w:val="auto"/>
                <w:sz w:val="24"/>
                <w:highlight w:val="none"/>
              </w:rPr>
              <w:t>电话</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67D5E90">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36CCA0A">
            <w:pPr>
              <w:spacing w:line="360" w:lineRule="auto"/>
              <w:jc w:val="center"/>
              <w:rPr>
                <w:rFonts w:ascii="宋体"/>
                <w:color w:val="auto"/>
                <w:sz w:val="24"/>
                <w:highlight w:val="none"/>
              </w:rPr>
            </w:pPr>
            <w:r>
              <w:rPr>
                <w:rFonts w:hint="eastAsia" w:ascii="宋体"/>
                <w:color w:val="auto"/>
                <w:sz w:val="24"/>
                <w:highlight w:val="none"/>
              </w:rPr>
              <w:t>电话</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9996636">
            <w:pPr>
              <w:spacing w:line="360" w:lineRule="auto"/>
              <w:jc w:val="center"/>
              <w:rPr>
                <w:rFonts w:ascii="宋体"/>
                <w:color w:val="auto"/>
                <w:sz w:val="24"/>
                <w:highlight w:val="none"/>
              </w:rPr>
            </w:pPr>
          </w:p>
        </w:tc>
      </w:tr>
      <w:tr w14:paraId="4022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5C0D2DCC">
            <w:pPr>
              <w:spacing w:line="360" w:lineRule="auto"/>
              <w:jc w:val="center"/>
              <w:rPr>
                <w:rFonts w:ascii="宋体"/>
                <w:color w:val="auto"/>
                <w:sz w:val="24"/>
                <w:highlight w:val="none"/>
              </w:rPr>
            </w:pPr>
            <w:r>
              <w:rPr>
                <w:rFonts w:hint="eastAsia" w:ascii="宋体"/>
                <w:color w:val="auto"/>
                <w:sz w:val="24"/>
                <w:highlight w:val="none"/>
              </w:rPr>
              <w:t>开户银行</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A5BD7BA">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6CA262">
            <w:pPr>
              <w:spacing w:line="360" w:lineRule="auto"/>
              <w:jc w:val="center"/>
              <w:rPr>
                <w:rFonts w:ascii="宋体"/>
                <w:color w:val="auto"/>
                <w:sz w:val="24"/>
                <w:highlight w:val="none"/>
              </w:rPr>
            </w:pPr>
            <w:r>
              <w:rPr>
                <w:rFonts w:hint="eastAsia" w:ascii="宋体"/>
                <w:color w:val="auto"/>
                <w:sz w:val="24"/>
                <w:highlight w:val="none"/>
              </w:rPr>
              <w:t>开户银行</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06D90D6">
            <w:pPr>
              <w:spacing w:line="360" w:lineRule="auto"/>
              <w:jc w:val="center"/>
              <w:rPr>
                <w:rFonts w:ascii="宋体"/>
                <w:color w:val="auto"/>
                <w:sz w:val="24"/>
                <w:highlight w:val="none"/>
              </w:rPr>
            </w:pPr>
          </w:p>
        </w:tc>
      </w:tr>
      <w:tr w14:paraId="0C2B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3E4D9AD6">
            <w:pPr>
              <w:spacing w:line="360" w:lineRule="auto"/>
              <w:jc w:val="center"/>
              <w:rPr>
                <w:rFonts w:hint="eastAsia" w:ascii="宋体"/>
                <w:color w:val="auto"/>
                <w:sz w:val="24"/>
                <w:highlight w:val="none"/>
              </w:rPr>
            </w:pPr>
            <w:r>
              <w:rPr>
                <w:rFonts w:hint="eastAsia" w:ascii="宋体"/>
                <w:color w:val="auto"/>
                <w:sz w:val="24"/>
                <w:highlight w:val="none"/>
              </w:rPr>
              <w:t>账号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2280BB9">
            <w:pPr>
              <w:spacing w:line="360" w:lineRule="auto"/>
              <w:jc w:val="center"/>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4A19C44">
            <w:pPr>
              <w:spacing w:line="360" w:lineRule="auto"/>
              <w:jc w:val="center"/>
              <w:rPr>
                <w:rFonts w:hint="eastAsia" w:ascii="宋体"/>
                <w:color w:val="auto"/>
                <w:sz w:val="24"/>
                <w:highlight w:val="none"/>
              </w:rPr>
            </w:pPr>
            <w:r>
              <w:rPr>
                <w:rFonts w:hint="eastAsia" w:ascii="宋体"/>
                <w:color w:val="auto"/>
                <w:sz w:val="24"/>
                <w:highlight w:val="none"/>
              </w:rPr>
              <w:t>账号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4B3BF72">
            <w:pPr>
              <w:spacing w:line="360" w:lineRule="auto"/>
              <w:jc w:val="center"/>
              <w:rPr>
                <w:rFonts w:ascii="宋体"/>
                <w:color w:val="auto"/>
                <w:sz w:val="24"/>
                <w:highlight w:val="none"/>
              </w:rPr>
            </w:pPr>
          </w:p>
        </w:tc>
      </w:tr>
    </w:tbl>
    <w:p w14:paraId="7DADD0E1">
      <w:pPr>
        <w:rPr>
          <w:rFonts w:hint="eastAsia" w:asciiTheme="majorEastAsia" w:hAnsiTheme="majorEastAsia" w:eastAsiaTheme="majorEastAsia"/>
          <w:color w:val="auto"/>
          <w:sz w:val="28"/>
          <w:szCs w:val="28"/>
          <w:highlight w:val="none"/>
        </w:rPr>
      </w:pPr>
      <w:r>
        <w:rPr>
          <w:rFonts w:hint="eastAsia" w:ascii="宋体" w:hAnsi="宋体" w:cs="宋体"/>
          <w:b/>
          <w:color w:val="auto"/>
          <w:sz w:val="36"/>
          <w:szCs w:val="36"/>
          <w:highlight w:val="none"/>
        </w:rPr>
        <w:br w:type="page"/>
      </w:r>
    </w:p>
    <w:p w14:paraId="2FF43E21">
      <w:pPr>
        <w:spacing w:line="360" w:lineRule="auto"/>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sz w:val="36"/>
          <w:szCs w:val="36"/>
          <w:highlight w:val="none"/>
        </w:rPr>
        <w:t>第五章谈判响应文件格式附件</w:t>
      </w:r>
    </w:p>
    <w:p w14:paraId="0C1F6DC7">
      <w:pPr>
        <w:rPr>
          <w:rFonts w:ascii="宋体" w:hAnsi="宋体"/>
          <w:b/>
          <w:color w:val="auto"/>
          <w:kern w:val="0"/>
          <w:sz w:val="28"/>
          <w:szCs w:val="28"/>
          <w:highlight w:val="none"/>
        </w:rPr>
      </w:pPr>
      <w:r>
        <w:rPr>
          <w:rFonts w:hint="eastAsia" w:ascii="宋体" w:hAnsi="宋体"/>
          <w:b/>
          <w:color w:val="auto"/>
          <w:kern w:val="0"/>
          <w:sz w:val="28"/>
          <w:szCs w:val="28"/>
          <w:highlight w:val="none"/>
        </w:rPr>
        <w:t>附件1                              　　   本</w:t>
      </w:r>
    </w:p>
    <w:p w14:paraId="760FFAA8">
      <w:pPr>
        <w:snapToGrid w:val="0"/>
        <w:spacing w:before="156" w:beforeLines="50" w:after="50" w:line="360" w:lineRule="auto"/>
        <w:rPr>
          <w:rFonts w:ascii="宋体" w:hAnsi="宋体"/>
          <w:b/>
          <w:color w:val="auto"/>
          <w:sz w:val="24"/>
          <w:highlight w:val="none"/>
        </w:rPr>
      </w:pPr>
    </w:p>
    <w:p w14:paraId="6AF5B13B">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79701B44">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45DCF3EC">
      <w:pPr>
        <w:spacing w:after="100" w:afterAutospacing="1" w:line="800" w:lineRule="exact"/>
        <w:ind w:right="-108"/>
        <w:jc w:val="center"/>
        <w:rPr>
          <w:rFonts w:ascii="宋体" w:hAnsi="宋体"/>
          <w:b/>
          <w:color w:val="auto"/>
          <w:spacing w:val="40"/>
          <w:sz w:val="24"/>
          <w:highlight w:val="none"/>
        </w:rPr>
      </w:pPr>
    </w:p>
    <w:p w14:paraId="68AAFC69">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谈</w:t>
      </w:r>
    </w:p>
    <w:p w14:paraId="54A11C36">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判</w:t>
      </w:r>
    </w:p>
    <w:p w14:paraId="10C9B5A0">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5E36F9AE">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5075CE8D">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50DDB31">
      <w:pPr>
        <w:spacing w:after="100" w:afterAutospacing="1"/>
        <w:ind w:right="-108"/>
        <w:jc w:val="center"/>
        <w:rPr>
          <w:rFonts w:ascii="宋体" w:hAnsi="宋体"/>
          <w:b/>
          <w:color w:val="auto"/>
          <w:spacing w:val="40"/>
          <w:sz w:val="48"/>
          <w:szCs w:val="48"/>
          <w:highlight w:val="none"/>
        </w:rPr>
      </w:pPr>
      <w:r>
        <w:rPr>
          <w:rFonts w:hint="eastAsia" w:ascii="宋体" w:hAnsi="宋体"/>
          <w:b/>
          <w:color w:val="auto"/>
          <w:spacing w:val="40"/>
          <w:sz w:val="72"/>
          <w:szCs w:val="72"/>
          <w:highlight w:val="none"/>
        </w:rPr>
        <w:t>件</w:t>
      </w:r>
    </w:p>
    <w:p w14:paraId="0FDF68EE">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单位全称（公章）：</w:t>
      </w:r>
    </w:p>
    <w:p w14:paraId="06AB9017">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B6D2F09">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662DC3A9">
      <w:pPr>
        <w:snapToGrid w:val="0"/>
        <w:spacing w:before="50" w:after="50"/>
        <w:jc w:val="center"/>
        <w:rPr>
          <w:rFonts w:ascii="宋体" w:hAnsi="宋体"/>
          <w:b/>
          <w:bCs/>
          <w:color w:val="auto"/>
          <w:sz w:val="36"/>
          <w:szCs w:val="36"/>
          <w:highlight w:val="none"/>
        </w:rPr>
      </w:pPr>
      <w:r>
        <w:rPr>
          <w:rFonts w:hint="eastAsia" w:ascii="宋体" w:hAnsi="宋体"/>
          <w:b/>
          <w:bCs/>
          <w:color w:val="auto"/>
          <w:sz w:val="36"/>
          <w:szCs w:val="36"/>
          <w:highlight w:val="none"/>
        </w:rPr>
        <w:t>谈判响应文件目录</w:t>
      </w:r>
    </w:p>
    <w:p w14:paraId="69C6F311">
      <w:pPr>
        <w:snapToGrid w:val="0"/>
        <w:spacing w:before="50" w:after="50"/>
        <w:jc w:val="center"/>
        <w:rPr>
          <w:rFonts w:ascii="宋体" w:hAnsi="宋体"/>
          <w:b/>
          <w:bCs/>
          <w:color w:val="auto"/>
          <w:sz w:val="32"/>
          <w:szCs w:val="32"/>
          <w:highlight w:val="none"/>
        </w:rPr>
      </w:pPr>
    </w:p>
    <w:p w14:paraId="37F646EB">
      <w:pPr>
        <w:snapToGrid w:val="0"/>
        <w:spacing w:before="50" w:after="50"/>
        <w:jc w:val="center"/>
        <w:rPr>
          <w:rFonts w:ascii="宋体" w:hAnsi="宋体"/>
          <w:b/>
          <w:bCs/>
          <w:color w:val="auto"/>
          <w:sz w:val="32"/>
          <w:szCs w:val="32"/>
          <w:highlight w:val="none"/>
        </w:rPr>
      </w:pPr>
    </w:p>
    <w:p w14:paraId="054E8BAE">
      <w:pPr>
        <w:snapToGrid w:val="0"/>
        <w:spacing w:before="50" w:after="50" w:line="360" w:lineRule="auto"/>
        <w:ind w:firstLine="422" w:firstLineChars="150"/>
        <w:rPr>
          <w:rFonts w:ascii="宋体" w:hAnsi="宋体" w:cs="宋体"/>
          <w:b/>
          <w:bCs/>
          <w:color w:val="auto"/>
          <w:sz w:val="28"/>
          <w:szCs w:val="28"/>
          <w:highlight w:val="none"/>
        </w:rPr>
      </w:pPr>
      <w:r>
        <w:rPr>
          <w:rFonts w:hint="eastAsia" w:ascii="宋体" w:hAnsi="宋体" w:cs="宋体"/>
          <w:b/>
          <w:bCs/>
          <w:color w:val="auto"/>
          <w:sz w:val="28"/>
          <w:szCs w:val="28"/>
          <w:highlight w:val="none"/>
        </w:rPr>
        <w:t>第一部分：资格证明部分</w:t>
      </w:r>
    </w:p>
    <w:p w14:paraId="3BA34110">
      <w:pPr>
        <w:numPr>
          <w:ilvl w:val="0"/>
          <w:numId w:val="7"/>
        </w:num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谈判声明书（附件2）</w:t>
      </w:r>
      <w:r>
        <w:rPr>
          <w:rFonts w:hint="eastAsia" w:ascii="宋体" w:hAnsi="宋体" w:cs="宋体"/>
          <w:color w:val="auto"/>
          <w:sz w:val="24"/>
          <w:highlight w:val="none"/>
          <w:lang w:eastAsia="zh-CN"/>
        </w:rPr>
        <w:t>；</w:t>
      </w:r>
    </w:p>
    <w:p w14:paraId="7D79498B">
      <w:pPr>
        <w:numPr>
          <w:ilvl w:val="0"/>
          <w:numId w:val="7"/>
        </w:num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授权委托书（附件3）</w:t>
      </w:r>
      <w:r>
        <w:rPr>
          <w:rFonts w:hint="eastAsia" w:ascii="宋体" w:hAnsi="宋体" w:cs="宋体"/>
          <w:bCs/>
          <w:color w:val="auto"/>
          <w:sz w:val="24"/>
          <w:highlight w:val="none"/>
          <w:lang w:eastAsia="zh-CN"/>
        </w:rPr>
        <w:t>；</w:t>
      </w:r>
    </w:p>
    <w:p w14:paraId="7BD0CD0C">
      <w:pPr>
        <w:numPr>
          <w:ilvl w:val="0"/>
          <w:numId w:val="0"/>
        </w:num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3、法人或者其他组织的营业执照等证明文件，自然人的身份证明</w:t>
      </w:r>
      <w:r>
        <w:rPr>
          <w:rFonts w:hint="eastAsia" w:ascii="宋体" w:hAnsi="宋体" w:eastAsia="宋体" w:cs="宋体"/>
          <w:bCs/>
          <w:color w:val="auto"/>
          <w:sz w:val="24"/>
          <w:highlight w:val="none"/>
          <w:lang w:eastAsia="zh-CN"/>
        </w:rPr>
        <w:t>；</w:t>
      </w:r>
    </w:p>
    <w:p w14:paraId="49870207">
      <w:pPr>
        <w:numPr>
          <w:ilvl w:val="0"/>
          <w:numId w:val="0"/>
        </w:num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4、符合参加采购活动应当具备的一般条件的承诺函</w:t>
      </w: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w:t>
      </w:r>
      <w:r>
        <w:rPr>
          <w:rFonts w:hint="eastAsia" w:ascii="宋体" w:hAnsi="宋体" w:eastAsia="宋体" w:cs="宋体"/>
          <w:bCs/>
          <w:color w:val="auto"/>
          <w:sz w:val="24"/>
          <w:highlight w:val="none"/>
          <w:lang w:eastAsia="zh-CN"/>
        </w:rPr>
        <w:t>；</w:t>
      </w:r>
    </w:p>
    <w:p w14:paraId="38E7EBC2">
      <w:pPr>
        <w:snapToGrid w:val="0"/>
        <w:spacing w:line="360" w:lineRule="auto"/>
        <w:ind w:firstLine="470" w:firstLineChars="196"/>
        <w:rPr>
          <w:rFonts w:ascii="宋体" w:hAnsi="宋体" w:cs="宋体"/>
          <w:bCs/>
          <w:color w:val="auto"/>
          <w:sz w:val="24"/>
          <w:highlight w:val="none"/>
        </w:rPr>
      </w:pPr>
    </w:p>
    <w:p w14:paraId="5057FBC8">
      <w:pPr>
        <w:spacing w:line="360" w:lineRule="auto"/>
        <w:ind w:right="-108" w:firstLine="422" w:firstLineChars="150"/>
        <w:rPr>
          <w:rFonts w:ascii="宋体" w:hAnsi="宋体" w:cs="宋体"/>
          <w:color w:val="auto"/>
          <w:sz w:val="24"/>
          <w:highlight w:val="none"/>
        </w:rPr>
      </w:pPr>
      <w:r>
        <w:rPr>
          <w:rFonts w:hint="eastAsia" w:ascii="宋体" w:hAnsi="宋体" w:cs="宋体"/>
          <w:b/>
          <w:bCs/>
          <w:color w:val="auto"/>
          <w:sz w:val="28"/>
          <w:szCs w:val="28"/>
          <w:highlight w:val="none"/>
          <w:lang w:val="zh-CN"/>
        </w:rPr>
        <w:t>第二部分：</w:t>
      </w:r>
      <w:r>
        <w:rPr>
          <w:rFonts w:hint="eastAsia" w:ascii="宋体" w:hAnsi="宋体" w:cs="宋体"/>
          <w:b/>
          <w:color w:val="auto"/>
          <w:sz w:val="28"/>
          <w:szCs w:val="28"/>
          <w:highlight w:val="none"/>
        </w:rPr>
        <w:t>报价</w:t>
      </w:r>
      <w:r>
        <w:rPr>
          <w:rFonts w:hint="eastAsia" w:ascii="宋体" w:hAnsi="宋体" w:cs="宋体"/>
          <w:b/>
          <w:bCs/>
          <w:color w:val="auto"/>
          <w:sz w:val="28"/>
          <w:szCs w:val="28"/>
          <w:highlight w:val="none"/>
        </w:rPr>
        <w:t>部分</w:t>
      </w:r>
    </w:p>
    <w:p w14:paraId="50231BE1">
      <w:pPr>
        <w:snapToGrid w:val="0"/>
        <w:spacing w:line="360" w:lineRule="auto"/>
        <w:ind w:firstLine="420" w:firstLineChars="175"/>
        <w:jc w:val="left"/>
        <w:rPr>
          <w:rFonts w:ascii="宋体" w:hAnsi="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首次报价一览表</w:t>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434811D0">
      <w:pPr>
        <w:snapToGrid w:val="0"/>
        <w:spacing w:line="360" w:lineRule="auto"/>
        <w:rPr>
          <w:rFonts w:ascii="宋体" w:hAnsi="宋体"/>
          <w:color w:val="auto"/>
          <w:kern w:val="0"/>
          <w:sz w:val="24"/>
          <w:highlight w:val="none"/>
        </w:rPr>
      </w:pPr>
    </w:p>
    <w:p w14:paraId="408F6064">
      <w:pPr>
        <w:snapToGrid w:val="0"/>
        <w:spacing w:line="360" w:lineRule="auto"/>
        <w:rPr>
          <w:rFonts w:ascii="宋体" w:hAnsi="宋体"/>
          <w:color w:val="auto"/>
          <w:kern w:val="0"/>
          <w:sz w:val="24"/>
          <w:highlight w:val="none"/>
        </w:rPr>
      </w:pPr>
    </w:p>
    <w:p w14:paraId="36736D6B">
      <w:pPr>
        <w:snapToGrid w:val="0"/>
        <w:spacing w:line="360" w:lineRule="auto"/>
        <w:rPr>
          <w:rFonts w:ascii="宋体" w:hAnsi="宋体"/>
          <w:color w:val="auto"/>
          <w:kern w:val="0"/>
          <w:sz w:val="24"/>
          <w:highlight w:val="none"/>
        </w:rPr>
      </w:pPr>
    </w:p>
    <w:p w14:paraId="5FE7D538">
      <w:pPr>
        <w:snapToGrid w:val="0"/>
        <w:spacing w:line="360" w:lineRule="auto"/>
        <w:rPr>
          <w:rFonts w:ascii="宋体" w:hAnsi="宋体"/>
          <w:color w:val="auto"/>
          <w:kern w:val="0"/>
          <w:sz w:val="24"/>
          <w:highlight w:val="none"/>
        </w:rPr>
      </w:pPr>
    </w:p>
    <w:p w14:paraId="36E36342">
      <w:pPr>
        <w:snapToGrid w:val="0"/>
        <w:spacing w:line="360" w:lineRule="auto"/>
        <w:rPr>
          <w:rFonts w:ascii="宋体" w:hAnsi="宋体"/>
          <w:color w:val="auto"/>
          <w:kern w:val="0"/>
          <w:sz w:val="24"/>
          <w:highlight w:val="none"/>
        </w:rPr>
      </w:pPr>
    </w:p>
    <w:p w14:paraId="185AFA72">
      <w:pPr>
        <w:snapToGrid w:val="0"/>
        <w:spacing w:line="360" w:lineRule="auto"/>
        <w:rPr>
          <w:rFonts w:ascii="宋体" w:hAnsi="宋体"/>
          <w:color w:val="auto"/>
          <w:kern w:val="0"/>
          <w:sz w:val="24"/>
          <w:highlight w:val="none"/>
        </w:rPr>
      </w:pPr>
    </w:p>
    <w:p w14:paraId="1E974BAE">
      <w:pPr>
        <w:snapToGrid w:val="0"/>
        <w:spacing w:line="360" w:lineRule="auto"/>
        <w:rPr>
          <w:rFonts w:ascii="宋体" w:hAnsi="宋体"/>
          <w:color w:val="auto"/>
          <w:kern w:val="0"/>
          <w:sz w:val="24"/>
          <w:highlight w:val="none"/>
        </w:rPr>
      </w:pPr>
    </w:p>
    <w:p w14:paraId="51CD0B0F">
      <w:pPr>
        <w:snapToGrid w:val="0"/>
        <w:spacing w:line="360" w:lineRule="auto"/>
        <w:rPr>
          <w:rFonts w:ascii="宋体" w:hAnsi="宋体"/>
          <w:color w:val="auto"/>
          <w:kern w:val="0"/>
          <w:sz w:val="24"/>
          <w:highlight w:val="none"/>
        </w:rPr>
      </w:pPr>
    </w:p>
    <w:p w14:paraId="40E83EB9">
      <w:pPr>
        <w:snapToGrid w:val="0"/>
        <w:spacing w:line="360" w:lineRule="auto"/>
        <w:rPr>
          <w:rFonts w:ascii="宋体" w:hAnsi="宋体"/>
          <w:color w:val="auto"/>
          <w:kern w:val="0"/>
          <w:sz w:val="24"/>
          <w:highlight w:val="none"/>
        </w:rPr>
      </w:pPr>
    </w:p>
    <w:p w14:paraId="13B521F7">
      <w:pPr>
        <w:snapToGrid w:val="0"/>
        <w:spacing w:line="360" w:lineRule="auto"/>
        <w:rPr>
          <w:rFonts w:ascii="宋体" w:hAnsi="宋体"/>
          <w:color w:val="auto"/>
          <w:kern w:val="0"/>
          <w:sz w:val="24"/>
          <w:highlight w:val="none"/>
        </w:rPr>
      </w:pPr>
    </w:p>
    <w:p w14:paraId="3F551D36">
      <w:pPr>
        <w:snapToGrid w:val="0"/>
        <w:spacing w:line="360" w:lineRule="auto"/>
        <w:rPr>
          <w:rFonts w:ascii="宋体" w:hAnsi="宋体"/>
          <w:color w:val="auto"/>
          <w:kern w:val="0"/>
          <w:sz w:val="24"/>
          <w:highlight w:val="none"/>
        </w:rPr>
      </w:pPr>
    </w:p>
    <w:p w14:paraId="0585C864">
      <w:pPr>
        <w:snapToGrid w:val="0"/>
        <w:spacing w:line="360" w:lineRule="auto"/>
        <w:rPr>
          <w:rFonts w:ascii="宋体" w:hAnsi="宋体"/>
          <w:color w:val="auto"/>
          <w:kern w:val="0"/>
          <w:sz w:val="24"/>
          <w:highlight w:val="none"/>
        </w:rPr>
      </w:pPr>
    </w:p>
    <w:p w14:paraId="23F907D8">
      <w:pPr>
        <w:snapToGrid w:val="0"/>
        <w:spacing w:line="360" w:lineRule="auto"/>
        <w:rPr>
          <w:rFonts w:ascii="宋体" w:hAnsi="宋体"/>
          <w:color w:val="auto"/>
          <w:kern w:val="0"/>
          <w:sz w:val="24"/>
          <w:highlight w:val="none"/>
        </w:rPr>
      </w:pPr>
    </w:p>
    <w:p w14:paraId="59977F95">
      <w:pPr>
        <w:snapToGrid w:val="0"/>
        <w:spacing w:line="360" w:lineRule="auto"/>
        <w:rPr>
          <w:rFonts w:ascii="宋体" w:hAnsi="宋体"/>
          <w:color w:val="auto"/>
          <w:kern w:val="0"/>
          <w:sz w:val="24"/>
          <w:highlight w:val="none"/>
        </w:rPr>
      </w:pPr>
    </w:p>
    <w:p w14:paraId="2B4602AE">
      <w:pPr>
        <w:snapToGrid w:val="0"/>
        <w:spacing w:line="360" w:lineRule="auto"/>
        <w:rPr>
          <w:rFonts w:ascii="宋体" w:hAnsi="宋体"/>
          <w:color w:val="auto"/>
          <w:kern w:val="0"/>
          <w:sz w:val="24"/>
          <w:highlight w:val="none"/>
        </w:rPr>
      </w:pPr>
    </w:p>
    <w:p w14:paraId="390A1BCC">
      <w:pPr>
        <w:snapToGrid w:val="0"/>
        <w:spacing w:line="360" w:lineRule="auto"/>
        <w:rPr>
          <w:rFonts w:ascii="宋体" w:hAnsi="宋体"/>
          <w:color w:val="auto"/>
          <w:kern w:val="0"/>
          <w:sz w:val="24"/>
          <w:highlight w:val="none"/>
        </w:rPr>
      </w:pPr>
    </w:p>
    <w:p w14:paraId="3560BC92">
      <w:pPr>
        <w:widowControl/>
        <w:jc w:val="left"/>
        <w:rPr>
          <w:rFonts w:ascii="宋体" w:hAnsi="宋体"/>
          <w:b/>
          <w:color w:val="auto"/>
          <w:sz w:val="28"/>
          <w:highlight w:val="none"/>
        </w:rPr>
      </w:pPr>
      <w:r>
        <w:rPr>
          <w:rFonts w:ascii="宋体" w:hAnsi="宋体"/>
          <w:b/>
          <w:color w:val="auto"/>
          <w:sz w:val="28"/>
          <w:highlight w:val="none"/>
        </w:rPr>
        <w:br w:type="page"/>
      </w:r>
    </w:p>
    <w:p w14:paraId="2B292C6F">
      <w:pPr>
        <w:spacing w:line="360" w:lineRule="auto"/>
        <w:rPr>
          <w:rFonts w:ascii="宋体" w:hAnsi="宋体"/>
          <w:b/>
          <w:color w:val="auto"/>
          <w:sz w:val="28"/>
          <w:highlight w:val="none"/>
        </w:rPr>
      </w:pPr>
      <w:r>
        <w:rPr>
          <w:rFonts w:hint="eastAsia" w:ascii="宋体" w:hAnsi="宋体"/>
          <w:b/>
          <w:color w:val="auto"/>
          <w:sz w:val="28"/>
          <w:highlight w:val="none"/>
        </w:rPr>
        <w:t>附件2</w:t>
      </w:r>
    </w:p>
    <w:p w14:paraId="3419AC79">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谈判声明书</w:t>
      </w:r>
    </w:p>
    <w:p w14:paraId="59B31199">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rPr>
        <w:t>×××（采购代理机构名称）：</w:t>
      </w:r>
    </w:p>
    <w:p w14:paraId="3887CB1E">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14:paraId="1B435C5F">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竞争性谈判项目名称</w:t>
      </w:r>
      <w:r>
        <w:rPr>
          <w:rFonts w:hint="eastAsia" w:ascii="宋体" w:hAnsi="宋体" w:cs="宋体"/>
          <w:color w:val="auto"/>
          <w:kern w:val="0"/>
          <w:sz w:val="24"/>
          <w:highlight w:val="none"/>
        </w:rPr>
        <w:t>）（编号为××）的谈判，为此，我公司就本次谈判有关事项郑重声明如下：</w:t>
      </w:r>
    </w:p>
    <w:p w14:paraId="5CC2E352">
      <w:pPr>
        <w:numPr>
          <w:ilvl w:val="0"/>
          <w:numId w:val="8"/>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14:paraId="04F0CF33">
      <w:pPr>
        <w:numPr>
          <w:ilvl w:val="0"/>
          <w:numId w:val="8"/>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14:paraId="0853E497">
      <w:pPr>
        <w:numPr>
          <w:ilvl w:val="255"/>
          <w:numId w:val="0"/>
        </w:num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3EEF8B61">
      <w:pPr>
        <w:snapToGrid w:val="0"/>
        <w:spacing w:before="156" w:beforeLines="50" w:after="50" w:line="324" w:lineRule="auto"/>
        <w:ind w:firstLine="480" w:firstLineChars="200"/>
        <w:rPr>
          <w:rFonts w:ascii="宋体" w:hAnsi="宋体" w:cs="仿宋_GB2312"/>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s="仿宋_GB2312"/>
          <w:color w:val="auto"/>
          <w:kern w:val="0"/>
          <w:sz w:val="24"/>
          <w:highlight w:val="none"/>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354FEC5D">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严格履行采购合同，不降低合同约定的产品质量和服务，不擅自变更、中止、终止合同，或拒绝履行合同义务；</w:t>
      </w:r>
    </w:p>
    <w:p w14:paraId="77C0899C">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5BE8C70E">
      <w:pPr>
        <w:adjustRightInd w:val="0"/>
        <w:snapToGrid w:val="0"/>
        <w:spacing w:line="324"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14:paraId="11D55C9B">
      <w:pPr>
        <w:adjustRightInd w:val="0"/>
        <w:snapToGrid w:val="0"/>
        <w:spacing w:line="324"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14:paraId="02109EEB">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14:paraId="42CA89CD">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14:paraId="4E06842C">
      <w:pPr>
        <w:spacing w:line="360" w:lineRule="auto"/>
        <w:ind w:firstLine="321" w:firstLineChars="100"/>
        <w:jc w:val="center"/>
        <w:rPr>
          <w:rFonts w:ascii="Calibri" w:hAnsi="Calibri"/>
          <w:b/>
          <w:color w:val="auto"/>
          <w:sz w:val="32"/>
          <w:szCs w:val="32"/>
          <w:highlight w:val="none"/>
          <w:lang w:val="zh-CN"/>
        </w:rPr>
      </w:pPr>
      <w:r>
        <w:rPr>
          <w:rFonts w:hint="eastAsia" w:ascii="Calibri" w:hAnsi="Calibri"/>
          <w:b/>
          <w:color w:val="auto"/>
          <w:sz w:val="32"/>
          <w:szCs w:val="32"/>
          <w:highlight w:val="none"/>
          <w:lang w:val="zh-CN"/>
        </w:rPr>
        <w:t>授权委托书</w:t>
      </w:r>
    </w:p>
    <w:p w14:paraId="66B886B3">
      <w:pPr>
        <w:pStyle w:val="12"/>
        <w:spacing w:line="500" w:lineRule="exact"/>
        <w:rPr>
          <w:rFonts w:hAnsi="宋体"/>
          <w:b/>
          <w:color w:val="auto"/>
          <w:sz w:val="24"/>
          <w:highlight w:val="none"/>
        </w:rPr>
      </w:pPr>
      <w:r>
        <w:rPr>
          <w:rFonts w:hint="eastAsia" w:hAnsi="宋体"/>
          <w:b/>
          <w:color w:val="auto"/>
          <w:sz w:val="24"/>
          <w:highlight w:val="none"/>
        </w:rPr>
        <w:t>×××</w:t>
      </w:r>
      <w:r>
        <w:rPr>
          <w:rFonts w:hint="eastAsia" w:hAnsi="宋体" w:cs="宋体"/>
          <w:color w:val="auto"/>
          <w:kern w:val="0"/>
          <w:sz w:val="24"/>
          <w:highlight w:val="none"/>
        </w:rPr>
        <w:t>（采购代理机构名称）</w:t>
      </w:r>
      <w:r>
        <w:rPr>
          <w:rFonts w:hAnsi="宋体"/>
          <w:b/>
          <w:color w:val="auto"/>
          <w:sz w:val="24"/>
          <w:highlight w:val="none"/>
        </w:rPr>
        <w:t>：</w:t>
      </w:r>
    </w:p>
    <w:p w14:paraId="1568F8A3">
      <w:pPr>
        <w:pStyle w:val="12"/>
        <w:spacing w:line="500" w:lineRule="exact"/>
        <w:ind w:left="240" w:hanging="240" w:hangingChars="1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w:t>
      </w:r>
      <w:r>
        <w:rPr>
          <w:rFonts w:hint="eastAsia" w:hAnsi="宋体"/>
          <w:color w:val="auto"/>
          <w:sz w:val="24"/>
          <w:highlight w:val="none"/>
        </w:rPr>
        <w:t>谈判</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14:paraId="79C9CF4C">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52B98730">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1CE0DCF9">
      <w:pPr>
        <w:spacing w:line="360" w:lineRule="auto"/>
        <w:rPr>
          <w:color w:val="auto"/>
          <w:sz w:val="24"/>
          <w:highlight w:val="none"/>
        </w:rPr>
      </w:pPr>
    </w:p>
    <w:p w14:paraId="45413FCC">
      <w:pPr>
        <w:spacing w:line="360" w:lineRule="auto"/>
        <w:rPr>
          <w:color w:val="auto"/>
          <w:sz w:val="24"/>
          <w:highlight w:val="none"/>
        </w:rPr>
      </w:pPr>
      <w:r>
        <w:rPr>
          <w:rFonts w:hint="eastAsia" w:ascii="宋体"/>
          <w:color w:val="auto"/>
          <w:sz w:val="24"/>
          <w:highlight w:val="none"/>
        </w:rPr>
        <w:t>法定代表人签字或盖章：</w:t>
      </w:r>
    </w:p>
    <w:p w14:paraId="634FF1D7">
      <w:pPr>
        <w:spacing w:line="360" w:lineRule="auto"/>
        <w:rPr>
          <w:color w:val="auto"/>
          <w:sz w:val="24"/>
          <w:highlight w:val="none"/>
        </w:rPr>
      </w:pPr>
    </w:p>
    <w:p w14:paraId="77CC5B12">
      <w:pPr>
        <w:spacing w:line="360" w:lineRule="auto"/>
        <w:rPr>
          <w:color w:val="auto"/>
          <w:sz w:val="24"/>
          <w:highlight w:val="none"/>
        </w:rPr>
      </w:pPr>
      <w:r>
        <w:rPr>
          <w:rFonts w:hint="eastAsia" w:ascii="宋体"/>
          <w:color w:val="auto"/>
          <w:sz w:val="24"/>
          <w:highlight w:val="none"/>
        </w:rPr>
        <w:t>供应商全称（公章）：                              日期：</w:t>
      </w:r>
    </w:p>
    <w:p w14:paraId="5EA1E405">
      <w:pPr>
        <w:spacing w:line="360" w:lineRule="auto"/>
        <w:rPr>
          <w:color w:val="auto"/>
          <w:sz w:val="24"/>
          <w:highlight w:val="none"/>
        </w:rPr>
      </w:pPr>
    </w:p>
    <w:p w14:paraId="123D29EC">
      <w:pPr>
        <w:spacing w:line="360" w:lineRule="auto"/>
        <w:rPr>
          <w:b/>
          <w:color w:val="auto"/>
          <w:sz w:val="24"/>
          <w:highlight w:val="none"/>
        </w:rPr>
      </w:pPr>
      <w:r>
        <w:rPr>
          <w:rFonts w:hint="eastAsia" w:ascii="宋体"/>
          <w:b/>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C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018302">
            <w:pPr>
              <w:spacing w:line="360" w:lineRule="auto"/>
              <w:rPr>
                <w:rFonts w:ascii="宋体"/>
                <w:b/>
                <w:color w:val="auto"/>
                <w:sz w:val="24"/>
                <w:highlight w:val="none"/>
              </w:rPr>
            </w:pPr>
          </w:p>
          <w:p w14:paraId="4BC49A2A">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14:paraId="58B4A8FB">
      <w:pPr>
        <w:spacing w:line="360" w:lineRule="auto"/>
        <w:rPr>
          <w:color w:val="auto"/>
          <w:sz w:val="24"/>
          <w:highlight w:val="none"/>
        </w:rPr>
      </w:pPr>
      <w:r>
        <w:rPr>
          <w:rFonts w:hint="eastAsia" w:ascii="宋体"/>
          <w:color w:val="auto"/>
          <w:sz w:val="24"/>
          <w:highlight w:val="none"/>
        </w:rPr>
        <w:t xml:space="preserve">法定代表人姓名：                                 </w:t>
      </w:r>
    </w:p>
    <w:p w14:paraId="1F3739F0">
      <w:pPr>
        <w:spacing w:line="360" w:lineRule="auto"/>
        <w:rPr>
          <w:color w:val="auto"/>
          <w:sz w:val="24"/>
          <w:highlight w:val="none"/>
        </w:rPr>
      </w:pPr>
      <w:r>
        <w:rPr>
          <w:rFonts w:hint="eastAsia" w:ascii="宋体"/>
          <w:color w:val="auto"/>
          <w:sz w:val="24"/>
          <w:highlight w:val="none"/>
        </w:rPr>
        <w:t>传真：</w:t>
      </w:r>
    </w:p>
    <w:p w14:paraId="7BC0AA60">
      <w:pPr>
        <w:spacing w:line="360" w:lineRule="auto"/>
        <w:rPr>
          <w:rFonts w:ascii="宋体"/>
          <w:color w:val="auto"/>
          <w:sz w:val="24"/>
          <w:highlight w:val="none"/>
        </w:rPr>
      </w:pPr>
      <w:r>
        <w:rPr>
          <w:rFonts w:hint="eastAsia" w:ascii="宋体"/>
          <w:color w:val="auto"/>
          <w:sz w:val="24"/>
          <w:highlight w:val="none"/>
        </w:rPr>
        <w:t>电话：</w:t>
      </w:r>
    </w:p>
    <w:p w14:paraId="456579B7">
      <w:pPr>
        <w:spacing w:line="360" w:lineRule="auto"/>
        <w:rPr>
          <w:color w:val="auto"/>
          <w:sz w:val="24"/>
          <w:highlight w:val="none"/>
        </w:rPr>
      </w:pPr>
      <w:r>
        <w:rPr>
          <w:rFonts w:hint="eastAsia" w:ascii="宋体"/>
          <w:color w:val="auto"/>
          <w:sz w:val="24"/>
          <w:highlight w:val="none"/>
        </w:rPr>
        <w:t>详细通讯地址：</w:t>
      </w:r>
    </w:p>
    <w:p w14:paraId="2A97E613">
      <w:pPr>
        <w:spacing w:line="360" w:lineRule="auto"/>
        <w:rPr>
          <w:b/>
          <w:color w:val="auto"/>
          <w:sz w:val="24"/>
          <w:highlight w:val="none"/>
        </w:rPr>
      </w:pPr>
      <w:r>
        <w:rPr>
          <w:rFonts w:hint="eastAsia" w:ascii="宋体"/>
          <w:color w:val="auto"/>
          <w:sz w:val="24"/>
          <w:highlight w:val="none"/>
        </w:rPr>
        <w:t>邮政编码：</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6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D86D88A">
            <w:pPr>
              <w:spacing w:line="360" w:lineRule="auto"/>
              <w:rPr>
                <w:rFonts w:ascii="宋体"/>
                <w:b/>
                <w:color w:val="auto"/>
                <w:sz w:val="24"/>
                <w:highlight w:val="none"/>
              </w:rPr>
            </w:pPr>
          </w:p>
          <w:p w14:paraId="5BECE6CE">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14:paraId="080A1BD0">
      <w:pPr>
        <w:spacing w:line="360" w:lineRule="auto"/>
        <w:rPr>
          <w:rFonts w:ascii="宋体"/>
          <w:color w:val="auto"/>
          <w:sz w:val="24"/>
          <w:highlight w:val="none"/>
        </w:rPr>
      </w:pPr>
      <w:r>
        <w:rPr>
          <w:rFonts w:hint="eastAsia" w:ascii="宋体"/>
          <w:color w:val="auto"/>
          <w:sz w:val="24"/>
          <w:highlight w:val="none"/>
        </w:rPr>
        <w:t xml:space="preserve">全权代表姓名：       </w:t>
      </w:r>
    </w:p>
    <w:p w14:paraId="63ABCD1E">
      <w:pPr>
        <w:spacing w:line="360" w:lineRule="auto"/>
        <w:rPr>
          <w:color w:val="auto"/>
          <w:sz w:val="24"/>
          <w:highlight w:val="none"/>
        </w:rPr>
      </w:pPr>
      <w:r>
        <w:rPr>
          <w:rFonts w:hint="eastAsia" w:ascii="宋体"/>
          <w:color w:val="auto"/>
          <w:sz w:val="24"/>
          <w:highlight w:val="none"/>
        </w:rPr>
        <w:t xml:space="preserve">职务：                           </w:t>
      </w:r>
    </w:p>
    <w:p w14:paraId="4BCE5716">
      <w:pPr>
        <w:spacing w:line="360" w:lineRule="auto"/>
        <w:rPr>
          <w:color w:val="auto"/>
          <w:sz w:val="24"/>
          <w:highlight w:val="none"/>
        </w:rPr>
      </w:pPr>
      <w:r>
        <w:rPr>
          <w:rFonts w:hint="eastAsia" w:ascii="宋体"/>
          <w:color w:val="auto"/>
          <w:sz w:val="24"/>
          <w:highlight w:val="none"/>
        </w:rPr>
        <w:t>传真：</w:t>
      </w:r>
    </w:p>
    <w:p w14:paraId="499144ED">
      <w:pPr>
        <w:spacing w:line="360" w:lineRule="auto"/>
        <w:rPr>
          <w:rFonts w:ascii="宋体"/>
          <w:color w:val="auto"/>
          <w:sz w:val="24"/>
          <w:highlight w:val="none"/>
        </w:rPr>
      </w:pPr>
      <w:r>
        <w:rPr>
          <w:rFonts w:hint="eastAsia" w:ascii="宋体"/>
          <w:color w:val="auto"/>
          <w:sz w:val="24"/>
          <w:highlight w:val="none"/>
        </w:rPr>
        <w:t>电话：</w:t>
      </w:r>
    </w:p>
    <w:p w14:paraId="02190A74">
      <w:pPr>
        <w:spacing w:line="360" w:lineRule="auto"/>
        <w:rPr>
          <w:color w:val="auto"/>
          <w:sz w:val="24"/>
          <w:highlight w:val="none"/>
        </w:rPr>
      </w:pPr>
      <w:r>
        <w:rPr>
          <w:rFonts w:hint="eastAsia" w:ascii="宋体"/>
          <w:color w:val="auto"/>
          <w:sz w:val="24"/>
          <w:highlight w:val="none"/>
        </w:rPr>
        <w:t>详细通讯地址：</w:t>
      </w:r>
    </w:p>
    <w:p w14:paraId="41993126">
      <w:pPr>
        <w:spacing w:line="360" w:lineRule="auto"/>
        <w:rPr>
          <w:rFonts w:ascii="宋体"/>
          <w:color w:val="auto"/>
          <w:sz w:val="24"/>
          <w:highlight w:val="none"/>
        </w:rPr>
      </w:pPr>
      <w:r>
        <w:rPr>
          <w:rFonts w:hint="eastAsia" w:ascii="宋体"/>
          <w:color w:val="auto"/>
          <w:sz w:val="24"/>
          <w:highlight w:val="none"/>
        </w:rPr>
        <w:t>邮政编码：</w:t>
      </w:r>
    </w:p>
    <w:p w14:paraId="1562CA9C">
      <w:pPr>
        <w:snapToGrid w:val="0"/>
        <w:spacing w:line="360" w:lineRule="auto"/>
        <w:rPr>
          <w:rFonts w:ascii="宋体" w:hAnsi="宋体"/>
          <w:color w:val="auto"/>
          <w:kern w:val="0"/>
          <w:sz w:val="24"/>
          <w:highlight w:val="none"/>
        </w:rPr>
      </w:pPr>
    </w:p>
    <w:p w14:paraId="23281BAA">
      <w:pPr>
        <w:adjustRightInd w:val="0"/>
        <w:snapToGrid w:val="0"/>
        <w:spacing w:line="360" w:lineRule="auto"/>
        <w:ind w:right="480"/>
        <w:rPr>
          <w:rFonts w:hint="eastAsia" w:ascii="宋体" w:eastAsia="宋体"/>
          <w:b/>
          <w:color w:val="auto"/>
          <w:sz w:val="30"/>
          <w:szCs w:val="30"/>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31CE9391">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符合参加采购活动应当具备的一般条件的承诺函</w:t>
      </w:r>
    </w:p>
    <w:p w14:paraId="42E06419">
      <w:pPr>
        <w:adjustRightInd w:val="0"/>
        <w:snapToGrid w:val="0"/>
        <w:spacing w:line="288" w:lineRule="auto"/>
        <w:rPr>
          <w:color w:val="auto"/>
          <w:szCs w:val="21"/>
          <w:highlight w:val="none"/>
          <w:shd w:val="clear" w:color="auto" w:fill="FFFFFF"/>
        </w:rPr>
      </w:pPr>
    </w:p>
    <w:p w14:paraId="535776DB">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4E1AD87B">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36BEC80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w:t>
      </w:r>
      <w:r>
        <w:rPr>
          <w:rFonts w:hint="eastAsia" w:ascii="宋体" w:hAnsi="宋体" w:cs="宋体"/>
          <w:color w:val="auto"/>
          <w:spacing w:val="-6"/>
          <w:sz w:val="24"/>
          <w:highlight w:val="none"/>
          <w:lang w:eastAsia="zh-CN"/>
        </w:rPr>
        <w:t>以下</w:t>
      </w:r>
      <w:r>
        <w:rPr>
          <w:rFonts w:hint="eastAsia" w:ascii="宋体" w:hAnsi="宋体" w:cs="宋体"/>
          <w:color w:val="auto"/>
          <w:spacing w:val="-6"/>
          <w:sz w:val="24"/>
          <w:highlight w:val="none"/>
        </w:rPr>
        <w:t>规定：</w:t>
      </w:r>
    </w:p>
    <w:p w14:paraId="5DC9485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328DA36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488D9FBA">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7D408F4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2F17C06D">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1AC8320D">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48620E7F">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二、未被列入失信被执行人、重大税收违法案件当事人名单、政府采购严重违法失信行为记录名单。</w:t>
      </w:r>
    </w:p>
    <w:p w14:paraId="076258E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533695C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1、单位负责人为同一人或者存在直接控股、管理关系的不同供应商参加同一合同项下的采购活动的；</w:t>
      </w:r>
    </w:p>
    <w:p w14:paraId="278B747E">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3DF5EF5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615FFD42">
      <w:pPr>
        <w:adjustRightInd w:val="0"/>
        <w:snapToGrid w:val="0"/>
        <w:spacing w:line="288" w:lineRule="auto"/>
        <w:rPr>
          <w:rFonts w:ascii="宋体" w:hAnsi="宋体" w:cs="宋体"/>
          <w:color w:val="auto"/>
          <w:sz w:val="24"/>
          <w:highlight w:val="none"/>
        </w:rPr>
      </w:pPr>
    </w:p>
    <w:p w14:paraId="0F371D3A">
      <w:pPr>
        <w:rPr>
          <w:color w:val="auto"/>
          <w:highlight w:val="none"/>
        </w:rPr>
      </w:pPr>
    </w:p>
    <w:p w14:paraId="129B8CC7">
      <w:pPr>
        <w:pStyle w:val="7"/>
        <w:rPr>
          <w:color w:val="auto"/>
          <w:highlight w:val="none"/>
        </w:rPr>
      </w:pPr>
    </w:p>
    <w:p w14:paraId="65FB3DE7">
      <w:pPr>
        <w:rPr>
          <w:color w:val="auto"/>
          <w:highlight w:val="none"/>
        </w:rPr>
      </w:pPr>
    </w:p>
    <w:p w14:paraId="26E3B94E">
      <w:pPr>
        <w:pStyle w:val="7"/>
        <w:rPr>
          <w:color w:val="auto"/>
          <w:highlight w:val="none"/>
        </w:rPr>
      </w:pPr>
    </w:p>
    <w:p w14:paraId="3BD8A368">
      <w:pPr>
        <w:spacing w:line="360" w:lineRule="auto"/>
        <w:ind w:left="420" w:firstLine="3840" w:firstLineChars="1600"/>
        <w:jc w:val="both"/>
        <w:rPr>
          <w:rFonts w:ascii="宋体" w:hAnsi="宋体"/>
          <w:color w:val="auto"/>
          <w:sz w:val="24"/>
          <w:highlight w:val="none"/>
          <w:u w:val="single"/>
        </w:rPr>
      </w:pPr>
      <w:r>
        <w:rPr>
          <w:rFonts w:hint="eastAsia"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color w:val="auto"/>
          <w:sz w:val="24"/>
          <w:highlight w:val="none"/>
        </w:rPr>
        <w:t>谈判供应商名称（盖章）：</w:t>
      </w:r>
    </w:p>
    <w:p w14:paraId="759FB35E">
      <w:pPr>
        <w:spacing w:line="360" w:lineRule="auto"/>
        <w:ind w:left="420"/>
        <w:jc w:val="right"/>
        <w:rPr>
          <w:rFonts w:ascii="宋体" w:hAnsi="宋体"/>
          <w:color w:val="auto"/>
          <w:sz w:val="24"/>
          <w:highlight w:val="none"/>
        </w:rPr>
      </w:pPr>
    </w:p>
    <w:p w14:paraId="7C2AC738">
      <w:pPr>
        <w:spacing w:line="360" w:lineRule="auto"/>
        <w:ind w:firstLine="435"/>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谈判供应商代表签字：</w:t>
      </w:r>
    </w:p>
    <w:p w14:paraId="45FC3487">
      <w:pPr>
        <w:adjustRightInd w:val="0"/>
        <w:snapToGrid w:val="0"/>
        <w:spacing w:line="324" w:lineRule="auto"/>
        <w:rPr>
          <w:rFonts w:ascii="宋体" w:hAnsi="宋体" w:cs="仿宋_GB2312"/>
          <w:color w:val="auto"/>
          <w:kern w:val="0"/>
          <w:sz w:val="24"/>
          <w:highlight w:val="none"/>
          <w:lang w:val="zh-CN"/>
        </w:rPr>
      </w:pPr>
    </w:p>
    <w:p w14:paraId="5760D919">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 xml:space="preserve"> 月   日</w:t>
      </w:r>
    </w:p>
    <w:p w14:paraId="300009FB">
      <w:pPr>
        <w:rPr>
          <w:rFonts w:hint="eastAsia"/>
          <w:b/>
          <w:color w:val="auto"/>
          <w:sz w:val="28"/>
          <w:highlight w:val="none"/>
        </w:rPr>
      </w:pPr>
      <w:r>
        <w:rPr>
          <w:rFonts w:hint="eastAsia"/>
          <w:b/>
          <w:color w:val="auto"/>
          <w:sz w:val="28"/>
          <w:highlight w:val="none"/>
        </w:rPr>
        <w:br w:type="page"/>
      </w:r>
    </w:p>
    <w:p w14:paraId="37C4865D">
      <w:pPr>
        <w:pStyle w:val="37"/>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w:t>
      </w:r>
      <w:r>
        <w:rPr>
          <w:rFonts w:hint="eastAsia"/>
          <w:b/>
          <w:color w:val="auto"/>
          <w:sz w:val="28"/>
          <w:highlight w:val="none"/>
          <w:lang w:val="en-US" w:eastAsia="zh-CN"/>
        </w:rPr>
        <w:t>5</w:t>
      </w:r>
      <w:r>
        <w:rPr>
          <w:rFonts w:hint="eastAsia"/>
          <w:b/>
          <w:color w:val="auto"/>
          <w:sz w:val="28"/>
          <w:highlight w:val="none"/>
        </w:rPr>
        <w:t xml:space="preserve">       </w:t>
      </w:r>
    </w:p>
    <w:p w14:paraId="640C2933">
      <w:pPr>
        <w:spacing w:line="360" w:lineRule="atLeast"/>
        <w:ind w:left="480"/>
        <w:jc w:val="center"/>
        <w:rPr>
          <w:rFonts w:ascii="宋体" w:hAnsi="宋体"/>
          <w:b/>
          <w:color w:val="auto"/>
          <w:sz w:val="32"/>
          <w:szCs w:val="32"/>
          <w:highlight w:val="none"/>
        </w:rPr>
      </w:pPr>
      <w:r>
        <w:rPr>
          <w:rFonts w:hint="eastAsia" w:ascii="宋体" w:hAnsi="宋体"/>
          <w:b/>
          <w:color w:val="auto"/>
          <w:sz w:val="32"/>
          <w:szCs w:val="32"/>
          <w:highlight w:val="none"/>
        </w:rPr>
        <w:t xml:space="preserve">首次报价一览表 </w:t>
      </w:r>
    </w:p>
    <w:p w14:paraId="6A0BA471">
      <w:pPr>
        <w:jc w:val="center"/>
        <w:rPr>
          <w:rFonts w:ascii="宋体" w:hAnsi="宋体"/>
          <w:color w:val="auto"/>
          <w:highlight w:val="none"/>
        </w:rPr>
      </w:pPr>
    </w:p>
    <w:p w14:paraId="1962CE36">
      <w:pPr>
        <w:spacing w:line="320" w:lineRule="exact"/>
        <w:rPr>
          <w:rFonts w:ascii="宋体" w:hAnsi="宋体"/>
          <w:color w:val="auto"/>
          <w:sz w:val="24"/>
          <w:highlight w:val="none"/>
        </w:rPr>
      </w:pPr>
      <w:r>
        <w:rPr>
          <w:rFonts w:hint="eastAsia" w:ascii="宋体" w:hAnsi="宋体"/>
          <w:color w:val="auto"/>
          <w:sz w:val="24"/>
          <w:highlight w:val="none"/>
        </w:rPr>
        <w:t xml:space="preserve">  项目编号：</w:t>
      </w:r>
    </w:p>
    <w:p w14:paraId="22C30630">
      <w:pPr>
        <w:spacing w:line="320" w:lineRule="exact"/>
        <w:ind w:left="420"/>
        <w:rPr>
          <w:rFonts w:ascii="宋体" w:hAnsi="宋体"/>
          <w:color w:val="auto"/>
          <w:sz w:val="24"/>
          <w:highlight w:val="none"/>
        </w:rPr>
      </w:pPr>
    </w:p>
    <w:tbl>
      <w:tblPr>
        <w:tblStyle w:val="27"/>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14:paraId="3DA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14:paraId="2CA00992">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520" w:type="dxa"/>
            <w:noWrap/>
            <w:vAlign w:val="center"/>
          </w:tcPr>
          <w:p w14:paraId="6416CE75">
            <w:pPr>
              <w:tabs>
                <w:tab w:val="left" w:pos="8280"/>
              </w:tabs>
              <w:autoSpaceDE w:val="0"/>
              <w:autoSpaceDN w:val="0"/>
              <w:adjustRightInd w:val="0"/>
              <w:spacing w:line="360" w:lineRule="auto"/>
              <w:ind w:right="25" w:firstLine="593" w:firstLineChars="246"/>
              <w:rPr>
                <w:rFonts w:ascii="宋体" w:hAnsi="宋体"/>
                <w:b/>
                <w:color w:val="auto"/>
                <w:sz w:val="24"/>
                <w:highlight w:val="none"/>
              </w:rPr>
            </w:pPr>
            <w:r>
              <w:rPr>
                <w:rFonts w:hint="eastAsia" w:ascii="宋体" w:hAnsi="宋体"/>
                <w:b/>
                <w:color w:val="auto"/>
                <w:sz w:val="24"/>
                <w:highlight w:val="none"/>
              </w:rPr>
              <w:t>项目名称</w:t>
            </w:r>
          </w:p>
        </w:tc>
        <w:tc>
          <w:tcPr>
            <w:tcW w:w="720" w:type="dxa"/>
            <w:noWrap/>
            <w:vAlign w:val="center"/>
          </w:tcPr>
          <w:p w14:paraId="6D1D9E76">
            <w:pPr>
              <w:spacing w:line="360" w:lineRule="auto"/>
              <w:rPr>
                <w:rFonts w:ascii="宋体" w:hAnsi="宋体"/>
                <w:b/>
                <w:color w:val="auto"/>
                <w:sz w:val="24"/>
                <w:highlight w:val="none"/>
              </w:rPr>
            </w:pPr>
            <w:r>
              <w:rPr>
                <w:rFonts w:hint="eastAsia" w:ascii="宋体" w:hAnsi="宋体"/>
                <w:b/>
                <w:color w:val="auto"/>
                <w:sz w:val="24"/>
                <w:highlight w:val="none"/>
              </w:rPr>
              <w:t>单位</w:t>
            </w:r>
          </w:p>
        </w:tc>
        <w:tc>
          <w:tcPr>
            <w:tcW w:w="720" w:type="dxa"/>
            <w:noWrap/>
            <w:vAlign w:val="center"/>
          </w:tcPr>
          <w:p w14:paraId="3EE58F68">
            <w:pPr>
              <w:spacing w:line="360" w:lineRule="auto"/>
              <w:rPr>
                <w:rFonts w:ascii="宋体" w:hAnsi="宋体"/>
                <w:b/>
                <w:color w:val="auto"/>
                <w:sz w:val="24"/>
                <w:highlight w:val="none"/>
              </w:rPr>
            </w:pPr>
            <w:r>
              <w:rPr>
                <w:rFonts w:hint="eastAsia" w:ascii="宋体" w:hAnsi="宋体"/>
                <w:b/>
                <w:color w:val="auto"/>
                <w:sz w:val="24"/>
                <w:highlight w:val="none"/>
              </w:rPr>
              <w:t>数量</w:t>
            </w:r>
          </w:p>
        </w:tc>
        <w:tc>
          <w:tcPr>
            <w:tcW w:w="1260" w:type="dxa"/>
            <w:noWrap/>
            <w:vAlign w:val="center"/>
          </w:tcPr>
          <w:p w14:paraId="5A0C60CA">
            <w:pPr>
              <w:spacing w:line="360" w:lineRule="auto"/>
              <w:ind w:left="132"/>
              <w:rPr>
                <w:rFonts w:ascii="宋体" w:hAnsi="宋体"/>
                <w:b/>
                <w:color w:val="auto"/>
                <w:sz w:val="24"/>
                <w:highlight w:val="none"/>
              </w:rPr>
            </w:pPr>
            <w:r>
              <w:rPr>
                <w:rFonts w:hint="eastAsia" w:ascii="宋体" w:hAnsi="宋体"/>
                <w:b/>
                <w:color w:val="auto"/>
                <w:sz w:val="24"/>
                <w:highlight w:val="none"/>
              </w:rPr>
              <w:t>报价（元）</w:t>
            </w:r>
          </w:p>
        </w:tc>
        <w:tc>
          <w:tcPr>
            <w:tcW w:w="1440" w:type="dxa"/>
            <w:noWrap/>
            <w:vAlign w:val="center"/>
          </w:tcPr>
          <w:p w14:paraId="71A071EF">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服务期限</w:t>
            </w:r>
          </w:p>
        </w:tc>
        <w:tc>
          <w:tcPr>
            <w:tcW w:w="1316" w:type="dxa"/>
            <w:noWrap/>
            <w:vAlign w:val="center"/>
          </w:tcPr>
          <w:p w14:paraId="2F5725DF">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lang w:eastAsia="zh-CN"/>
              </w:rPr>
              <w:t>服务</w:t>
            </w:r>
            <w:r>
              <w:rPr>
                <w:rFonts w:hint="eastAsia" w:ascii="宋体" w:hAnsi="宋体"/>
                <w:b/>
                <w:color w:val="auto"/>
                <w:sz w:val="24"/>
                <w:highlight w:val="none"/>
              </w:rPr>
              <w:t>地点</w:t>
            </w:r>
          </w:p>
        </w:tc>
      </w:tr>
      <w:tr w14:paraId="3DE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14:paraId="6FD4CAE0">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520" w:type="dxa"/>
            <w:noWrap/>
            <w:vAlign w:val="center"/>
          </w:tcPr>
          <w:p w14:paraId="5F1DDB1D">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三门县下湾生活垃圾填埋场地下水、土壤监测项目</w:t>
            </w:r>
          </w:p>
        </w:tc>
        <w:tc>
          <w:tcPr>
            <w:tcW w:w="720" w:type="dxa"/>
            <w:noWrap/>
            <w:vAlign w:val="center"/>
          </w:tcPr>
          <w:p w14:paraId="2DF01B6D">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项</w:t>
            </w:r>
          </w:p>
        </w:tc>
        <w:tc>
          <w:tcPr>
            <w:tcW w:w="720" w:type="dxa"/>
            <w:noWrap/>
            <w:vAlign w:val="center"/>
          </w:tcPr>
          <w:p w14:paraId="514550EA">
            <w:pPr>
              <w:tabs>
                <w:tab w:val="left" w:pos="8280"/>
              </w:tabs>
              <w:autoSpaceDE w:val="0"/>
              <w:autoSpaceDN w:val="0"/>
              <w:adjustRightInd w:val="0"/>
              <w:spacing w:line="360" w:lineRule="auto"/>
              <w:ind w:right="25" w:firstLine="240"/>
              <w:rPr>
                <w:rFonts w:ascii="宋体" w:hAnsi="宋体"/>
                <w:b/>
                <w:color w:val="auto"/>
                <w:sz w:val="24"/>
                <w:highlight w:val="none"/>
              </w:rPr>
            </w:pPr>
            <w:r>
              <w:rPr>
                <w:rFonts w:hint="eastAsia" w:ascii="宋体" w:hAnsi="宋体"/>
                <w:b/>
                <w:color w:val="auto"/>
                <w:sz w:val="24"/>
                <w:highlight w:val="none"/>
              </w:rPr>
              <w:t>1</w:t>
            </w:r>
          </w:p>
        </w:tc>
        <w:tc>
          <w:tcPr>
            <w:tcW w:w="1260" w:type="dxa"/>
            <w:noWrap/>
            <w:vAlign w:val="center"/>
          </w:tcPr>
          <w:p w14:paraId="45C2101F">
            <w:pPr>
              <w:tabs>
                <w:tab w:val="left" w:pos="8280"/>
              </w:tabs>
              <w:autoSpaceDE w:val="0"/>
              <w:autoSpaceDN w:val="0"/>
              <w:adjustRightInd w:val="0"/>
              <w:spacing w:line="360" w:lineRule="auto"/>
              <w:ind w:right="25"/>
              <w:jc w:val="center"/>
              <w:rPr>
                <w:rFonts w:ascii="宋体" w:hAnsi="宋体"/>
                <w:b/>
                <w:color w:val="auto"/>
                <w:sz w:val="24"/>
                <w:highlight w:val="none"/>
              </w:rPr>
            </w:pPr>
          </w:p>
        </w:tc>
        <w:tc>
          <w:tcPr>
            <w:tcW w:w="1440" w:type="dxa"/>
            <w:noWrap/>
            <w:vAlign w:val="center"/>
          </w:tcPr>
          <w:p w14:paraId="2E8000D5">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color w:val="auto"/>
                <w:highlight w:val="none"/>
                <w:lang w:val="en-US" w:eastAsia="zh-CN"/>
              </w:rPr>
              <w:t>2025年8月—2026年7月</w:t>
            </w:r>
          </w:p>
        </w:tc>
        <w:tc>
          <w:tcPr>
            <w:tcW w:w="1316" w:type="dxa"/>
            <w:noWrap/>
            <w:vAlign w:val="center"/>
          </w:tcPr>
          <w:p w14:paraId="0406F77A">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b/>
                <w:bCs/>
                <w:color w:val="auto"/>
                <w:highlight w:val="none"/>
                <w:lang w:eastAsia="zh-CN"/>
              </w:rPr>
              <w:t>三门县下湾生活垃圾</w:t>
            </w:r>
            <w:r>
              <w:rPr>
                <w:rFonts w:hint="eastAsia"/>
                <w:b/>
                <w:bCs/>
                <w:color w:val="auto"/>
                <w:highlight w:val="none"/>
              </w:rPr>
              <w:t>填埋场</w:t>
            </w:r>
          </w:p>
        </w:tc>
      </w:tr>
      <w:tr w14:paraId="091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14:paraId="464F2E51">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合计人民币</w:t>
            </w:r>
            <w:r>
              <w:rPr>
                <w:rFonts w:hint="eastAsia" w:ascii="宋体" w:hAnsi="宋体"/>
                <w:color w:val="auto"/>
                <w:sz w:val="24"/>
                <w:highlight w:val="none"/>
              </w:rPr>
              <w:t>：</w:t>
            </w:r>
            <w:r>
              <w:rPr>
                <w:rFonts w:hint="eastAsia" w:ascii="宋体" w:hAnsi="宋体"/>
                <w:b/>
                <w:color w:val="auto"/>
                <w:sz w:val="24"/>
                <w:highlight w:val="none"/>
              </w:rPr>
              <w:t>大写：</w:t>
            </w:r>
            <w:r>
              <w:rPr>
                <w:rFonts w:hint="eastAsia" w:ascii="宋体" w:hAnsi="宋体"/>
                <w:b/>
                <w:color w:val="auto"/>
                <w:sz w:val="24"/>
                <w:highlight w:val="none"/>
                <w:u w:val="single"/>
              </w:rPr>
              <w:t xml:space="preserve">     　　           </w:t>
            </w:r>
            <w:r>
              <w:rPr>
                <w:rFonts w:hint="eastAsia" w:ascii="宋体" w:hAnsi="宋体"/>
                <w:b/>
                <w:color w:val="auto"/>
                <w:sz w:val="24"/>
                <w:highlight w:val="none"/>
              </w:rPr>
              <w:t>元 ； 小写（￥</w:t>
            </w:r>
            <w:r>
              <w:rPr>
                <w:rFonts w:hint="eastAsia" w:ascii="宋体" w:hAnsi="宋体"/>
                <w:b/>
                <w:color w:val="auto"/>
                <w:sz w:val="24"/>
                <w:highlight w:val="none"/>
                <w:u w:val="single"/>
              </w:rPr>
              <w:t>　　　　　　</w:t>
            </w:r>
            <w:r>
              <w:rPr>
                <w:rFonts w:hint="eastAsia" w:ascii="宋体" w:hAnsi="宋体"/>
                <w:b/>
                <w:color w:val="auto"/>
                <w:sz w:val="24"/>
                <w:highlight w:val="none"/>
              </w:rPr>
              <w:t>元）</w:t>
            </w:r>
          </w:p>
        </w:tc>
      </w:tr>
    </w:tbl>
    <w:p w14:paraId="375C6BE6">
      <w:pPr>
        <w:spacing w:line="320" w:lineRule="exact"/>
        <w:ind w:left="420"/>
        <w:rPr>
          <w:rFonts w:ascii="宋体" w:hAnsi="宋体"/>
          <w:color w:val="auto"/>
          <w:sz w:val="24"/>
          <w:highlight w:val="none"/>
        </w:rPr>
      </w:pPr>
    </w:p>
    <w:p w14:paraId="01100A49">
      <w:pPr>
        <w:spacing w:line="360" w:lineRule="auto"/>
        <w:ind w:left="420"/>
        <w:rPr>
          <w:rFonts w:ascii="宋体" w:hAnsi="宋体"/>
          <w:color w:val="auto"/>
          <w:sz w:val="24"/>
          <w:highlight w:val="none"/>
          <w:u w:val="single"/>
        </w:rPr>
      </w:pPr>
      <w:r>
        <w:rPr>
          <w:rFonts w:hint="eastAsia" w:ascii="宋体" w:hAnsi="宋体"/>
          <w:color w:val="auto"/>
          <w:sz w:val="24"/>
          <w:highlight w:val="none"/>
        </w:rPr>
        <w:t>谈判供应商名称（盖章）：</w:t>
      </w:r>
    </w:p>
    <w:p w14:paraId="5E192D9F">
      <w:pPr>
        <w:spacing w:line="360" w:lineRule="auto"/>
        <w:ind w:left="420"/>
        <w:rPr>
          <w:rFonts w:ascii="宋体" w:hAnsi="宋体"/>
          <w:color w:val="auto"/>
          <w:sz w:val="24"/>
          <w:highlight w:val="none"/>
        </w:rPr>
      </w:pPr>
    </w:p>
    <w:p w14:paraId="5E2FA606">
      <w:pPr>
        <w:spacing w:line="360" w:lineRule="auto"/>
        <w:ind w:firstLine="435"/>
        <w:rPr>
          <w:rFonts w:ascii="宋体" w:hAnsi="宋体"/>
          <w:color w:val="auto"/>
          <w:sz w:val="24"/>
          <w:highlight w:val="none"/>
        </w:rPr>
      </w:pPr>
      <w:r>
        <w:rPr>
          <w:rFonts w:hint="eastAsia" w:ascii="宋体" w:hAnsi="宋体"/>
          <w:color w:val="auto"/>
          <w:sz w:val="24"/>
          <w:highlight w:val="none"/>
        </w:rPr>
        <w:t>谈判供应商代表签字：</w:t>
      </w:r>
    </w:p>
    <w:p w14:paraId="55CA52CA">
      <w:pPr>
        <w:spacing w:line="360" w:lineRule="auto"/>
        <w:ind w:firstLine="435"/>
        <w:rPr>
          <w:rFonts w:ascii="宋体" w:hAnsi="宋体"/>
          <w:color w:val="auto"/>
          <w:sz w:val="24"/>
          <w:highlight w:val="none"/>
        </w:rPr>
      </w:pPr>
    </w:p>
    <w:p w14:paraId="2DCA606B">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3B8770E">
      <w:pPr>
        <w:spacing w:line="360" w:lineRule="auto"/>
        <w:ind w:firstLine="435"/>
        <w:rPr>
          <w:rFonts w:ascii="宋体" w:hAnsi="宋体"/>
          <w:color w:val="auto"/>
          <w:sz w:val="24"/>
          <w:highlight w:val="none"/>
        </w:rPr>
      </w:pPr>
    </w:p>
    <w:p w14:paraId="4DEEF65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84CFD4F">
      <w:pPr>
        <w:spacing w:line="360" w:lineRule="auto"/>
        <w:rPr>
          <w:rFonts w:ascii="宋体" w:hAnsi="宋体"/>
          <w:b/>
          <w:color w:val="auto"/>
          <w:szCs w:val="21"/>
          <w:highlight w:val="none"/>
        </w:rPr>
      </w:pPr>
      <w:r>
        <w:rPr>
          <w:rFonts w:hint="eastAsia" w:ascii="宋体" w:hAnsi="宋体"/>
          <w:b/>
          <w:color w:val="auto"/>
          <w:szCs w:val="21"/>
          <w:highlight w:val="none"/>
        </w:rPr>
        <w:t>说明：</w:t>
      </w:r>
    </w:p>
    <w:p w14:paraId="0A9D376C">
      <w:pPr>
        <w:spacing w:line="360" w:lineRule="auto"/>
        <w:ind w:firstLine="315" w:firstLineChars="150"/>
        <w:rPr>
          <w:rFonts w:ascii="宋体" w:hAnsi="宋体"/>
          <w:b/>
          <w:i/>
          <w:color w:val="auto"/>
          <w:szCs w:val="21"/>
          <w:highlight w:val="none"/>
          <w:u w:val="single"/>
        </w:rPr>
      </w:pPr>
      <w:r>
        <w:rPr>
          <w:rFonts w:ascii="宋体" w:hAnsi="宋体"/>
          <w:color w:val="auto"/>
          <w:szCs w:val="21"/>
          <w:highlight w:val="none"/>
        </w:rPr>
        <w:t xml:space="preserve"> 1</w:t>
      </w:r>
      <w:r>
        <w:rPr>
          <w:rFonts w:hint="eastAsia" w:ascii="宋体" w:hAnsi="宋体"/>
          <w:color w:val="auto"/>
          <w:szCs w:val="21"/>
          <w:highlight w:val="none"/>
        </w:rPr>
        <w:t>、报价一经涂改，应在涂改处加盖单位公章或者由法定代表人或授权委托人签字或盖章，否则其投标作无效标处理；</w:t>
      </w:r>
    </w:p>
    <w:p w14:paraId="605351ED">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项目费用包括项目所需全部服务及货物，不得缺漏，是履行合同的最终价格包括但不仅限于人工成本费:即人员的工资福利、员工五险费(养老保险、医疗保险、失业保险、工伤保险、生育保险)、调研费、采样费、检测费、设施设备、耗材、专家费、编制费、差旅费、运费、保险、税金、招标代理费等项目所需一切费用。凡投标人在报价中未列明但又为本次采购所必备的项目或遗漏项目，采购方将一律视为已包括在合同价中，在合同执行中将不予考虑。</w:t>
      </w:r>
    </w:p>
    <w:p w14:paraId="6BE4FBD4">
      <w:pPr>
        <w:spacing w:line="360" w:lineRule="auto"/>
        <w:outlineLvl w:val="0"/>
        <w:rPr>
          <w:rFonts w:hint="default" w:ascii="宋体" w:hAnsi="宋体" w:eastAsia="宋体"/>
          <w:b/>
          <w:color w:val="auto"/>
          <w:sz w:val="28"/>
          <w:highlight w:val="none"/>
          <w:lang w:val="en-US" w:eastAsia="zh-CN"/>
        </w:rPr>
      </w:pPr>
      <w:r>
        <w:rPr>
          <w:rFonts w:hint="eastAsia" w:ascii="宋体" w:hAnsi="宋体"/>
          <w:b/>
          <w:color w:val="auto"/>
          <w:sz w:val="28"/>
          <w:highlight w:val="none"/>
          <w:lang w:eastAsia="zh-CN"/>
        </w:rPr>
        <w:t>附件</w:t>
      </w:r>
      <w:r>
        <w:rPr>
          <w:rFonts w:hint="eastAsia" w:ascii="宋体" w:hAnsi="宋体"/>
          <w:b/>
          <w:color w:val="auto"/>
          <w:sz w:val="28"/>
          <w:highlight w:val="none"/>
          <w:lang w:val="en-US" w:eastAsia="zh-CN"/>
        </w:rPr>
        <w:t>6</w:t>
      </w:r>
    </w:p>
    <w:p w14:paraId="1EA63831">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报价明细表</w:t>
      </w:r>
    </w:p>
    <w:p w14:paraId="747DF8AE">
      <w:pPr>
        <w:spacing w:line="360" w:lineRule="auto"/>
        <w:rPr>
          <w:color w:val="auto"/>
          <w:highlight w:val="none"/>
        </w:rPr>
      </w:pPr>
      <w:r>
        <w:rPr>
          <w:rFonts w:hint="eastAsia" w:ascii="宋体" w:hAnsi="宋体"/>
          <w:color w:val="auto"/>
          <w:sz w:val="24"/>
          <w:highlight w:val="none"/>
        </w:rPr>
        <w:t xml:space="preserve">  项目编号：                                    [货币单位：人民币元]</w:t>
      </w:r>
    </w:p>
    <w:tbl>
      <w:tblPr>
        <w:tblStyle w:val="2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951"/>
        <w:gridCol w:w="1120"/>
        <w:gridCol w:w="746"/>
        <w:gridCol w:w="996"/>
        <w:gridCol w:w="1370"/>
      </w:tblGrid>
      <w:tr w14:paraId="3BD2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474" w:type="dxa"/>
            <w:vAlign w:val="center"/>
          </w:tcPr>
          <w:p w14:paraId="7D427DE2">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951" w:type="dxa"/>
            <w:vAlign w:val="center"/>
          </w:tcPr>
          <w:p w14:paraId="580A579A">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1120" w:type="dxa"/>
            <w:vAlign w:val="center"/>
          </w:tcPr>
          <w:p w14:paraId="2D53769E">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46" w:type="dxa"/>
            <w:vAlign w:val="center"/>
          </w:tcPr>
          <w:p w14:paraId="3BCB6542">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996" w:type="dxa"/>
            <w:vAlign w:val="center"/>
          </w:tcPr>
          <w:p w14:paraId="268B9E6A">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综合</w:t>
            </w:r>
            <w:r>
              <w:rPr>
                <w:rFonts w:hint="eastAsia" w:ascii="仿宋" w:hAnsi="仿宋" w:eastAsia="仿宋" w:cs="仿宋"/>
                <w:color w:val="auto"/>
                <w:sz w:val="24"/>
                <w:highlight w:val="none"/>
              </w:rPr>
              <w:t>单价</w:t>
            </w:r>
          </w:p>
        </w:tc>
        <w:tc>
          <w:tcPr>
            <w:tcW w:w="1370" w:type="dxa"/>
            <w:vAlign w:val="center"/>
          </w:tcPr>
          <w:p w14:paraId="702ED7FC">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合计(元)</w:t>
            </w:r>
          </w:p>
        </w:tc>
      </w:tr>
      <w:tr w14:paraId="5431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4" w:type="dxa"/>
            <w:vAlign w:val="center"/>
          </w:tcPr>
          <w:p w14:paraId="1F553CE9">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951" w:type="dxa"/>
            <w:tcBorders>
              <w:left w:val="single" w:color="auto" w:sz="4" w:space="0"/>
            </w:tcBorders>
            <w:vAlign w:val="center"/>
          </w:tcPr>
          <w:p w14:paraId="75DBC7B2">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p>
        </w:tc>
        <w:tc>
          <w:tcPr>
            <w:tcW w:w="1120" w:type="dxa"/>
            <w:tcBorders>
              <w:left w:val="single" w:color="auto" w:sz="4" w:space="0"/>
            </w:tcBorders>
            <w:vAlign w:val="center"/>
          </w:tcPr>
          <w:p w14:paraId="5011E2EA">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6EC6A30B">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F887E87">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vAlign w:val="center"/>
          </w:tcPr>
          <w:p w14:paraId="0B14B69C">
            <w:pPr>
              <w:kinsoku/>
              <w:wordWrap/>
              <w:overflowPunct/>
              <w:topLinePunct w:val="0"/>
              <w:bidi w:val="0"/>
              <w:jc w:val="center"/>
              <w:outlineLvl w:val="9"/>
              <w:rPr>
                <w:rFonts w:ascii="仿宋" w:hAnsi="仿宋" w:eastAsia="仿宋" w:cs="仿宋"/>
                <w:color w:val="auto"/>
                <w:sz w:val="24"/>
                <w:highlight w:val="none"/>
              </w:rPr>
            </w:pPr>
          </w:p>
        </w:tc>
      </w:tr>
      <w:tr w14:paraId="5DE2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4" w:type="dxa"/>
            <w:vAlign w:val="center"/>
          </w:tcPr>
          <w:p w14:paraId="588E8F24">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951" w:type="dxa"/>
            <w:tcBorders>
              <w:left w:val="single" w:color="auto" w:sz="4" w:space="0"/>
            </w:tcBorders>
            <w:vAlign w:val="center"/>
          </w:tcPr>
          <w:p w14:paraId="6F4C0D6C">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p>
        </w:tc>
        <w:tc>
          <w:tcPr>
            <w:tcW w:w="1120" w:type="dxa"/>
            <w:tcBorders>
              <w:left w:val="single" w:color="auto" w:sz="4" w:space="0"/>
            </w:tcBorders>
            <w:vAlign w:val="center"/>
          </w:tcPr>
          <w:p w14:paraId="572946B2">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18B3956F">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2AEA214">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tcPr>
          <w:p w14:paraId="6E59AABE">
            <w:pPr>
              <w:kinsoku/>
              <w:wordWrap/>
              <w:overflowPunct/>
              <w:topLinePunct w:val="0"/>
              <w:bidi w:val="0"/>
              <w:outlineLvl w:val="9"/>
              <w:rPr>
                <w:rFonts w:ascii="仿宋" w:hAnsi="仿宋" w:eastAsia="仿宋" w:cs="仿宋"/>
                <w:color w:val="auto"/>
                <w:sz w:val="24"/>
                <w:highlight w:val="none"/>
              </w:rPr>
            </w:pPr>
          </w:p>
        </w:tc>
      </w:tr>
      <w:tr w14:paraId="6F80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4" w:type="dxa"/>
            <w:vAlign w:val="center"/>
          </w:tcPr>
          <w:p w14:paraId="588F1E9C">
            <w:pPr>
              <w:kinsoku/>
              <w:wordWrap/>
              <w:overflowPunct/>
              <w:topLinePunct w:val="0"/>
              <w:bidi w:val="0"/>
              <w:jc w:val="center"/>
              <w:outlineLvl w:val="9"/>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951" w:type="dxa"/>
            <w:tcBorders>
              <w:left w:val="single" w:color="auto" w:sz="4" w:space="0"/>
            </w:tcBorders>
            <w:vAlign w:val="center"/>
          </w:tcPr>
          <w:p w14:paraId="491637C6">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p>
        </w:tc>
        <w:tc>
          <w:tcPr>
            <w:tcW w:w="1120" w:type="dxa"/>
            <w:tcBorders>
              <w:left w:val="single" w:color="auto" w:sz="4" w:space="0"/>
            </w:tcBorders>
            <w:vAlign w:val="center"/>
          </w:tcPr>
          <w:p w14:paraId="22DBFE6A">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24E47CD2">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294E885">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tcPr>
          <w:p w14:paraId="426F3CB9">
            <w:pPr>
              <w:kinsoku/>
              <w:wordWrap/>
              <w:overflowPunct/>
              <w:topLinePunct w:val="0"/>
              <w:bidi w:val="0"/>
              <w:outlineLvl w:val="9"/>
              <w:rPr>
                <w:rFonts w:ascii="仿宋" w:hAnsi="仿宋" w:eastAsia="仿宋" w:cs="仿宋"/>
                <w:color w:val="auto"/>
                <w:sz w:val="24"/>
                <w:highlight w:val="none"/>
              </w:rPr>
            </w:pPr>
          </w:p>
        </w:tc>
      </w:tr>
      <w:tr w14:paraId="2715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4" w:type="dxa"/>
            <w:vAlign w:val="center"/>
          </w:tcPr>
          <w:p w14:paraId="2DDD2E2B">
            <w:pPr>
              <w:kinsoku/>
              <w:wordWrap/>
              <w:overflowPunct/>
              <w:topLinePunct w:val="0"/>
              <w:bidi w:val="0"/>
              <w:jc w:val="center"/>
              <w:outlineLvl w:val="9"/>
              <w:rPr>
                <w:rFonts w:ascii="仿宋" w:hAnsi="仿宋" w:eastAsia="仿宋" w:cs="仿宋"/>
                <w:color w:val="auto"/>
                <w:sz w:val="24"/>
                <w:highlight w:val="none"/>
              </w:rPr>
            </w:pPr>
          </w:p>
        </w:tc>
        <w:tc>
          <w:tcPr>
            <w:tcW w:w="3951" w:type="dxa"/>
            <w:tcBorders>
              <w:left w:val="single" w:color="auto" w:sz="4" w:space="0"/>
            </w:tcBorders>
            <w:vAlign w:val="center"/>
          </w:tcPr>
          <w:p w14:paraId="53CE0FC1">
            <w:pPr>
              <w:kinsoku/>
              <w:wordWrap/>
              <w:overflowPunct/>
              <w:topLinePunct w:val="0"/>
              <w:autoSpaceDE w:val="0"/>
              <w:autoSpaceDN w:val="0"/>
              <w:bidi w:val="0"/>
              <w:adjustRightInd w:val="0"/>
              <w:spacing w:line="0" w:lineRule="atLeast"/>
              <w:outlineLvl w:val="9"/>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20" w:type="dxa"/>
            <w:tcBorders>
              <w:left w:val="single" w:color="auto" w:sz="4" w:space="0"/>
            </w:tcBorders>
            <w:vAlign w:val="center"/>
          </w:tcPr>
          <w:p w14:paraId="59B8F7A5">
            <w:pPr>
              <w:kinsoku/>
              <w:wordWrap/>
              <w:overflowPunct/>
              <w:topLinePunct w:val="0"/>
              <w:bidi w:val="0"/>
              <w:outlineLvl w:val="9"/>
              <w:rPr>
                <w:rFonts w:ascii="仿宋" w:hAnsi="仿宋" w:eastAsia="仿宋" w:cs="仿宋"/>
                <w:color w:val="auto"/>
                <w:sz w:val="24"/>
                <w:highlight w:val="none"/>
              </w:rPr>
            </w:pPr>
          </w:p>
        </w:tc>
        <w:tc>
          <w:tcPr>
            <w:tcW w:w="746" w:type="dxa"/>
            <w:tcBorders>
              <w:left w:val="single" w:color="auto" w:sz="4" w:space="0"/>
            </w:tcBorders>
            <w:vAlign w:val="center"/>
          </w:tcPr>
          <w:p w14:paraId="691B0A41">
            <w:pPr>
              <w:kinsoku/>
              <w:wordWrap/>
              <w:overflowPunct/>
              <w:topLinePunct w:val="0"/>
              <w:bidi w:val="0"/>
              <w:outlineLvl w:val="9"/>
              <w:rPr>
                <w:rFonts w:ascii="仿宋" w:hAnsi="仿宋" w:eastAsia="仿宋" w:cs="仿宋"/>
                <w:color w:val="auto"/>
                <w:sz w:val="24"/>
                <w:highlight w:val="none"/>
              </w:rPr>
            </w:pPr>
          </w:p>
        </w:tc>
        <w:tc>
          <w:tcPr>
            <w:tcW w:w="996" w:type="dxa"/>
            <w:tcBorders>
              <w:left w:val="single" w:color="auto" w:sz="4" w:space="0"/>
            </w:tcBorders>
            <w:vAlign w:val="center"/>
          </w:tcPr>
          <w:p w14:paraId="2DF898A5">
            <w:pPr>
              <w:kinsoku/>
              <w:wordWrap/>
              <w:overflowPunct/>
              <w:topLinePunct w:val="0"/>
              <w:bidi w:val="0"/>
              <w:outlineLvl w:val="9"/>
              <w:rPr>
                <w:rFonts w:ascii="仿宋" w:hAnsi="仿宋" w:eastAsia="仿宋" w:cs="仿宋"/>
                <w:color w:val="auto"/>
                <w:sz w:val="24"/>
                <w:highlight w:val="none"/>
              </w:rPr>
            </w:pPr>
          </w:p>
        </w:tc>
        <w:tc>
          <w:tcPr>
            <w:tcW w:w="1370" w:type="dxa"/>
            <w:tcBorders>
              <w:left w:val="single" w:color="auto" w:sz="4" w:space="0"/>
            </w:tcBorders>
          </w:tcPr>
          <w:p w14:paraId="16497BD5">
            <w:pPr>
              <w:kinsoku/>
              <w:wordWrap/>
              <w:overflowPunct/>
              <w:topLinePunct w:val="0"/>
              <w:bidi w:val="0"/>
              <w:outlineLvl w:val="9"/>
              <w:rPr>
                <w:rFonts w:ascii="仿宋" w:hAnsi="仿宋" w:eastAsia="仿宋" w:cs="仿宋"/>
                <w:color w:val="auto"/>
                <w:sz w:val="24"/>
                <w:highlight w:val="none"/>
              </w:rPr>
            </w:pPr>
          </w:p>
        </w:tc>
      </w:tr>
      <w:tr w14:paraId="718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74" w:type="dxa"/>
            <w:vAlign w:val="center"/>
          </w:tcPr>
          <w:p w14:paraId="1B0C45CD">
            <w:pPr>
              <w:kinsoku/>
              <w:wordWrap/>
              <w:overflowPunct/>
              <w:topLinePunct w:val="0"/>
              <w:bidi w:val="0"/>
              <w:jc w:val="center"/>
              <w:outlineLvl w:val="9"/>
              <w:rPr>
                <w:rFonts w:ascii="仿宋" w:hAnsi="仿宋" w:eastAsia="仿宋" w:cs="仿宋"/>
                <w:color w:val="auto"/>
                <w:sz w:val="24"/>
                <w:highlight w:val="none"/>
              </w:rPr>
            </w:pPr>
          </w:p>
        </w:tc>
        <w:tc>
          <w:tcPr>
            <w:tcW w:w="3951" w:type="dxa"/>
            <w:tcBorders>
              <w:left w:val="single" w:color="auto" w:sz="4" w:space="0"/>
            </w:tcBorders>
            <w:vAlign w:val="center"/>
          </w:tcPr>
          <w:p w14:paraId="40836F16">
            <w:pPr>
              <w:kinsoku/>
              <w:wordWrap/>
              <w:overflowPunct/>
              <w:topLinePunct w:val="0"/>
              <w:bidi w:val="0"/>
              <w:outlineLvl w:val="9"/>
              <w:rPr>
                <w:rFonts w:ascii="仿宋" w:hAnsi="仿宋" w:eastAsia="仿宋" w:cs="仿宋"/>
                <w:color w:val="auto"/>
                <w:sz w:val="24"/>
                <w:highlight w:val="none"/>
              </w:rPr>
            </w:pPr>
            <w:r>
              <w:rPr>
                <w:rFonts w:hint="eastAsia" w:ascii="仿宋" w:hAnsi="仿宋" w:eastAsia="仿宋" w:cs="仿宋"/>
                <w:color w:val="auto"/>
                <w:sz w:val="24"/>
                <w:highlight w:val="none"/>
              </w:rPr>
              <w:t>总计(元)(1+2+3+…)</w:t>
            </w:r>
          </w:p>
        </w:tc>
        <w:tc>
          <w:tcPr>
            <w:tcW w:w="4232" w:type="dxa"/>
            <w:gridSpan w:val="4"/>
            <w:tcBorders>
              <w:left w:val="single" w:color="auto" w:sz="4" w:space="0"/>
            </w:tcBorders>
            <w:vAlign w:val="center"/>
          </w:tcPr>
          <w:p w14:paraId="52CE9E20">
            <w:pPr>
              <w:kinsoku/>
              <w:wordWrap/>
              <w:overflowPunct/>
              <w:topLinePunct w:val="0"/>
              <w:bidi w:val="0"/>
              <w:outlineLvl w:val="9"/>
              <w:rPr>
                <w:rFonts w:ascii="仿宋" w:hAnsi="仿宋" w:eastAsia="仿宋" w:cs="仿宋"/>
                <w:color w:val="auto"/>
                <w:sz w:val="24"/>
                <w:highlight w:val="none"/>
              </w:rPr>
            </w:pPr>
          </w:p>
        </w:tc>
      </w:tr>
    </w:tbl>
    <w:p w14:paraId="125A3922">
      <w:pPr>
        <w:spacing w:line="360" w:lineRule="auto"/>
        <w:rPr>
          <w:rFonts w:hint="eastAsia" w:ascii="宋体" w:hAnsi="宋体"/>
          <w:b/>
          <w:color w:val="auto"/>
          <w:szCs w:val="21"/>
          <w:highlight w:val="none"/>
        </w:rPr>
      </w:pPr>
    </w:p>
    <w:p w14:paraId="57C2268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要求：</w:t>
      </w:r>
    </w:p>
    <w:p w14:paraId="178415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本表为《开标一览表》的报价明细表，如有缺项、漏项，视为投标报价中已包含相关费用，采购人无需另外支付任何费用。</w:t>
      </w:r>
    </w:p>
    <w:p w14:paraId="7F036733">
      <w:pPr>
        <w:numPr>
          <w:ilvl w:val="0"/>
          <w:numId w:val="0"/>
        </w:numPr>
        <w:spacing w:line="360" w:lineRule="auto"/>
        <w:ind w:firstLine="420" w:firstLineChars="200"/>
        <w:rPr>
          <w:rFonts w:hint="eastAsia" w:ascii="宋体"/>
          <w:color w:val="auto"/>
          <w:szCs w:val="21"/>
          <w:highlight w:val="none"/>
          <w:lang w:val="zh-CN"/>
        </w:rPr>
      </w:pPr>
      <w:r>
        <w:rPr>
          <w:rFonts w:hint="eastAsia" w:ascii="宋体"/>
          <w:color w:val="auto"/>
          <w:szCs w:val="21"/>
          <w:highlight w:val="none"/>
          <w:lang w:val="en-US" w:eastAsia="zh-CN"/>
        </w:rPr>
        <w:t>2、</w:t>
      </w:r>
      <w:r>
        <w:rPr>
          <w:rFonts w:hint="eastAsia" w:ascii="宋体"/>
          <w:color w:val="auto"/>
          <w:szCs w:val="21"/>
          <w:highlight w:val="none"/>
          <w:lang w:val="zh-CN"/>
        </w:rPr>
        <w:t>“报价明细表”中的报价合计应与“开标一览表”中的投标总报价相一致，不一致时，以开标一览表为准。</w:t>
      </w:r>
    </w:p>
    <w:p w14:paraId="0F3045F9">
      <w:pPr>
        <w:numPr>
          <w:ilvl w:val="0"/>
          <w:numId w:val="0"/>
        </w:numPr>
        <w:spacing w:line="360" w:lineRule="auto"/>
        <w:ind w:firstLine="422" w:firstLineChars="200"/>
        <w:rPr>
          <w:rFonts w:hint="eastAsia" w:ascii="宋体" w:eastAsia="宋体"/>
          <w:b/>
          <w:bCs/>
          <w:color w:val="auto"/>
          <w:szCs w:val="21"/>
          <w:highlight w:val="none"/>
          <w:lang w:val="en-US" w:eastAsia="zh-CN"/>
        </w:rPr>
      </w:pPr>
      <w:r>
        <w:rPr>
          <w:rFonts w:hint="eastAsia" w:ascii="宋体" w:eastAsia="宋体"/>
          <w:b/>
          <w:bCs/>
          <w:color w:val="auto"/>
          <w:szCs w:val="21"/>
          <w:highlight w:val="none"/>
          <w:lang w:val="en-US" w:eastAsia="zh-CN"/>
        </w:rPr>
        <w:t>3、在项目具体实施过程中，上述数量如有调整的，按中标综合单价*实际数量进行结算，且最终结算金额不得超过本项目预算金额。</w:t>
      </w:r>
    </w:p>
    <w:p w14:paraId="544577A4">
      <w:pPr>
        <w:pStyle w:val="11"/>
        <w:rPr>
          <w:rFonts w:hint="eastAsia"/>
          <w:color w:val="auto"/>
          <w:highlight w:val="none"/>
          <w:lang w:val="zh-CN"/>
        </w:rPr>
      </w:pPr>
    </w:p>
    <w:p w14:paraId="615D854A">
      <w:pPr>
        <w:pStyle w:val="26"/>
        <w:numPr>
          <w:ilvl w:val="0"/>
          <w:numId w:val="0"/>
        </w:numPr>
        <w:ind w:left="420" w:leftChars="0"/>
        <w:rPr>
          <w:color w:val="auto"/>
          <w:highlight w:val="none"/>
          <w:lang w:val="zh-CN"/>
        </w:rPr>
      </w:pPr>
    </w:p>
    <w:p w14:paraId="6BC935B0">
      <w:pPr>
        <w:spacing w:line="336" w:lineRule="auto"/>
        <w:ind w:left="420"/>
        <w:rPr>
          <w:rFonts w:ascii="宋体" w:hAnsi="宋体"/>
          <w:color w:val="auto"/>
          <w:sz w:val="24"/>
          <w:highlight w:val="none"/>
        </w:rPr>
      </w:pPr>
      <w:r>
        <w:rPr>
          <w:rFonts w:hint="eastAsia" w:ascii="宋体" w:hAnsi="宋体"/>
          <w:color w:val="auto"/>
          <w:sz w:val="24"/>
          <w:highlight w:val="none"/>
        </w:rPr>
        <w:t>投标人名称（盖章）：</w:t>
      </w:r>
    </w:p>
    <w:p w14:paraId="47955E8B">
      <w:pPr>
        <w:spacing w:line="336"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3DEE78FE">
      <w:pPr>
        <w:spacing w:line="336" w:lineRule="auto"/>
        <w:ind w:firstLine="435"/>
        <w:rPr>
          <w:rFonts w:ascii="宋体" w:hAnsi="宋体"/>
          <w:color w:val="auto"/>
          <w:sz w:val="24"/>
          <w:highlight w:val="none"/>
        </w:rPr>
      </w:pPr>
      <w:r>
        <w:rPr>
          <w:rFonts w:hint="eastAsia" w:ascii="宋体" w:hAnsi="宋体"/>
          <w:color w:val="auto"/>
          <w:sz w:val="24"/>
          <w:highlight w:val="none"/>
        </w:rPr>
        <w:t>职        务：</w:t>
      </w:r>
    </w:p>
    <w:p w14:paraId="6B037724">
      <w:pPr>
        <w:spacing w:line="336" w:lineRule="auto"/>
        <w:ind w:firstLine="435"/>
        <w:rPr>
          <w:color w:val="auto"/>
          <w:highlight w:val="none"/>
        </w:rPr>
      </w:pPr>
      <w:r>
        <w:rPr>
          <w:rFonts w:hint="eastAsia" w:ascii="宋体" w:hAnsi="宋体"/>
          <w:color w:val="auto"/>
          <w:sz w:val="24"/>
          <w:highlight w:val="none"/>
        </w:rPr>
        <w:t>日        期：</w:t>
      </w:r>
    </w:p>
    <w:p w14:paraId="7F1167C4">
      <w:pPr>
        <w:pStyle w:val="2"/>
        <w:rPr>
          <w:rFonts w:hint="default"/>
          <w:color w:val="auto"/>
          <w:highlight w:val="none"/>
          <w:lang w:val="en-US" w:eastAsia="zh-CN"/>
        </w:rPr>
      </w:pPr>
    </w:p>
    <w:bookmarkEnd w:id="10"/>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63F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CED4">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5">
    <w:nsid w:val="00000011"/>
    <w:multiLevelType w:val="singleLevel"/>
    <w:tmpl w:val="00000011"/>
    <w:lvl w:ilvl="0" w:tentative="0">
      <w:start w:val="1"/>
      <w:numFmt w:val="chineseCounting"/>
      <w:suff w:val="space"/>
      <w:lvlText w:val="（%1）"/>
      <w:lvlJc w:val="left"/>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mRiYWQ4NTc5Y2MyN2VjMmIxZDlhNzJkY2YzZGMifQ=="/>
  </w:docVars>
  <w:rsids>
    <w:rsidRoot w:val="20AE4D64"/>
    <w:rsid w:val="00002407"/>
    <w:rsid w:val="000552B3"/>
    <w:rsid w:val="000A0187"/>
    <w:rsid w:val="001129F1"/>
    <w:rsid w:val="00157388"/>
    <w:rsid w:val="001913B5"/>
    <w:rsid w:val="00191BE3"/>
    <w:rsid w:val="001A60BD"/>
    <w:rsid w:val="001D2968"/>
    <w:rsid w:val="001E004D"/>
    <w:rsid w:val="001E6845"/>
    <w:rsid w:val="00207D09"/>
    <w:rsid w:val="00247513"/>
    <w:rsid w:val="00277154"/>
    <w:rsid w:val="002B0D14"/>
    <w:rsid w:val="002E1A12"/>
    <w:rsid w:val="003103E8"/>
    <w:rsid w:val="00345569"/>
    <w:rsid w:val="00352324"/>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D790C"/>
    <w:rsid w:val="00A16562"/>
    <w:rsid w:val="00A46779"/>
    <w:rsid w:val="00A64C66"/>
    <w:rsid w:val="00A75B4A"/>
    <w:rsid w:val="00AA46F5"/>
    <w:rsid w:val="00AB4B4A"/>
    <w:rsid w:val="00AD3BED"/>
    <w:rsid w:val="00AF78D3"/>
    <w:rsid w:val="00B0359F"/>
    <w:rsid w:val="00B25067"/>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D108FA"/>
    <w:rsid w:val="00D113B9"/>
    <w:rsid w:val="00D15DCD"/>
    <w:rsid w:val="00D17C36"/>
    <w:rsid w:val="00D26C38"/>
    <w:rsid w:val="00D53744"/>
    <w:rsid w:val="00D77410"/>
    <w:rsid w:val="00DC1279"/>
    <w:rsid w:val="00DE1E24"/>
    <w:rsid w:val="00DE1F77"/>
    <w:rsid w:val="00E4080E"/>
    <w:rsid w:val="00E84345"/>
    <w:rsid w:val="00E86A9D"/>
    <w:rsid w:val="00EA0E26"/>
    <w:rsid w:val="00EA7A5A"/>
    <w:rsid w:val="00ED0B0F"/>
    <w:rsid w:val="00ED1DC2"/>
    <w:rsid w:val="00ED44E3"/>
    <w:rsid w:val="00ED7E40"/>
    <w:rsid w:val="00EF5104"/>
    <w:rsid w:val="00F03A84"/>
    <w:rsid w:val="00F14CB3"/>
    <w:rsid w:val="00F238BB"/>
    <w:rsid w:val="00F427B4"/>
    <w:rsid w:val="00F71F2D"/>
    <w:rsid w:val="00FA11D4"/>
    <w:rsid w:val="00FA1DFC"/>
    <w:rsid w:val="00FE4B42"/>
    <w:rsid w:val="013A7160"/>
    <w:rsid w:val="01574618"/>
    <w:rsid w:val="019B2DA5"/>
    <w:rsid w:val="01F21E81"/>
    <w:rsid w:val="02184DBF"/>
    <w:rsid w:val="02A4476B"/>
    <w:rsid w:val="02B16EEE"/>
    <w:rsid w:val="033458EA"/>
    <w:rsid w:val="0486237A"/>
    <w:rsid w:val="04924E08"/>
    <w:rsid w:val="0528573C"/>
    <w:rsid w:val="054A15F9"/>
    <w:rsid w:val="05BC6E4E"/>
    <w:rsid w:val="05EA33DB"/>
    <w:rsid w:val="063838CE"/>
    <w:rsid w:val="068B6787"/>
    <w:rsid w:val="06A76A12"/>
    <w:rsid w:val="06DE785A"/>
    <w:rsid w:val="078057A6"/>
    <w:rsid w:val="07AB6A2D"/>
    <w:rsid w:val="07D10876"/>
    <w:rsid w:val="084A05A7"/>
    <w:rsid w:val="08853EF3"/>
    <w:rsid w:val="08A16908"/>
    <w:rsid w:val="08AA1E9B"/>
    <w:rsid w:val="08AE54D9"/>
    <w:rsid w:val="08CC6375"/>
    <w:rsid w:val="08E314BE"/>
    <w:rsid w:val="090541F3"/>
    <w:rsid w:val="095A7944"/>
    <w:rsid w:val="098A3136"/>
    <w:rsid w:val="09E33DCA"/>
    <w:rsid w:val="0A0909FA"/>
    <w:rsid w:val="0A0B4EC9"/>
    <w:rsid w:val="0A3C34DB"/>
    <w:rsid w:val="0A5D35C4"/>
    <w:rsid w:val="0AA55524"/>
    <w:rsid w:val="0AB60A3E"/>
    <w:rsid w:val="0AD12E53"/>
    <w:rsid w:val="0B303030"/>
    <w:rsid w:val="0B787C3B"/>
    <w:rsid w:val="0C4E2F8C"/>
    <w:rsid w:val="0C8C6734"/>
    <w:rsid w:val="0CE3283A"/>
    <w:rsid w:val="0D0F557F"/>
    <w:rsid w:val="0D4B4645"/>
    <w:rsid w:val="0D8E4A18"/>
    <w:rsid w:val="0DB937C0"/>
    <w:rsid w:val="0E1D500F"/>
    <w:rsid w:val="0E506DB7"/>
    <w:rsid w:val="0FA7589A"/>
    <w:rsid w:val="1030763E"/>
    <w:rsid w:val="10714BF7"/>
    <w:rsid w:val="10FB33EF"/>
    <w:rsid w:val="114D7AA1"/>
    <w:rsid w:val="11D91329"/>
    <w:rsid w:val="12152F8F"/>
    <w:rsid w:val="123A6BBA"/>
    <w:rsid w:val="12AF4AAE"/>
    <w:rsid w:val="13B642FE"/>
    <w:rsid w:val="13C540FF"/>
    <w:rsid w:val="13CB6606"/>
    <w:rsid w:val="14356811"/>
    <w:rsid w:val="145F2CE2"/>
    <w:rsid w:val="145F62FF"/>
    <w:rsid w:val="149C7D6D"/>
    <w:rsid w:val="16B5089D"/>
    <w:rsid w:val="16F430D8"/>
    <w:rsid w:val="17125596"/>
    <w:rsid w:val="1727538E"/>
    <w:rsid w:val="1748168A"/>
    <w:rsid w:val="174F0CF1"/>
    <w:rsid w:val="177E0DCA"/>
    <w:rsid w:val="179B0780"/>
    <w:rsid w:val="17BC390C"/>
    <w:rsid w:val="1834516C"/>
    <w:rsid w:val="188831C0"/>
    <w:rsid w:val="18884545"/>
    <w:rsid w:val="18C820AD"/>
    <w:rsid w:val="18E02C8F"/>
    <w:rsid w:val="19012FE9"/>
    <w:rsid w:val="19134A90"/>
    <w:rsid w:val="195E1B20"/>
    <w:rsid w:val="196D4E40"/>
    <w:rsid w:val="19D92463"/>
    <w:rsid w:val="1A3F061B"/>
    <w:rsid w:val="1A7D0845"/>
    <w:rsid w:val="1AC800EE"/>
    <w:rsid w:val="1B25392C"/>
    <w:rsid w:val="1B4164F2"/>
    <w:rsid w:val="1B4A3310"/>
    <w:rsid w:val="1B91148A"/>
    <w:rsid w:val="1BF93576"/>
    <w:rsid w:val="1C29774F"/>
    <w:rsid w:val="1C37053A"/>
    <w:rsid w:val="1C422D70"/>
    <w:rsid w:val="1CD33B38"/>
    <w:rsid w:val="1D4F1A4B"/>
    <w:rsid w:val="1D5D1A45"/>
    <w:rsid w:val="1E0E1C85"/>
    <w:rsid w:val="1E844BA7"/>
    <w:rsid w:val="1E983F4D"/>
    <w:rsid w:val="1EA241AB"/>
    <w:rsid w:val="1EA83EC1"/>
    <w:rsid w:val="1EB15DEE"/>
    <w:rsid w:val="1EC9010C"/>
    <w:rsid w:val="1EFE4483"/>
    <w:rsid w:val="1F00250D"/>
    <w:rsid w:val="1F0D4FE5"/>
    <w:rsid w:val="1F470500"/>
    <w:rsid w:val="1FFB17B7"/>
    <w:rsid w:val="202C43E4"/>
    <w:rsid w:val="204F1D62"/>
    <w:rsid w:val="20532F76"/>
    <w:rsid w:val="2054207F"/>
    <w:rsid w:val="20626E05"/>
    <w:rsid w:val="209B63CC"/>
    <w:rsid w:val="20AE4D64"/>
    <w:rsid w:val="20D02B87"/>
    <w:rsid w:val="20D36424"/>
    <w:rsid w:val="21216BE9"/>
    <w:rsid w:val="21555156"/>
    <w:rsid w:val="21B32928"/>
    <w:rsid w:val="226D042D"/>
    <w:rsid w:val="22833477"/>
    <w:rsid w:val="2288155B"/>
    <w:rsid w:val="22BF67AD"/>
    <w:rsid w:val="22CE5249"/>
    <w:rsid w:val="234179D0"/>
    <w:rsid w:val="23782D02"/>
    <w:rsid w:val="2384382E"/>
    <w:rsid w:val="238B0807"/>
    <w:rsid w:val="239D0DD9"/>
    <w:rsid w:val="23EC2C4A"/>
    <w:rsid w:val="24414364"/>
    <w:rsid w:val="244478F4"/>
    <w:rsid w:val="24661428"/>
    <w:rsid w:val="24FB6014"/>
    <w:rsid w:val="25070E5D"/>
    <w:rsid w:val="250C77A3"/>
    <w:rsid w:val="258B62C6"/>
    <w:rsid w:val="25AF5FD8"/>
    <w:rsid w:val="25E41B55"/>
    <w:rsid w:val="25E817E2"/>
    <w:rsid w:val="262241AC"/>
    <w:rsid w:val="26661BB3"/>
    <w:rsid w:val="267F3779"/>
    <w:rsid w:val="268559B2"/>
    <w:rsid w:val="26C17478"/>
    <w:rsid w:val="26E825C8"/>
    <w:rsid w:val="26EB511C"/>
    <w:rsid w:val="275E5211"/>
    <w:rsid w:val="278C73F8"/>
    <w:rsid w:val="279103F0"/>
    <w:rsid w:val="279B71D1"/>
    <w:rsid w:val="27F9665F"/>
    <w:rsid w:val="28546167"/>
    <w:rsid w:val="29170C9C"/>
    <w:rsid w:val="29346169"/>
    <w:rsid w:val="29473225"/>
    <w:rsid w:val="29966D0B"/>
    <w:rsid w:val="2A0E0C0E"/>
    <w:rsid w:val="2A176E5A"/>
    <w:rsid w:val="2A3569EE"/>
    <w:rsid w:val="2A6E1043"/>
    <w:rsid w:val="2A746204"/>
    <w:rsid w:val="2A7C33D9"/>
    <w:rsid w:val="2AA8604B"/>
    <w:rsid w:val="2B0B7AA5"/>
    <w:rsid w:val="2B384CC1"/>
    <w:rsid w:val="2B6F39F7"/>
    <w:rsid w:val="2BC53A0F"/>
    <w:rsid w:val="2C036E67"/>
    <w:rsid w:val="2C6E2B6C"/>
    <w:rsid w:val="2C9B71D4"/>
    <w:rsid w:val="2CD96FD3"/>
    <w:rsid w:val="2CE57B42"/>
    <w:rsid w:val="2D3E1E5A"/>
    <w:rsid w:val="2D784B74"/>
    <w:rsid w:val="2D9C5EBB"/>
    <w:rsid w:val="2DBB56A8"/>
    <w:rsid w:val="2E524B68"/>
    <w:rsid w:val="2EBC2D86"/>
    <w:rsid w:val="2EE1627B"/>
    <w:rsid w:val="2EE72B25"/>
    <w:rsid w:val="2F7610B9"/>
    <w:rsid w:val="2F8B4CF0"/>
    <w:rsid w:val="2FE8509F"/>
    <w:rsid w:val="2FFE1528"/>
    <w:rsid w:val="30471EAA"/>
    <w:rsid w:val="30575027"/>
    <w:rsid w:val="307F15CD"/>
    <w:rsid w:val="30A97664"/>
    <w:rsid w:val="30C35CED"/>
    <w:rsid w:val="30D92FB5"/>
    <w:rsid w:val="314362E6"/>
    <w:rsid w:val="31490769"/>
    <w:rsid w:val="3161109D"/>
    <w:rsid w:val="317F3A60"/>
    <w:rsid w:val="31942B43"/>
    <w:rsid w:val="31B71D2B"/>
    <w:rsid w:val="325D0058"/>
    <w:rsid w:val="3269761D"/>
    <w:rsid w:val="326E0884"/>
    <w:rsid w:val="32A36583"/>
    <w:rsid w:val="32A8398C"/>
    <w:rsid w:val="331478BF"/>
    <w:rsid w:val="333464B6"/>
    <w:rsid w:val="33784CD4"/>
    <w:rsid w:val="33CB12A8"/>
    <w:rsid w:val="33D309A5"/>
    <w:rsid w:val="33FD0154"/>
    <w:rsid w:val="345F2824"/>
    <w:rsid w:val="3491253E"/>
    <w:rsid w:val="351647A5"/>
    <w:rsid w:val="35704F9B"/>
    <w:rsid w:val="35962615"/>
    <w:rsid w:val="367554E4"/>
    <w:rsid w:val="36A823AB"/>
    <w:rsid w:val="36B65678"/>
    <w:rsid w:val="36D668E1"/>
    <w:rsid w:val="371B6F58"/>
    <w:rsid w:val="375A4A1F"/>
    <w:rsid w:val="377B1BD4"/>
    <w:rsid w:val="37873D92"/>
    <w:rsid w:val="378D387D"/>
    <w:rsid w:val="37A57B6B"/>
    <w:rsid w:val="380D162F"/>
    <w:rsid w:val="382C02B3"/>
    <w:rsid w:val="3837515E"/>
    <w:rsid w:val="38545275"/>
    <w:rsid w:val="38616F1D"/>
    <w:rsid w:val="38A42449"/>
    <w:rsid w:val="38FC6206"/>
    <w:rsid w:val="398A79D0"/>
    <w:rsid w:val="39AA02FF"/>
    <w:rsid w:val="39BD78E5"/>
    <w:rsid w:val="39E20551"/>
    <w:rsid w:val="39EC3CC0"/>
    <w:rsid w:val="39EF116B"/>
    <w:rsid w:val="39FE7A24"/>
    <w:rsid w:val="3A35391F"/>
    <w:rsid w:val="3A8E028C"/>
    <w:rsid w:val="3A9656E4"/>
    <w:rsid w:val="3ACB0F63"/>
    <w:rsid w:val="3AE35129"/>
    <w:rsid w:val="3AFD149F"/>
    <w:rsid w:val="3B035435"/>
    <w:rsid w:val="3B300635"/>
    <w:rsid w:val="3C2C7291"/>
    <w:rsid w:val="3C724A5E"/>
    <w:rsid w:val="3C94492D"/>
    <w:rsid w:val="3CDE204C"/>
    <w:rsid w:val="3D243233"/>
    <w:rsid w:val="3D6267D9"/>
    <w:rsid w:val="3DE10046"/>
    <w:rsid w:val="3E051F47"/>
    <w:rsid w:val="3E3E0A20"/>
    <w:rsid w:val="3E5A54F8"/>
    <w:rsid w:val="3E76638E"/>
    <w:rsid w:val="3E920795"/>
    <w:rsid w:val="3EB76D84"/>
    <w:rsid w:val="3F414D6B"/>
    <w:rsid w:val="3F740356"/>
    <w:rsid w:val="3F8B3ED6"/>
    <w:rsid w:val="3F93536F"/>
    <w:rsid w:val="3FB12DDB"/>
    <w:rsid w:val="3FCF3ECE"/>
    <w:rsid w:val="3FE7116A"/>
    <w:rsid w:val="411424E0"/>
    <w:rsid w:val="41734954"/>
    <w:rsid w:val="41E43AF9"/>
    <w:rsid w:val="42207F6E"/>
    <w:rsid w:val="42420DA3"/>
    <w:rsid w:val="424D2825"/>
    <w:rsid w:val="42642FF3"/>
    <w:rsid w:val="42973CEF"/>
    <w:rsid w:val="429967BA"/>
    <w:rsid w:val="42C529C2"/>
    <w:rsid w:val="42CB5C48"/>
    <w:rsid w:val="42E3660E"/>
    <w:rsid w:val="42E86B5E"/>
    <w:rsid w:val="42F1333E"/>
    <w:rsid w:val="42F77DB2"/>
    <w:rsid w:val="434B4B31"/>
    <w:rsid w:val="438039FD"/>
    <w:rsid w:val="43D45F57"/>
    <w:rsid w:val="449B251C"/>
    <w:rsid w:val="44BD4C3D"/>
    <w:rsid w:val="457C4B03"/>
    <w:rsid w:val="459F25E6"/>
    <w:rsid w:val="45C2075D"/>
    <w:rsid w:val="4691784E"/>
    <w:rsid w:val="46C95B1B"/>
    <w:rsid w:val="46D84CC9"/>
    <w:rsid w:val="47032ECA"/>
    <w:rsid w:val="47140325"/>
    <w:rsid w:val="4719603C"/>
    <w:rsid w:val="47397233"/>
    <w:rsid w:val="473C009B"/>
    <w:rsid w:val="47EF24F6"/>
    <w:rsid w:val="48860D1B"/>
    <w:rsid w:val="48A35DF0"/>
    <w:rsid w:val="492800C0"/>
    <w:rsid w:val="49545A1F"/>
    <w:rsid w:val="49555633"/>
    <w:rsid w:val="4AE9678B"/>
    <w:rsid w:val="4AFE50CA"/>
    <w:rsid w:val="4B6B71A0"/>
    <w:rsid w:val="4BA87148"/>
    <w:rsid w:val="4C883D82"/>
    <w:rsid w:val="4CB8083B"/>
    <w:rsid w:val="4CC77FFC"/>
    <w:rsid w:val="4D6E74A3"/>
    <w:rsid w:val="4D9A1FBF"/>
    <w:rsid w:val="4DA54844"/>
    <w:rsid w:val="4DC67343"/>
    <w:rsid w:val="4DCF6871"/>
    <w:rsid w:val="4DE85357"/>
    <w:rsid w:val="4DF07E31"/>
    <w:rsid w:val="4E561834"/>
    <w:rsid w:val="4E62566F"/>
    <w:rsid w:val="4E7749FB"/>
    <w:rsid w:val="4E781808"/>
    <w:rsid w:val="4EB570D6"/>
    <w:rsid w:val="4ED92CBF"/>
    <w:rsid w:val="4FA87474"/>
    <w:rsid w:val="4FB1676B"/>
    <w:rsid w:val="4FD4563E"/>
    <w:rsid w:val="4FE3400D"/>
    <w:rsid w:val="4FEC79CF"/>
    <w:rsid w:val="50AB0883"/>
    <w:rsid w:val="50C14C3A"/>
    <w:rsid w:val="50DA577A"/>
    <w:rsid w:val="50E929C7"/>
    <w:rsid w:val="51087BAF"/>
    <w:rsid w:val="513A6BFE"/>
    <w:rsid w:val="51C50FA2"/>
    <w:rsid w:val="52297D26"/>
    <w:rsid w:val="52334072"/>
    <w:rsid w:val="524F5548"/>
    <w:rsid w:val="52632E2E"/>
    <w:rsid w:val="52C259C9"/>
    <w:rsid w:val="52DD44A8"/>
    <w:rsid w:val="53380C57"/>
    <w:rsid w:val="53446C55"/>
    <w:rsid w:val="53811DE2"/>
    <w:rsid w:val="53923384"/>
    <w:rsid w:val="53D06199"/>
    <w:rsid w:val="5422243B"/>
    <w:rsid w:val="543F741C"/>
    <w:rsid w:val="544949C3"/>
    <w:rsid w:val="545033D7"/>
    <w:rsid w:val="54AB5BF1"/>
    <w:rsid w:val="552F2DC0"/>
    <w:rsid w:val="556E78AD"/>
    <w:rsid w:val="559D264C"/>
    <w:rsid w:val="55CF0C66"/>
    <w:rsid w:val="55FE2AD7"/>
    <w:rsid w:val="563567D0"/>
    <w:rsid w:val="5660136B"/>
    <w:rsid w:val="56784F2E"/>
    <w:rsid w:val="57356F64"/>
    <w:rsid w:val="573E39BB"/>
    <w:rsid w:val="5755750D"/>
    <w:rsid w:val="57756FDC"/>
    <w:rsid w:val="580827A4"/>
    <w:rsid w:val="580F7106"/>
    <w:rsid w:val="58375678"/>
    <w:rsid w:val="58615BB3"/>
    <w:rsid w:val="58617EBD"/>
    <w:rsid w:val="588F08E6"/>
    <w:rsid w:val="589B20E7"/>
    <w:rsid w:val="58A65CBC"/>
    <w:rsid w:val="58DA4B00"/>
    <w:rsid w:val="59896332"/>
    <w:rsid w:val="59966557"/>
    <w:rsid w:val="5A253572"/>
    <w:rsid w:val="5A254958"/>
    <w:rsid w:val="5A3F1F24"/>
    <w:rsid w:val="5A6F0DB4"/>
    <w:rsid w:val="5A7B50DE"/>
    <w:rsid w:val="5ACA3D7E"/>
    <w:rsid w:val="5B5B570A"/>
    <w:rsid w:val="5B7644D9"/>
    <w:rsid w:val="5BA42DEA"/>
    <w:rsid w:val="5C5A5D5F"/>
    <w:rsid w:val="5C837D51"/>
    <w:rsid w:val="5C8F1E71"/>
    <w:rsid w:val="5CA57360"/>
    <w:rsid w:val="5CC43715"/>
    <w:rsid w:val="5CCB3F43"/>
    <w:rsid w:val="5D1D22C5"/>
    <w:rsid w:val="5D1E462D"/>
    <w:rsid w:val="5DD76917"/>
    <w:rsid w:val="5E041844"/>
    <w:rsid w:val="5E4C3835"/>
    <w:rsid w:val="5E7B225D"/>
    <w:rsid w:val="5EC677C0"/>
    <w:rsid w:val="5ED42A92"/>
    <w:rsid w:val="5F257F36"/>
    <w:rsid w:val="607448F1"/>
    <w:rsid w:val="6079319D"/>
    <w:rsid w:val="60925F84"/>
    <w:rsid w:val="609613EB"/>
    <w:rsid w:val="60D402BB"/>
    <w:rsid w:val="611063C8"/>
    <w:rsid w:val="612015C0"/>
    <w:rsid w:val="61305BF0"/>
    <w:rsid w:val="61D4389A"/>
    <w:rsid w:val="62051491"/>
    <w:rsid w:val="620D0B5A"/>
    <w:rsid w:val="62B90115"/>
    <w:rsid w:val="62EA2C49"/>
    <w:rsid w:val="63696264"/>
    <w:rsid w:val="63960810"/>
    <w:rsid w:val="640815D9"/>
    <w:rsid w:val="642F3009"/>
    <w:rsid w:val="643D5C38"/>
    <w:rsid w:val="644F7208"/>
    <w:rsid w:val="647D69C8"/>
    <w:rsid w:val="65F92F5D"/>
    <w:rsid w:val="66211890"/>
    <w:rsid w:val="669B50CD"/>
    <w:rsid w:val="66AB0A40"/>
    <w:rsid w:val="66C11D69"/>
    <w:rsid w:val="66E66DEF"/>
    <w:rsid w:val="66E9022F"/>
    <w:rsid w:val="676D6AC2"/>
    <w:rsid w:val="677E0166"/>
    <w:rsid w:val="67E23030"/>
    <w:rsid w:val="67ED314E"/>
    <w:rsid w:val="683C6AF0"/>
    <w:rsid w:val="683E25E6"/>
    <w:rsid w:val="6865349E"/>
    <w:rsid w:val="686D34BE"/>
    <w:rsid w:val="69A068A5"/>
    <w:rsid w:val="69C45FA2"/>
    <w:rsid w:val="6A0A597F"/>
    <w:rsid w:val="6A265B96"/>
    <w:rsid w:val="6A3212DD"/>
    <w:rsid w:val="6A6E0B73"/>
    <w:rsid w:val="6A7C3B33"/>
    <w:rsid w:val="6AF01018"/>
    <w:rsid w:val="6B064398"/>
    <w:rsid w:val="6B473476"/>
    <w:rsid w:val="6C3F7369"/>
    <w:rsid w:val="6C8155EB"/>
    <w:rsid w:val="6CA95225"/>
    <w:rsid w:val="6CE573D6"/>
    <w:rsid w:val="6D1D0041"/>
    <w:rsid w:val="6D8368A4"/>
    <w:rsid w:val="6DA010E6"/>
    <w:rsid w:val="6DB826FA"/>
    <w:rsid w:val="6DC9723B"/>
    <w:rsid w:val="6E5D69C5"/>
    <w:rsid w:val="6EBC4151"/>
    <w:rsid w:val="6EDE5E5B"/>
    <w:rsid w:val="6F4404C5"/>
    <w:rsid w:val="6F4B6193"/>
    <w:rsid w:val="6F6448EB"/>
    <w:rsid w:val="6FA7614A"/>
    <w:rsid w:val="6FDF1328"/>
    <w:rsid w:val="70250C6C"/>
    <w:rsid w:val="705C33D8"/>
    <w:rsid w:val="705E3377"/>
    <w:rsid w:val="706968CA"/>
    <w:rsid w:val="70CD7E32"/>
    <w:rsid w:val="71435219"/>
    <w:rsid w:val="71AA1F21"/>
    <w:rsid w:val="71CF679C"/>
    <w:rsid w:val="721B671F"/>
    <w:rsid w:val="728B1977"/>
    <w:rsid w:val="72CA76E6"/>
    <w:rsid w:val="72D94790"/>
    <w:rsid w:val="73441F01"/>
    <w:rsid w:val="734E7A1D"/>
    <w:rsid w:val="73A66718"/>
    <w:rsid w:val="73AB01D2"/>
    <w:rsid w:val="73D019E7"/>
    <w:rsid w:val="74827185"/>
    <w:rsid w:val="74B91264"/>
    <w:rsid w:val="74F11C15"/>
    <w:rsid w:val="751D6EAE"/>
    <w:rsid w:val="75467181"/>
    <w:rsid w:val="756657AD"/>
    <w:rsid w:val="756D474F"/>
    <w:rsid w:val="75BE660F"/>
    <w:rsid w:val="76184A54"/>
    <w:rsid w:val="767153AD"/>
    <w:rsid w:val="769767EC"/>
    <w:rsid w:val="76A65B60"/>
    <w:rsid w:val="76C75A3A"/>
    <w:rsid w:val="76EC257D"/>
    <w:rsid w:val="77582487"/>
    <w:rsid w:val="77781184"/>
    <w:rsid w:val="778E16A8"/>
    <w:rsid w:val="7859644F"/>
    <w:rsid w:val="787E2171"/>
    <w:rsid w:val="791169A5"/>
    <w:rsid w:val="7B030CF3"/>
    <w:rsid w:val="7B327298"/>
    <w:rsid w:val="7B960FDA"/>
    <w:rsid w:val="7BE2675B"/>
    <w:rsid w:val="7C92500C"/>
    <w:rsid w:val="7D203501"/>
    <w:rsid w:val="7D6F2CEF"/>
    <w:rsid w:val="7DAC4AB3"/>
    <w:rsid w:val="7E2C5220"/>
    <w:rsid w:val="7E7F7158"/>
    <w:rsid w:val="7EF51CB2"/>
    <w:rsid w:val="7F052E8D"/>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autoRedefine/>
    <w:qFormat/>
    <w:uiPriority w:val="0"/>
    <w:pPr>
      <w:ind w:firstLine="420"/>
    </w:pPr>
    <w:rPr>
      <w:szCs w:val="20"/>
    </w:rPr>
  </w:style>
  <w:style w:type="paragraph" w:styleId="7">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48"/>
    <w:autoRedefine/>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
    <w:qFormat/>
    <w:uiPriority w:val="0"/>
    <w:pPr>
      <w:ind w:firstLine="200" w:firstLineChars="200"/>
    </w:pPr>
  </w:style>
  <w:style w:type="paragraph" w:styleId="12">
    <w:name w:val="Plain Text"/>
    <w:basedOn w:val="1"/>
    <w:next w:val="13"/>
    <w:link w:val="41"/>
    <w:autoRedefine/>
    <w:qFormat/>
    <w:uiPriority w:val="99"/>
    <w:rPr>
      <w:rFonts w:ascii="宋体" w:hAnsi="Courier New" w:cstheme="minorBidi"/>
    </w:rPr>
  </w:style>
  <w:style w:type="paragraph" w:styleId="13">
    <w:name w:val="Date"/>
    <w:basedOn w:val="14"/>
    <w:next w:val="14"/>
    <w:qFormat/>
    <w:uiPriority w:val="0"/>
    <w:rPr>
      <w:rFonts w:ascii="宋体"/>
      <w:color w:val="000000"/>
      <w:kern w:val="0"/>
      <w:sz w:val="24"/>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50"/>
    <w:autoRedefine/>
    <w:semiHidden/>
    <w:unhideWhenUsed/>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spacing w:before="240" w:after="60" w:line="312" w:lineRule="auto"/>
      <w:jc w:val="center"/>
      <w:outlineLvl w:val="1"/>
    </w:pPr>
    <w:rPr>
      <w:rFonts w:ascii="Cambria" w:hAnsi="Cambria"/>
      <w:b/>
      <w:kern w:val="28"/>
      <w:sz w:val="32"/>
      <w:szCs w:val="20"/>
    </w:rPr>
  </w:style>
  <w:style w:type="paragraph" w:styleId="20">
    <w:name w:val="List"/>
    <w:basedOn w:val="1"/>
    <w:qFormat/>
    <w:uiPriority w:val="0"/>
    <w:pPr>
      <w:ind w:left="200" w:hanging="200" w:hangingChars="200"/>
    </w:pPr>
    <w:rPr>
      <w:sz w:val="28"/>
    </w:rPr>
  </w:style>
  <w:style w:type="paragraph" w:styleId="21">
    <w:name w:val="toc 6"/>
    <w:basedOn w:val="1"/>
    <w:next w:val="1"/>
    <w:autoRedefine/>
    <w:qFormat/>
    <w:uiPriority w:val="0"/>
    <w:pPr>
      <w:ind w:left="1050"/>
      <w:jc w:val="left"/>
    </w:pPr>
    <w:rPr>
      <w:sz w:val="18"/>
      <w:szCs w:val="18"/>
    </w:rPr>
  </w:style>
  <w:style w:type="paragraph" w:styleId="2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3">
    <w:name w:val="Body Text 2"/>
    <w:basedOn w:val="1"/>
    <w:next w:val="1"/>
    <w:autoRedefine/>
    <w:qFormat/>
    <w:uiPriority w:val="0"/>
    <w:pPr>
      <w:autoSpaceDE w:val="0"/>
      <w:autoSpaceDN w:val="0"/>
      <w:adjustRightInd w:val="0"/>
      <w:spacing w:line="360" w:lineRule="auto"/>
    </w:pPr>
    <w:rPr>
      <w:rFonts w:ascii="宋体"/>
      <w:color w:val="000000"/>
      <w:kern w:val="0"/>
      <w:sz w:val="24"/>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annotation subject"/>
    <w:basedOn w:val="9"/>
    <w:next w:val="9"/>
    <w:link w:val="49"/>
    <w:semiHidden/>
    <w:unhideWhenUsed/>
    <w:qFormat/>
    <w:uiPriority w:val="0"/>
    <w:rPr>
      <w:b/>
      <w:bCs/>
    </w:rPr>
  </w:style>
  <w:style w:type="paragraph" w:styleId="26">
    <w:name w:val="Body Text First Indent 2"/>
    <w:basedOn w:val="7"/>
    <w:qFormat/>
    <w:uiPriority w:val="0"/>
    <w:pPr>
      <w:ind w:firstLine="420" w:firstLineChars="200"/>
    </w:pPr>
  </w:style>
  <w:style w:type="character" w:styleId="29">
    <w:name w:val="page number"/>
    <w:basedOn w:val="28"/>
    <w:autoRedefine/>
    <w:qFormat/>
    <w:uiPriority w:val="0"/>
  </w:style>
  <w:style w:type="character" w:styleId="30">
    <w:name w:val="Hyperlink"/>
    <w:basedOn w:val="28"/>
    <w:qFormat/>
    <w:uiPriority w:val="0"/>
    <w:rPr>
      <w:color w:val="0000FF"/>
      <w:u w:val="single"/>
    </w:rPr>
  </w:style>
  <w:style w:type="character" w:styleId="31">
    <w:name w:val="annotation reference"/>
    <w:basedOn w:val="28"/>
    <w:semiHidden/>
    <w:unhideWhenUsed/>
    <w:qFormat/>
    <w:uiPriority w:val="0"/>
    <w:rPr>
      <w:sz w:val="21"/>
      <w:szCs w:val="21"/>
    </w:rPr>
  </w:style>
  <w:style w:type="paragraph" w:customStyle="1" w:styleId="32">
    <w:name w:val="my正文"/>
    <w:basedOn w:val="1"/>
    <w:autoRedefine/>
    <w:qFormat/>
    <w:uiPriority w:val="0"/>
    <w:pPr>
      <w:spacing w:line="360" w:lineRule="auto"/>
      <w:ind w:firstLine="480" w:firstLineChars="200"/>
    </w:pPr>
    <w:rPr>
      <w:sz w:val="24"/>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14"/>
    <w:qFormat/>
    <w:uiPriority w:val="0"/>
    <w:rPr>
      <w:rFonts w:ascii="Times New Roman" w:hAnsi="Times New Roman" w:eastAsia="宋体" w:cs="Times New Roman"/>
      <w:sz w:val="21"/>
      <w:lang w:val="en-US" w:eastAsia="zh-CN"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纯文本 Char"/>
    <w:basedOn w:val="28"/>
    <w:link w:val="12"/>
    <w:qFormat/>
    <w:uiPriority w:val="99"/>
    <w:rPr>
      <w:rFonts w:ascii="宋体" w:hAnsi="Courier New" w:eastAsia="宋体"/>
      <w:kern w:val="2"/>
      <w:sz w:val="21"/>
      <w:szCs w:val="24"/>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纯文本_3"/>
    <w:basedOn w:val="40"/>
    <w:qFormat/>
    <w:uiPriority w:val="0"/>
    <w:pPr>
      <w:widowControl/>
      <w:jc w:val="left"/>
    </w:pPr>
    <w:rPr>
      <w:rFonts w:ascii="宋体" w:hAnsi="Courier New" w:eastAsiaTheme="minorEastAsia" w:cstheme="minorBidi"/>
      <w:szCs w:val="21"/>
    </w:rPr>
  </w:style>
  <w:style w:type="character" w:customStyle="1" w:styleId="48">
    <w:name w:val="批注文字 Char"/>
    <w:basedOn w:val="28"/>
    <w:link w:val="9"/>
    <w:qFormat/>
    <w:uiPriority w:val="0"/>
    <w:rPr>
      <w:kern w:val="2"/>
      <w:sz w:val="21"/>
      <w:szCs w:val="24"/>
    </w:rPr>
  </w:style>
  <w:style w:type="character" w:customStyle="1" w:styleId="49">
    <w:name w:val="批注主题 Char"/>
    <w:basedOn w:val="48"/>
    <w:link w:val="25"/>
    <w:semiHidden/>
    <w:qFormat/>
    <w:uiPriority w:val="0"/>
    <w:rPr>
      <w:b/>
      <w:bCs/>
      <w:kern w:val="2"/>
      <w:sz w:val="21"/>
      <w:szCs w:val="24"/>
    </w:rPr>
  </w:style>
  <w:style w:type="character" w:customStyle="1" w:styleId="50">
    <w:name w:val="批注框文本 Char"/>
    <w:basedOn w:val="28"/>
    <w:link w:val="16"/>
    <w:semiHidden/>
    <w:qFormat/>
    <w:uiPriority w:val="0"/>
    <w:rPr>
      <w:kern w:val="2"/>
      <w:sz w:val="18"/>
      <w:szCs w:val="18"/>
    </w:r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4.正文"/>
    <w:basedOn w:val="1"/>
    <w:qFormat/>
    <w:uiPriority w:val="0"/>
    <w:pPr>
      <w:spacing w:line="500" w:lineRule="exact"/>
      <w:ind w:firstLine="480"/>
    </w:pPr>
    <w:rPr>
      <w:rFonts w:ascii="Times New Roman" w:hAnsi="Times New Roman" w:cs="宋体"/>
      <w:color w:val="000000"/>
      <w:sz w:val="24"/>
      <w:szCs w:val="20"/>
    </w:rPr>
  </w:style>
  <w:style w:type="character" w:customStyle="1" w:styleId="53">
    <w:name w:val="font11"/>
    <w:basedOn w:val="28"/>
    <w:uiPriority w:val="0"/>
    <w:rPr>
      <w:rFonts w:hint="eastAsia" w:ascii="宋体" w:hAnsi="宋体" w:eastAsia="宋体" w:cs="宋体"/>
      <w:color w:val="000000"/>
      <w:sz w:val="21"/>
      <w:szCs w:val="21"/>
      <w:u w:val="none"/>
    </w:rPr>
  </w:style>
  <w:style w:type="character" w:customStyle="1" w:styleId="54">
    <w:name w:val="font21"/>
    <w:basedOn w:val="28"/>
    <w:uiPriority w:val="0"/>
    <w:rPr>
      <w:rFonts w:hint="default" w:ascii="Times New Roman" w:hAnsi="Times New Roman" w:cs="Times New Roman"/>
      <w:color w:val="000000"/>
      <w:sz w:val="21"/>
      <w:szCs w:val="21"/>
      <w:u w:val="none"/>
    </w:rPr>
  </w:style>
  <w:style w:type="paragraph" w:customStyle="1" w:styleId="55">
    <w:name w:val="Body text|1"/>
    <w:basedOn w:val="1"/>
    <w:qFormat/>
    <w:uiPriority w:val="0"/>
    <w:pPr>
      <w:widowControl w:val="0"/>
      <w:shd w:val="clear" w:color="auto" w:fill="auto"/>
      <w:spacing w:line="434" w:lineRule="auto"/>
      <w:ind w:firstLine="400"/>
    </w:pPr>
    <w:rPr>
      <w:rFonts w:ascii="宋体" w:hAnsi="宋体" w:eastAsia="宋体" w:cs="宋体"/>
      <w:sz w:val="18"/>
      <w:szCs w:val="18"/>
      <w:u w:val="none"/>
      <w:shd w:val="clear" w:color="auto" w:fill="auto"/>
      <w:lang w:val="zh-TW" w:eastAsia="zh-TW" w:bidi="zh-TW"/>
    </w:rPr>
  </w:style>
  <w:style w:type="paragraph" w:customStyle="1" w:styleId="56">
    <w:name w:val="*正文"/>
    <w:basedOn w:val="1"/>
    <w:qFormat/>
    <w:uiPriority w:val="0"/>
    <w:pPr>
      <w:spacing w:line="300" w:lineRule="auto"/>
      <w:ind w:firstLine="480"/>
    </w:pPr>
    <w:rPr>
      <w:rFonts w:ascii="宋体" w:hAnsi="宋体" w:cs="仿宋_GB2312"/>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11182</Words>
  <Characters>11420</Characters>
  <Lines>83</Lines>
  <Paragraphs>23</Paragraphs>
  <TotalTime>3</TotalTime>
  <ScaleCrop>false</ScaleCrop>
  <LinksUpToDate>false</LinksUpToDate>
  <CharactersWithSpaces>12320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A三门青蟹（自产自销）</cp:lastModifiedBy>
  <cp:lastPrinted>2023-11-01T08:44:00Z</cp:lastPrinted>
  <dcterms:modified xsi:type="dcterms:W3CDTF">2025-08-22T07:24:30Z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0E1EB8D2765043B195CAAD44D99A7FDD_13</vt:lpwstr>
  </property>
  <property fmtid="{D5CDD505-2E9C-101B-9397-08002B2CF9AE}" pid="4" name="KSOTemplateDocerSaveRecord">
    <vt:lpwstr>eyJoZGlkIjoiNGU4ZTE1NGMzZmIyY2E3MjkyY2JiNjE4MDczMmJkNWUiLCJ1c2VySWQiOiIxMTM4MjM3MzU0In0=</vt:lpwstr>
  </property>
</Properties>
</file>