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40" w:lineRule="atLeast"/>
        <w:ind w:right="924"/>
        <w:rPr>
          <w:rFonts w:hint="eastAsia" w:ascii="宋体" w:hAnsi="宋体" w:eastAsia="宋体" w:cs="宋体"/>
          <w:b/>
          <w:bCs/>
          <w:kern w:val="0"/>
          <w:sz w:val="44"/>
          <w:szCs w:val="44"/>
        </w:rPr>
      </w:pPr>
    </w:p>
    <w:p>
      <w:pPr>
        <w:tabs>
          <w:tab w:val="left" w:pos="0"/>
          <w:tab w:val="left" w:pos="720"/>
          <w:tab w:val="left" w:pos="2160"/>
          <w:tab w:val="left" w:pos="2880"/>
          <w:tab w:val="left" w:pos="3600"/>
          <w:tab w:val="left" w:pos="4320"/>
          <w:tab w:val="left" w:pos="5040"/>
          <w:tab w:val="left" w:pos="5760"/>
        </w:tabs>
        <w:autoSpaceDE w:val="0"/>
        <w:autoSpaceDN w:val="0"/>
        <w:adjustRightInd w:val="0"/>
        <w:spacing w:line="240" w:lineRule="atLeast"/>
        <w:ind w:left="2" w:right="-22"/>
        <w:jc w:val="center"/>
        <w:rPr>
          <w:rFonts w:hint="eastAsia" w:ascii="宋体" w:hAnsi="宋体" w:eastAsia="宋体" w:cs="宋体"/>
          <w:kern w:val="0"/>
          <w:sz w:val="36"/>
          <w:szCs w:val="36"/>
          <w:lang w:eastAsia="zh-CN"/>
        </w:rPr>
      </w:pPr>
      <w:r>
        <w:rPr>
          <w:rFonts w:hint="eastAsia" w:ascii="宋体" w:hAnsi="宋体" w:eastAsia="宋体" w:cs="宋体"/>
          <w:b/>
          <w:sz w:val="36"/>
          <w:szCs w:val="36"/>
          <w:lang w:eastAsia="zh-CN"/>
        </w:rPr>
        <w:t>台州市三门县“蓝色海湾”—海游港北侧岸线修复工程（监理）</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hAnsi="宋体" w:eastAsia="宋体" w:cs="宋体"/>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hAnsi="宋体" w:eastAsia="宋体" w:cs="宋体"/>
          <w:kern w:val="0"/>
          <w:sz w:val="48"/>
          <w:szCs w:val="4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jc w:val="center"/>
        <w:rPr>
          <w:rFonts w:hint="eastAsia" w:ascii="宋体" w:hAnsi="宋体" w:eastAsia="宋体" w:cs="宋体"/>
          <w:kern w:val="0"/>
          <w:sz w:val="48"/>
          <w:szCs w:val="48"/>
        </w:rPr>
      </w:pPr>
      <w:r>
        <w:rPr>
          <w:rFonts w:hint="eastAsia" w:ascii="宋体" w:hAnsi="宋体" w:eastAsia="宋体" w:cs="宋体"/>
          <w:kern w:val="0"/>
          <w:sz w:val="48"/>
          <w:szCs w:val="48"/>
        </w:rPr>
        <w:t>竞争性谈判文件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hint="eastAsia" w:ascii="宋体" w:hAnsi="宋体" w:eastAsia="宋体" w:cs="宋体"/>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hint="eastAsia" w:ascii="宋体" w:hAnsi="宋体" w:eastAsia="宋体" w:cs="宋体"/>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hint="eastAsia" w:ascii="宋体" w:hAnsi="宋体" w:eastAsia="宋体" w:cs="宋体"/>
          <w:kern w:val="0"/>
          <w:sz w:val="24"/>
        </w:rPr>
      </w:pPr>
    </w:p>
    <w:p>
      <w:pPr>
        <w:pStyle w:val="10"/>
        <w:snapToGrid w:val="0"/>
        <w:spacing w:before="120" w:after="120" w:line="360" w:lineRule="auto"/>
        <w:jc w:val="center"/>
        <w:rPr>
          <w:rFonts w:hint="eastAsia" w:ascii="宋体" w:hAnsi="宋体" w:eastAsia="宋体" w:cs="宋体"/>
          <w:kern w:val="0"/>
          <w:sz w:val="29"/>
          <w:szCs w:val="29"/>
        </w:rPr>
      </w:pPr>
      <w:r>
        <w:rPr>
          <w:rFonts w:hint="eastAsia" w:ascii="宋体" w:hAnsi="宋体" w:eastAsia="宋体" w:cs="宋体"/>
          <w:kern w:val="0"/>
          <w:sz w:val="29"/>
          <w:szCs w:val="29"/>
        </w:rPr>
        <w:t>项目编号：科胜招备[2022]-02</w:t>
      </w:r>
      <w:r>
        <w:rPr>
          <w:rFonts w:hint="eastAsia" w:ascii="宋体" w:hAnsi="宋体" w:eastAsia="宋体" w:cs="宋体"/>
          <w:kern w:val="0"/>
          <w:sz w:val="29"/>
          <w:szCs w:val="29"/>
          <w:lang w:val="en-US" w:eastAsia="zh-CN"/>
        </w:rPr>
        <w:t>6</w:t>
      </w:r>
      <w:r>
        <w:rPr>
          <w:rFonts w:hint="eastAsia" w:ascii="宋体" w:hAnsi="宋体" w:eastAsia="宋体" w:cs="宋体"/>
          <w:kern w:val="0"/>
          <w:sz w:val="29"/>
          <w:szCs w:val="29"/>
        </w:rPr>
        <w:t>号</w:t>
      </w:r>
    </w:p>
    <w:p>
      <w:pPr>
        <w:spacing w:line="360" w:lineRule="auto"/>
        <w:rPr>
          <w:rFonts w:hint="eastAsia" w:ascii="宋体" w:hAnsi="宋体" w:eastAsia="宋体" w:cs="宋体"/>
          <w:kern w:val="0"/>
          <w:sz w:val="29"/>
          <w:szCs w:val="29"/>
        </w:rPr>
      </w:pPr>
    </w:p>
    <w:p>
      <w:pPr>
        <w:spacing w:line="360" w:lineRule="auto"/>
        <w:rPr>
          <w:rFonts w:hint="eastAsia" w:ascii="宋体" w:hAnsi="宋体" w:eastAsia="宋体" w:cs="宋体"/>
          <w:kern w:val="0"/>
          <w:sz w:val="29"/>
          <w:szCs w:val="29"/>
        </w:rPr>
      </w:pPr>
    </w:p>
    <w:p>
      <w:pPr>
        <w:spacing w:line="360" w:lineRule="auto"/>
        <w:rPr>
          <w:rFonts w:hint="eastAsia" w:ascii="宋体" w:hAnsi="宋体" w:eastAsia="宋体" w:cs="宋体"/>
          <w:kern w:val="0"/>
          <w:sz w:val="29"/>
          <w:szCs w:val="29"/>
        </w:rPr>
      </w:pPr>
    </w:p>
    <w:p>
      <w:pPr>
        <w:spacing w:line="360" w:lineRule="auto"/>
        <w:rPr>
          <w:rFonts w:hint="eastAsia" w:ascii="宋体" w:hAnsi="宋体" w:eastAsia="宋体" w:cs="宋体"/>
          <w:kern w:val="0"/>
          <w:sz w:val="29"/>
          <w:szCs w:val="29"/>
        </w:rPr>
      </w:pPr>
    </w:p>
    <w:p>
      <w:pPr>
        <w:spacing w:line="360" w:lineRule="auto"/>
        <w:rPr>
          <w:rFonts w:hint="eastAsia" w:ascii="宋体" w:hAnsi="宋体" w:eastAsia="宋体" w:cs="宋体"/>
          <w:kern w:val="0"/>
          <w:sz w:val="29"/>
          <w:szCs w:val="29"/>
        </w:rPr>
      </w:pPr>
    </w:p>
    <w:p>
      <w:pPr>
        <w:pStyle w:val="2"/>
        <w:rPr>
          <w:rFonts w:hint="eastAsia" w:ascii="宋体" w:hAnsi="宋体" w:eastAsia="宋体" w:cs="宋体"/>
          <w:kern w:val="0"/>
          <w:sz w:val="29"/>
          <w:szCs w:val="29"/>
        </w:rPr>
      </w:pPr>
    </w:p>
    <w:p>
      <w:pPr>
        <w:pStyle w:val="2"/>
        <w:rPr>
          <w:rFonts w:hint="eastAsia" w:ascii="宋体" w:hAnsi="宋体" w:eastAsia="宋体" w:cs="宋体"/>
          <w:kern w:val="0"/>
          <w:sz w:val="29"/>
          <w:szCs w:val="29"/>
        </w:rPr>
      </w:pPr>
    </w:p>
    <w:p>
      <w:pPr>
        <w:pStyle w:val="2"/>
        <w:rPr>
          <w:rFonts w:hint="eastAsia" w:ascii="宋体" w:hAnsi="宋体" w:eastAsia="宋体" w:cs="宋体"/>
          <w:kern w:val="0"/>
          <w:sz w:val="29"/>
          <w:szCs w:val="29"/>
        </w:rPr>
      </w:pPr>
    </w:p>
    <w:p>
      <w:pPr>
        <w:pStyle w:val="2"/>
        <w:rPr>
          <w:rFonts w:hint="eastAsia" w:ascii="宋体" w:hAnsi="宋体" w:eastAsia="宋体" w:cs="宋体"/>
          <w:kern w:val="0"/>
          <w:sz w:val="29"/>
          <w:szCs w:val="29"/>
        </w:rPr>
      </w:pPr>
    </w:p>
    <w:p>
      <w:pPr>
        <w:keepNext w:val="0"/>
        <w:keepLines w:val="0"/>
        <w:pageBreakBefore w:val="0"/>
        <w:widowControl w:val="0"/>
        <w:kinsoku/>
        <w:wordWrap/>
        <w:overflowPunct/>
        <w:topLinePunct w:val="0"/>
        <w:bidi w:val="0"/>
        <w:adjustRightInd w:val="0"/>
        <w:snapToGrid/>
        <w:spacing w:line="360" w:lineRule="auto"/>
        <w:ind w:right="0" w:rightChars="0" w:firstLine="1160" w:firstLineChars="400"/>
        <w:jc w:val="left"/>
        <w:textAlignment w:val="auto"/>
        <w:rPr>
          <w:rFonts w:hint="eastAsia" w:ascii="宋体" w:hAnsi="宋体" w:eastAsia="宋体" w:cs="宋体"/>
          <w:kern w:val="0"/>
          <w:sz w:val="32"/>
          <w:lang w:eastAsia="zh-CN"/>
        </w:rPr>
      </w:pPr>
      <w:r>
        <w:rPr>
          <w:rFonts w:hint="eastAsia" w:ascii="宋体" w:hAnsi="宋体" w:eastAsia="宋体" w:cs="宋体"/>
          <w:kern w:val="0"/>
          <w:sz w:val="29"/>
          <w:szCs w:val="29"/>
        </w:rPr>
        <w:t xml:space="preserve">采购人： </w:t>
      </w:r>
      <w:r>
        <w:rPr>
          <w:rFonts w:hint="eastAsia" w:ascii="宋体" w:hAnsi="宋体" w:eastAsia="宋体" w:cs="宋体"/>
          <w:kern w:val="0"/>
          <w:sz w:val="29"/>
          <w:szCs w:val="29"/>
          <w:lang w:eastAsia="zh-CN"/>
        </w:rPr>
        <w:t>三门经济开发区管理委员会</w:t>
      </w: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240" w:lineRule="atLeast"/>
        <w:ind w:right="0" w:rightChars="0" w:firstLine="1120" w:firstLineChars="4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代理机构： 浙江科胜工程管理有限公司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eastAsia="宋体" w:cs="宋体"/>
          <w:kern w:val="0"/>
          <w:sz w:val="28"/>
          <w:szCs w:val="28"/>
        </w:rPr>
      </w:pPr>
      <w:r>
        <w:rPr>
          <w:rFonts w:hint="eastAsia" w:ascii="宋体" w:hAnsi="宋体" w:eastAsia="宋体" w:cs="宋体"/>
          <w:sz w:val="28"/>
          <w:szCs w:val="28"/>
        </w:rPr>
        <w:t>2022年</w:t>
      </w:r>
      <w:r>
        <w:rPr>
          <w:rFonts w:hint="eastAsia" w:ascii="宋体" w:hAnsi="宋体" w:eastAsia="宋体" w:cs="宋体"/>
          <w:sz w:val="28"/>
          <w:szCs w:val="28"/>
          <w:lang w:val="en-US" w:eastAsia="zh-CN"/>
        </w:rPr>
        <w:t>6</w:t>
      </w:r>
      <w:r>
        <w:rPr>
          <w:rFonts w:hint="eastAsia" w:ascii="宋体" w:hAnsi="宋体" w:eastAsia="宋体" w:cs="宋体"/>
          <w:kern w:val="0"/>
          <w:sz w:val="28"/>
          <w:szCs w:val="28"/>
        </w:rPr>
        <w:t>月</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hint="eastAsia" w:ascii="宋体" w:hAnsi="宋体" w:eastAsia="宋体" w:cs="宋体"/>
          <w:kern w:val="0"/>
          <w:sz w:val="28"/>
        </w:rPr>
      </w:pPr>
    </w:p>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r>
        <w:rPr>
          <w:rFonts w:hint="eastAsia" w:ascii="宋体" w:hAnsi="宋体" w:eastAsia="宋体" w:cs="宋体"/>
          <w:b/>
          <w:bCs/>
          <w:sz w:val="36"/>
          <w:szCs w:val="36"/>
        </w:rPr>
        <w:t>目    录</w:t>
      </w:r>
    </w:p>
    <w:p>
      <w:pPr>
        <w:spacing w:line="360" w:lineRule="auto"/>
        <w:ind w:firstLine="703" w:firstLineChars="250"/>
        <w:jc w:val="left"/>
        <w:rPr>
          <w:rFonts w:hint="eastAsia" w:ascii="宋体" w:hAnsi="宋体" w:eastAsia="宋体" w:cs="宋体"/>
          <w:b/>
          <w:sz w:val="28"/>
          <w:szCs w:val="28"/>
        </w:rPr>
      </w:pPr>
    </w:p>
    <w:p>
      <w:pPr>
        <w:spacing w:line="360" w:lineRule="auto"/>
        <w:ind w:firstLine="703" w:firstLineChars="250"/>
        <w:jc w:val="left"/>
        <w:rPr>
          <w:rFonts w:hint="eastAsia" w:ascii="宋体" w:hAnsi="宋体" w:eastAsia="宋体" w:cs="宋体"/>
          <w:b/>
          <w:sz w:val="28"/>
          <w:szCs w:val="28"/>
        </w:rPr>
      </w:pPr>
    </w:p>
    <w:p>
      <w:pPr>
        <w:ind w:firstLine="703" w:firstLineChars="250"/>
        <w:rPr>
          <w:rFonts w:hint="eastAsia" w:ascii="宋体" w:hAnsi="宋体" w:eastAsia="宋体" w:cs="宋体"/>
          <w:b/>
          <w:sz w:val="28"/>
          <w:szCs w:val="28"/>
          <w:lang w:eastAsia="zh-CN"/>
        </w:rPr>
      </w:pPr>
      <w:r>
        <w:rPr>
          <w:rFonts w:hint="eastAsia" w:ascii="宋体" w:hAnsi="宋体" w:eastAsia="宋体" w:cs="宋体"/>
          <w:b/>
          <w:sz w:val="28"/>
          <w:szCs w:val="28"/>
        </w:rPr>
        <w:t>第一章 竞争性谈判采购</w:t>
      </w:r>
      <w:r>
        <w:rPr>
          <w:rFonts w:hint="eastAsia" w:ascii="宋体" w:hAnsi="宋体" w:eastAsia="宋体" w:cs="宋体"/>
          <w:b/>
          <w:sz w:val="28"/>
          <w:szCs w:val="28"/>
          <w:lang w:eastAsia="zh-CN"/>
        </w:rPr>
        <w:t>公告</w:t>
      </w:r>
    </w:p>
    <w:p>
      <w:pPr>
        <w:ind w:firstLine="703" w:firstLineChars="250"/>
        <w:rPr>
          <w:rFonts w:hint="eastAsia" w:ascii="宋体" w:hAnsi="宋体" w:eastAsia="宋体" w:cs="宋体"/>
          <w:b/>
          <w:sz w:val="28"/>
          <w:szCs w:val="28"/>
        </w:rPr>
      </w:pPr>
      <w:r>
        <w:rPr>
          <w:rFonts w:hint="eastAsia" w:ascii="宋体" w:hAnsi="宋体" w:eastAsia="宋体" w:cs="宋体"/>
          <w:b/>
          <w:sz w:val="28"/>
          <w:szCs w:val="28"/>
        </w:rPr>
        <w:t>第二章　供应商须知</w:t>
      </w:r>
    </w:p>
    <w:p>
      <w:pPr>
        <w:ind w:firstLine="703" w:firstLineChars="250"/>
        <w:rPr>
          <w:rFonts w:hint="eastAsia" w:ascii="宋体" w:hAnsi="宋体" w:eastAsia="宋体" w:cs="宋体"/>
          <w:b/>
          <w:sz w:val="28"/>
          <w:szCs w:val="28"/>
        </w:rPr>
      </w:pPr>
      <w:r>
        <w:rPr>
          <w:rFonts w:hint="eastAsia" w:ascii="宋体" w:hAnsi="宋体" w:eastAsia="宋体" w:cs="宋体"/>
          <w:b/>
          <w:sz w:val="28"/>
          <w:szCs w:val="28"/>
        </w:rPr>
        <w:t>第三章　谈判内容</w:t>
      </w:r>
    </w:p>
    <w:p>
      <w:pPr>
        <w:ind w:firstLine="703" w:firstLineChars="250"/>
        <w:rPr>
          <w:rFonts w:hint="eastAsia" w:ascii="宋体" w:hAnsi="宋体" w:eastAsia="宋体" w:cs="宋体"/>
          <w:b/>
          <w:sz w:val="28"/>
          <w:szCs w:val="28"/>
        </w:rPr>
      </w:pPr>
      <w:r>
        <w:rPr>
          <w:rFonts w:hint="eastAsia" w:ascii="宋体" w:hAnsi="宋体" w:eastAsia="宋体" w:cs="宋体"/>
          <w:b/>
          <w:sz w:val="28"/>
          <w:szCs w:val="28"/>
        </w:rPr>
        <w:t>第四章  政府采购合同主要条款指引</w:t>
      </w:r>
    </w:p>
    <w:p>
      <w:pPr>
        <w:ind w:firstLine="703" w:firstLineChars="250"/>
        <w:rPr>
          <w:rFonts w:hint="eastAsia" w:ascii="宋体" w:hAnsi="宋体" w:eastAsia="宋体" w:cs="宋体"/>
          <w:b/>
          <w:sz w:val="28"/>
          <w:szCs w:val="28"/>
        </w:rPr>
      </w:pPr>
      <w:r>
        <w:rPr>
          <w:rFonts w:hint="eastAsia" w:ascii="宋体" w:hAnsi="宋体" w:eastAsia="宋体" w:cs="宋体"/>
          <w:b/>
          <w:sz w:val="28"/>
          <w:szCs w:val="28"/>
        </w:rPr>
        <w:t>第五章  响应文件格式附件</w:t>
      </w:r>
    </w:p>
    <w:p>
      <w:pPr>
        <w:tabs>
          <w:tab w:val="left" w:pos="180"/>
          <w:tab w:val="left" w:pos="360"/>
          <w:tab w:val="left" w:pos="540"/>
          <w:tab w:val="left" w:pos="8280"/>
        </w:tabs>
        <w:autoSpaceDE w:val="0"/>
        <w:autoSpaceDN w:val="0"/>
        <w:adjustRightInd w:val="0"/>
        <w:spacing w:line="580" w:lineRule="exact"/>
        <w:ind w:right="23"/>
        <w:jc w:val="center"/>
        <w:rPr>
          <w:rFonts w:hint="eastAsia" w:ascii="宋体" w:hAnsi="宋体" w:eastAsia="宋体" w:cs="宋体"/>
          <w:b/>
          <w:kern w:val="0"/>
          <w:sz w:val="36"/>
        </w:rPr>
      </w:pPr>
    </w:p>
    <w:p>
      <w:pPr>
        <w:tabs>
          <w:tab w:val="left" w:pos="180"/>
          <w:tab w:val="left" w:pos="360"/>
          <w:tab w:val="left" w:pos="540"/>
          <w:tab w:val="left" w:pos="8280"/>
        </w:tabs>
        <w:autoSpaceDE w:val="0"/>
        <w:autoSpaceDN w:val="0"/>
        <w:adjustRightInd w:val="0"/>
        <w:spacing w:line="580" w:lineRule="exact"/>
        <w:ind w:right="23"/>
        <w:rPr>
          <w:rFonts w:hint="eastAsia" w:ascii="宋体" w:hAnsi="宋体" w:eastAsia="宋体" w:cs="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hAnsi="宋体" w:eastAsia="宋体" w:cs="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hAnsi="宋体" w:eastAsia="宋体" w:cs="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hAnsi="宋体" w:eastAsia="宋体" w:cs="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hAnsi="宋体" w:eastAsia="宋体" w:cs="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hAnsi="宋体" w:eastAsia="宋体" w:cs="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hAnsi="宋体" w:eastAsia="宋体" w:cs="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hAnsi="宋体" w:eastAsia="宋体" w:cs="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hAnsi="宋体" w:eastAsia="宋体" w:cs="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hAnsi="宋体" w:eastAsia="宋体" w:cs="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hAnsi="宋体" w:eastAsia="宋体" w:cs="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hAnsi="宋体" w:eastAsia="宋体" w:cs="宋体"/>
          <w:b/>
          <w:kern w:val="0"/>
          <w:sz w:val="36"/>
        </w:rPr>
      </w:pPr>
      <w:r>
        <w:rPr>
          <w:rFonts w:hint="eastAsia" w:ascii="宋体" w:hAnsi="宋体" w:eastAsia="宋体" w:cs="宋体"/>
          <w:b/>
          <w:kern w:val="0"/>
          <w:sz w:val="36"/>
        </w:rPr>
        <w:br w:type="page"/>
      </w:r>
    </w:p>
    <w:p>
      <w:pPr>
        <w:pStyle w:val="18"/>
        <w:rPr>
          <w:rFonts w:hint="eastAsia" w:ascii="宋体" w:hAnsi="宋体" w:eastAsia="宋体" w:cs="宋体"/>
          <w:lang w:eastAsia="zh-CN"/>
        </w:rPr>
      </w:pPr>
      <w:r>
        <w:rPr>
          <w:rFonts w:hint="eastAsia" w:ascii="宋体" w:hAnsi="宋体" w:eastAsia="宋体" w:cs="宋体"/>
        </w:rPr>
        <w:t>第一章  竞争性谈判采购</w:t>
      </w:r>
      <w:r>
        <w:rPr>
          <w:rFonts w:hint="eastAsia" w:ascii="宋体" w:hAnsi="宋体" w:eastAsia="宋体" w:cs="宋体"/>
          <w:lang w:eastAsia="zh-CN"/>
        </w:rPr>
        <w:t>公告</w:t>
      </w:r>
    </w:p>
    <w:p>
      <w:pPr>
        <w:pageBreakBefore w:val="0"/>
        <w:widowControl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根据有关规定, 受</w:t>
      </w:r>
      <w:r>
        <w:rPr>
          <w:rFonts w:hint="eastAsia" w:ascii="宋体" w:hAnsi="宋体" w:eastAsia="宋体" w:cs="宋体"/>
          <w:kern w:val="0"/>
          <w:sz w:val="24"/>
          <w:szCs w:val="24"/>
          <w:u w:val="single"/>
          <w:lang w:eastAsia="zh-CN"/>
        </w:rPr>
        <w:t>三门经济开发区管理委员会</w:t>
      </w:r>
      <w:r>
        <w:rPr>
          <w:rFonts w:hint="eastAsia" w:ascii="宋体" w:hAnsi="宋体" w:eastAsia="宋体" w:cs="宋体"/>
          <w:kern w:val="0"/>
          <w:sz w:val="24"/>
          <w:szCs w:val="24"/>
        </w:rPr>
        <w:t>的委托，现就</w:t>
      </w:r>
      <w:r>
        <w:rPr>
          <w:rFonts w:hint="eastAsia" w:ascii="宋体" w:hAnsi="宋体" w:eastAsia="宋体" w:cs="宋体"/>
          <w:kern w:val="0"/>
          <w:sz w:val="24"/>
          <w:szCs w:val="24"/>
          <w:u w:val="single"/>
          <w:lang w:eastAsia="zh-CN"/>
        </w:rPr>
        <w:t>台州市三门县“蓝色海湾”—海游港北侧岸线修复工程（监理）</w:t>
      </w:r>
      <w:r>
        <w:rPr>
          <w:rFonts w:hint="eastAsia" w:ascii="宋体" w:hAnsi="宋体" w:eastAsia="宋体" w:cs="宋体"/>
          <w:kern w:val="0"/>
          <w:sz w:val="24"/>
          <w:szCs w:val="24"/>
        </w:rPr>
        <w:t>进行竞争性谈判采购，欢迎合格供应商前来</w:t>
      </w:r>
      <w:r>
        <w:rPr>
          <w:rFonts w:hint="eastAsia" w:ascii="宋体" w:hAnsi="宋体" w:eastAsia="宋体" w:cs="宋体"/>
          <w:sz w:val="24"/>
          <w:szCs w:val="24"/>
          <w:lang w:eastAsia="zh-CN"/>
        </w:rPr>
        <w:t>投标</w:t>
      </w:r>
      <w:r>
        <w:rPr>
          <w:rFonts w:hint="eastAsia" w:ascii="宋体" w:hAnsi="宋体" w:eastAsia="宋体" w:cs="宋体"/>
          <w:kern w:val="0"/>
          <w:sz w:val="24"/>
          <w:szCs w:val="24"/>
        </w:rPr>
        <w:t>。</w:t>
      </w:r>
    </w:p>
    <w:p>
      <w:pPr>
        <w:pStyle w:val="3"/>
        <w:pageBreakBefore w:val="0"/>
        <w:widowControl w:val="0"/>
        <w:kinsoku/>
        <w:wordWrap/>
        <w:overflowPunct/>
        <w:topLinePunct w:val="0"/>
        <w:bidi w:val="0"/>
        <w:adjustRightInd w:val="0"/>
        <w:snapToGrid w:val="0"/>
        <w:spacing w:before="0" w:after="0" w:line="312" w:lineRule="auto"/>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 xml:space="preserve">一、项目编号：科胜招备[2022]-026号  </w:t>
      </w:r>
    </w:p>
    <w:p>
      <w:pPr>
        <w:pStyle w:val="3"/>
        <w:pageBreakBefore w:val="0"/>
        <w:widowControl w:val="0"/>
        <w:kinsoku/>
        <w:wordWrap/>
        <w:overflowPunct/>
        <w:topLinePunct w:val="0"/>
        <w:bidi w:val="0"/>
        <w:adjustRightInd w:val="0"/>
        <w:snapToGrid w:val="0"/>
        <w:spacing w:before="0" w:after="0" w:line="312" w:lineRule="auto"/>
        <w:textAlignment w:val="auto"/>
        <w:rPr>
          <w:rFonts w:hint="eastAsia" w:ascii="宋体" w:hAnsi="宋体" w:eastAsia="宋体" w:cs="宋体"/>
          <w:sz w:val="24"/>
          <w:szCs w:val="24"/>
        </w:rPr>
      </w:pPr>
      <w:r>
        <w:rPr>
          <w:rFonts w:hint="eastAsia" w:ascii="宋体" w:hAnsi="宋体" w:eastAsia="宋体" w:cs="宋体"/>
          <w:sz w:val="24"/>
          <w:szCs w:val="24"/>
        </w:rPr>
        <w:t>二、谈判内容</w:t>
      </w:r>
    </w:p>
    <w:p>
      <w:pPr>
        <w:pStyle w:val="3"/>
        <w:keepNext/>
        <w:keepLines/>
        <w:pageBreakBefore w:val="0"/>
        <w:widowControl w:val="0"/>
        <w:kinsoku/>
        <w:wordWrap/>
        <w:overflowPunct/>
        <w:topLinePunct w:val="0"/>
        <w:autoSpaceDE/>
        <w:autoSpaceDN/>
        <w:bidi w:val="0"/>
        <w:adjustRightInd w:val="0"/>
        <w:snapToGrid w:val="0"/>
        <w:spacing w:before="0" w:after="0" w:line="312"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项目概况：</w:t>
      </w:r>
      <w:r>
        <w:rPr>
          <w:rFonts w:hint="eastAsia" w:ascii="宋体" w:hAnsi="宋体" w:eastAsia="宋体" w:cs="宋体"/>
          <w:b w:val="0"/>
          <w:bCs w:val="0"/>
          <w:kern w:val="0"/>
          <w:sz w:val="24"/>
          <w:szCs w:val="24"/>
          <w:u w:val="single"/>
          <w:lang w:val="en-US" w:eastAsia="zh-CN" w:bidi="ar-SA"/>
        </w:rPr>
        <w:t xml:space="preserve">本项目位于三门县海润街道、海游港北侧，从水岙门大桥向东延伸至闸梨头水闸，全长1584m。主要包括海堤生态化；盐沼湿地修复，塘埂拆除，养殖塘回填整平，互花米草清除，盐沼植被种植；木栈道、照明等。 </w:t>
      </w:r>
    </w:p>
    <w:p>
      <w:pPr>
        <w:pStyle w:val="3"/>
        <w:keepNext/>
        <w:keepLines/>
        <w:pageBreakBefore w:val="0"/>
        <w:widowControl w:val="0"/>
        <w:kinsoku/>
        <w:wordWrap/>
        <w:overflowPunct/>
        <w:topLinePunct w:val="0"/>
        <w:autoSpaceDE/>
        <w:autoSpaceDN/>
        <w:bidi w:val="0"/>
        <w:adjustRightInd w:val="0"/>
        <w:snapToGrid w:val="0"/>
        <w:spacing w:before="0" w:after="0" w:line="312"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招标范围：</w:t>
      </w:r>
      <w:r>
        <w:rPr>
          <w:rFonts w:hint="eastAsia" w:ascii="宋体" w:hAnsi="宋体" w:eastAsia="宋体" w:cs="宋体"/>
          <w:b w:val="0"/>
          <w:bCs w:val="0"/>
          <w:kern w:val="0"/>
          <w:sz w:val="24"/>
          <w:szCs w:val="24"/>
          <w:u w:val="single"/>
          <w:lang w:val="en-US" w:eastAsia="zh-CN" w:bidi="ar-SA"/>
        </w:rPr>
        <w:t>本工程主要包括海堤生态化；盐沼湿地修复，塘埂拆除，养殖塘回填整平，互花米草清除，盐沼植被种植；木栈道、照明等工程的全过程监理。</w:t>
      </w:r>
    </w:p>
    <w:p>
      <w:pPr>
        <w:pStyle w:val="3"/>
        <w:keepNext/>
        <w:keepLines/>
        <w:pageBreakBefore w:val="0"/>
        <w:widowControl w:val="0"/>
        <w:kinsoku/>
        <w:wordWrap/>
        <w:overflowPunct/>
        <w:topLinePunct w:val="0"/>
        <w:autoSpaceDE/>
        <w:autoSpaceDN/>
        <w:bidi w:val="0"/>
        <w:adjustRightInd w:val="0"/>
        <w:snapToGrid w:val="0"/>
        <w:spacing w:before="0" w:after="0" w:line="312"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本标段监理费估算</w:t>
      </w:r>
      <w:r>
        <w:rPr>
          <w:rFonts w:hint="eastAsia" w:ascii="宋体" w:hAnsi="宋体" w:eastAsia="宋体" w:cs="宋体"/>
          <w:b w:val="0"/>
          <w:bCs w:val="0"/>
          <w:kern w:val="0"/>
          <w:sz w:val="24"/>
          <w:szCs w:val="24"/>
          <w:highlight w:val="none"/>
          <w:lang w:val="en-US" w:eastAsia="zh-CN" w:bidi="ar-SA"/>
        </w:rPr>
        <w:t>上限价为</w:t>
      </w:r>
      <w:r>
        <w:rPr>
          <w:rFonts w:hint="eastAsia" w:ascii="宋体" w:hAnsi="宋体" w:eastAsia="宋体" w:cs="宋体"/>
          <w:b w:val="0"/>
          <w:bCs w:val="0"/>
          <w:kern w:val="0"/>
          <w:sz w:val="24"/>
          <w:szCs w:val="24"/>
          <w:highlight w:val="none"/>
          <w:u w:val="single"/>
          <w:lang w:val="en-US" w:eastAsia="zh-CN" w:bidi="ar-SA"/>
        </w:rPr>
        <w:t>25万元；</w:t>
      </w:r>
    </w:p>
    <w:p>
      <w:pPr>
        <w:pStyle w:val="3"/>
        <w:keepNext/>
        <w:keepLines/>
        <w:pageBreakBefore w:val="0"/>
        <w:widowControl w:val="0"/>
        <w:kinsoku/>
        <w:wordWrap/>
        <w:overflowPunct/>
        <w:topLinePunct w:val="0"/>
        <w:autoSpaceDE/>
        <w:autoSpaceDN/>
        <w:bidi w:val="0"/>
        <w:adjustRightInd w:val="0"/>
        <w:snapToGrid w:val="0"/>
        <w:spacing w:before="0" w:after="0" w:line="312"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监理服务期：</w:t>
      </w:r>
      <w:r>
        <w:rPr>
          <w:rFonts w:hint="eastAsia" w:ascii="宋体" w:hAnsi="宋体" w:eastAsia="宋体" w:cs="宋体"/>
          <w:b w:val="0"/>
          <w:bCs w:val="0"/>
          <w:kern w:val="0"/>
          <w:sz w:val="24"/>
          <w:szCs w:val="24"/>
          <w:u w:val="single"/>
          <w:lang w:val="en-US" w:eastAsia="zh-CN" w:bidi="ar-SA"/>
        </w:rPr>
        <w:t>从施工监理合同签订之日起至工程竣工验收完成之日止（其中服务期为180天，缺陷责任期24个月）。</w:t>
      </w:r>
    </w:p>
    <w:p>
      <w:pPr>
        <w:pStyle w:val="3"/>
        <w:keepNext/>
        <w:keepLines/>
        <w:pageBreakBefore w:val="0"/>
        <w:widowControl w:val="0"/>
        <w:kinsoku/>
        <w:wordWrap/>
        <w:overflowPunct/>
        <w:topLinePunct w:val="0"/>
        <w:autoSpaceDE/>
        <w:autoSpaceDN/>
        <w:bidi w:val="0"/>
        <w:adjustRightInd w:val="0"/>
        <w:snapToGrid w:val="0"/>
        <w:spacing w:before="0" w:after="0" w:line="312"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质量目标：</w:t>
      </w:r>
      <w:r>
        <w:rPr>
          <w:rFonts w:hint="eastAsia" w:ascii="宋体" w:hAnsi="宋体" w:eastAsia="宋体" w:cs="宋体"/>
          <w:b w:val="0"/>
          <w:bCs w:val="0"/>
          <w:kern w:val="0"/>
          <w:sz w:val="24"/>
          <w:szCs w:val="24"/>
          <w:u w:val="single"/>
          <w:lang w:val="en-US" w:eastAsia="zh-CN" w:bidi="ar-SA"/>
        </w:rPr>
        <w:t>①工程设计质量标准：符合国家现行有关设计规范要求，施工图审查合格。②工程施工质量标准：水工工程按照交通运输部《水运工程质量检验标准》，其他工程按照有关现行质量检验评定标准检验评定，工程质量等级要求合格。</w:t>
      </w:r>
    </w:p>
    <w:p>
      <w:pPr>
        <w:pStyle w:val="3"/>
        <w:pageBreakBefore w:val="0"/>
        <w:widowControl w:val="0"/>
        <w:kinsoku/>
        <w:wordWrap/>
        <w:overflowPunct/>
        <w:topLinePunct w:val="0"/>
        <w:bidi w:val="0"/>
        <w:adjustRightInd w:val="0"/>
        <w:snapToGrid w:val="0"/>
        <w:spacing w:before="0" w:after="0" w:line="312" w:lineRule="auto"/>
        <w:textAlignment w:val="auto"/>
        <w:rPr>
          <w:rFonts w:hint="eastAsia" w:ascii="宋体" w:hAnsi="宋体" w:eastAsia="宋体" w:cs="宋体"/>
          <w:sz w:val="24"/>
          <w:szCs w:val="24"/>
        </w:rPr>
      </w:pPr>
      <w:r>
        <w:rPr>
          <w:rFonts w:hint="eastAsia" w:ascii="宋体" w:hAnsi="宋体" w:eastAsia="宋体" w:cs="宋体"/>
          <w:sz w:val="24"/>
          <w:szCs w:val="24"/>
        </w:rPr>
        <w:t>三、合格谈判供应商的资格条件</w:t>
      </w:r>
    </w:p>
    <w:p>
      <w:pPr>
        <w:pageBreakBefore w:val="0"/>
        <w:widowControl w:val="0"/>
        <w:kinsoku/>
        <w:wordWrap/>
        <w:overflowPunct/>
        <w:topLinePunct w:val="0"/>
        <w:bidi w:val="0"/>
        <w:adjustRightInd w:val="0"/>
        <w:snapToGrid w:val="0"/>
        <w:spacing w:line="312" w:lineRule="auto"/>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1）具有独立承担民事责任的能力；</w:t>
      </w:r>
    </w:p>
    <w:p>
      <w:pPr>
        <w:pageBreakBefore w:val="0"/>
        <w:widowControl w:val="0"/>
        <w:kinsoku/>
        <w:wordWrap/>
        <w:overflowPunct/>
        <w:topLinePunct w:val="0"/>
        <w:bidi w:val="0"/>
        <w:adjustRightInd w:val="0"/>
        <w:snapToGrid w:val="0"/>
        <w:spacing w:line="312" w:lineRule="auto"/>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2）具有良好的商业信誉和健全的财务会计制度；</w:t>
      </w:r>
    </w:p>
    <w:p>
      <w:pPr>
        <w:pageBreakBefore w:val="0"/>
        <w:widowControl w:val="0"/>
        <w:kinsoku/>
        <w:wordWrap/>
        <w:overflowPunct/>
        <w:topLinePunct w:val="0"/>
        <w:bidi w:val="0"/>
        <w:adjustRightInd w:val="0"/>
        <w:snapToGrid w:val="0"/>
        <w:spacing w:line="312" w:lineRule="auto"/>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3）具有履行合同所必需的设备和专业技术能力；</w:t>
      </w:r>
    </w:p>
    <w:p>
      <w:pPr>
        <w:pageBreakBefore w:val="0"/>
        <w:widowControl w:val="0"/>
        <w:kinsoku/>
        <w:wordWrap/>
        <w:overflowPunct/>
        <w:topLinePunct w:val="0"/>
        <w:bidi w:val="0"/>
        <w:adjustRightInd w:val="0"/>
        <w:snapToGrid w:val="0"/>
        <w:spacing w:line="312" w:lineRule="auto"/>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4）有依法缴纳税收和社会保障资金的良好记录；</w:t>
      </w:r>
    </w:p>
    <w:p>
      <w:pPr>
        <w:pageBreakBefore w:val="0"/>
        <w:widowControl w:val="0"/>
        <w:kinsoku/>
        <w:wordWrap/>
        <w:overflowPunct/>
        <w:topLinePunct w:val="0"/>
        <w:bidi w:val="0"/>
        <w:adjustRightInd w:val="0"/>
        <w:snapToGrid w:val="0"/>
        <w:spacing w:line="312" w:lineRule="auto"/>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5）参加采购活动前三年内，在经营活动中没有重大违法记录；</w:t>
      </w:r>
    </w:p>
    <w:p>
      <w:pPr>
        <w:pageBreakBefore w:val="0"/>
        <w:widowControl w:val="0"/>
        <w:kinsoku/>
        <w:wordWrap/>
        <w:overflowPunct/>
        <w:topLinePunct w:val="0"/>
        <w:bidi w:val="0"/>
        <w:adjustRightInd w:val="0"/>
        <w:snapToGrid w:val="0"/>
        <w:spacing w:line="312" w:lineRule="auto"/>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6）法律、行政法规规定的其他条件；</w:t>
      </w:r>
    </w:p>
    <w:p>
      <w:pPr>
        <w:pageBreakBefore w:val="0"/>
        <w:widowControl w:val="0"/>
        <w:kinsoku/>
        <w:wordWrap/>
        <w:overflowPunct/>
        <w:topLinePunct w:val="0"/>
        <w:bidi w:val="0"/>
        <w:adjustRightInd w:val="0"/>
        <w:snapToGrid w:val="0"/>
        <w:spacing w:line="312" w:lineRule="auto"/>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7）未被“信用中国”（www.creditchina.gov.cn)、中国政府采购网（www.ccgp.gov.cn）列入失信被执行人、重大税收违法案件当事人名单、政府采购严重违法失信行为记录名单。</w:t>
      </w:r>
    </w:p>
    <w:p>
      <w:pPr>
        <w:pageBreakBefore w:val="0"/>
        <w:widowControl w:val="0"/>
        <w:kinsoku/>
        <w:wordWrap/>
        <w:overflowPunct/>
        <w:topLinePunct w:val="0"/>
        <w:bidi w:val="0"/>
        <w:adjustRightInd w:val="0"/>
        <w:snapToGrid w:val="0"/>
        <w:spacing w:line="312" w:lineRule="auto"/>
        <w:ind w:firstLine="240" w:firstLineChars="100"/>
        <w:textAlignment w:val="auto"/>
        <w:rPr>
          <w:rFonts w:hint="eastAsia" w:ascii="宋体" w:hAnsi="宋体" w:eastAsia="宋体" w:cs="宋体"/>
          <w:color w:val="0000FF"/>
          <w:kern w:val="0"/>
          <w:sz w:val="24"/>
          <w:szCs w:val="24"/>
        </w:rPr>
      </w:pPr>
      <w:r>
        <w:rPr>
          <w:rFonts w:hint="eastAsia" w:ascii="宋体" w:hAnsi="宋体" w:eastAsia="宋体" w:cs="宋体"/>
          <w:kern w:val="0"/>
          <w:sz w:val="24"/>
          <w:szCs w:val="24"/>
        </w:rPr>
        <w:t>本项目供应商</w:t>
      </w:r>
      <w:r>
        <w:rPr>
          <w:rFonts w:hint="eastAsia" w:ascii="宋体" w:hAnsi="宋体" w:eastAsia="宋体" w:cs="宋体"/>
          <w:color w:val="auto"/>
          <w:kern w:val="0"/>
          <w:sz w:val="24"/>
          <w:szCs w:val="24"/>
        </w:rPr>
        <w:t>特定条件：</w:t>
      </w:r>
    </w:p>
    <w:p>
      <w:pPr>
        <w:pageBreakBefore w:val="0"/>
        <w:widowControl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kern w:val="0"/>
          <w:sz w:val="24"/>
          <w:szCs w:val="24"/>
          <w:u w:val="single"/>
        </w:rPr>
      </w:pPr>
      <w:r>
        <w:rPr>
          <w:rFonts w:hint="eastAsia" w:ascii="宋体" w:hAnsi="宋体" w:eastAsia="宋体" w:cs="宋体"/>
          <w:kern w:val="0"/>
          <w:sz w:val="24"/>
          <w:szCs w:val="24"/>
        </w:rPr>
        <w:t>1.投标人资格：</w:t>
      </w:r>
      <w:r>
        <w:rPr>
          <w:rFonts w:hint="eastAsia" w:ascii="宋体" w:hAnsi="宋体" w:eastAsia="宋体" w:cs="宋体"/>
          <w:kern w:val="0"/>
          <w:sz w:val="24"/>
          <w:szCs w:val="24"/>
          <w:u w:val="single"/>
        </w:rPr>
        <w:t>交通运输部核发的水运工程</w:t>
      </w:r>
      <w:r>
        <w:rPr>
          <w:rFonts w:hint="eastAsia" w:ascii="宋体" w:hAnsi="宋体" w:eastAsia="宋体" w:cs="宋体"/>
          <w:kern w:val="0"/>
          <w:sz w:val="24"/>
          <w:szCs w:val="24"/>
          <w:u w:val="single"/>
          <w:lang w:eastAsia="zh-CN"/>
        </w:rPr>
        <w:t>乙</w:t>
      </w:r>
      <w:r>
        <w:rPr>
          <w:rFonts w:hint="eastAsia" w:ascii="宋体" w:hAnsi="宋体" w:eastAsia="宋体" w:cs="宋体"/>
          <w:kern w:val="0"/>
          <w:sz w:val="24"/>
          <w:szCs w:val="24"/>
          <w:u w:val="single"/>
        </w:rPr>
        <w:t>级</w:t>
      </w:r>
      <w:r>
        <w:rPr>
          <w:rFonts w:hint="eastAsia" w:ascii="宋体" w:hAnsi="宋体" w:eastAsia="宋体" w:cs="宋体"/>
          <w:kern w:val="0"/>
          <w:sz w:val="24"/>
          <w:szCs w:val="24"/>
          <w:u w:val="single"/>
          <w:lang w:eastAsia="zh-CN"/>
        </w:rPr>
        <w:t>及以上</w:t>
      </w:r>
      <w:r>
        <w:rPr>
          <w:rFonts w:hint="eastAsia" w:ascii="宋体" w:hAnsi="宋体" w:eastAsia="宋体" w:cs="宋体"/>
          <w:kern w:val="0"/>
          <w:sz w:val="24"/>
          <w:szCs w:val="24"/>
          <w:u w:val="single"/>
        </w:rPr>
        <w:t>监理</w:t>
      </w:r>
      <w:r>
        <w:rPr>
          <w:rFonts w:hint="eastAsia" w:ascii="宋体" w:hAnsi="宋体" w:eastAsia="宋体" w:cs="宋体"/>
          <w:kern w:val="0"/>
          <w:sz w:val="24"/>
          <w:szCs w:val="24"/>
          <w:u w:val="single"/>
          <w:lang w:eastAsia="zh-CN"/>
        </w:rPr>
        <w:t>资质</w:t>
      </w:r>
      <w:r>
        <w:rPr>
          <w:rFonts w:hint="eastAsia" w:ascii="宋体" w:hAnsi="宋体" w:eastAsia="宋体" w:cs="宋体"/>
          <w:kern w:val="0"/>
          <w:sz w:val="24"/>
          <w:szCs w:val="24"/>
          <w:u w:val="single"/>
        </w:rPr>
        <w:t>。</w:t>
      </w:r>
    </w:p>
    <w:p>
      <w:pPr>
        <w:pageBreakBefore w:val="0"/>
        <w:widowControl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kern w:val="0"/>
          <w:sz w:val="24"/>
          <w:szCs w:val="24"/>
          <w:u w:val="single"/>
          <w:lang w:eastAsia="zh-CN"/>
        </w:rPr>
      </w:pPr>
      <w:r>
        <w:rPr>
          <w:rFonts w:hint="eastAsia" w:ascii="宋体" w:hAnsi="宋体" w:eastAsia="宋体" w:cs="宋体"/>
          <w:kern w:val="0"/>
          <w:sz w:val="24"/>
          <w:szCs w:val="24"/>
        </w:rPr>
        <w:t>2.总监理工程师要求：</w:t>
      </w:r>
      <w:r>
        <w:rPr>
          <w:rFonts w:hint="eastAsia" w:ascii="宋体" w:hAnsi="宋体" w:eastAsia="宋体" w:cs="宋体"/>
          <w:kern w:val="0"/>
          <w:sz w:val="24"/>
          <w:szCs w:val="24"/>
          <w:u w:val="single"/>
        </w:rPr>
        <w:t>具有交通运输部核发的水运工程监理工程师资格（港口或航道工程专业）或人力资源社会保障部颁发的注册监理工程师（港口或航道工程专业）监理资格，具有高级工程师及以上技术职称</w:t>
      </w:r>
      <w:r>
        <w:rPr>
          <w:rFonts w:hint="eastAsia" w:ascii="宋体" w:hAnsi="宋体" w:eastAsia="宋体" w:cs="宋体"/>
          <w:kern w:val="0"/>
          <w:sz w:val="24"/>
          <w:szCs w:val="24"/>
          <w:u w:val="single"/>
          <w:lang w:eastAsia="zh-CN"/>
        </w:rPr>
        <w:t>。</w:t>
      </w:r>
    </w:p>
    <w:p>
      <w:pPr>
        <w:pStyle w:val="2"/>
        <w:pageBreakBefore w:val="0"/>
        <w:widowControl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sz w:val="24"/>
          <w:szCs w:val="24"/>
          <w:u w:val="single"/>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专业监理工程师</w:t>
      </w:r>
      <w:r>
        <w:rPr>
          <w:rFonts w:hint="eastAsia" w:ascii="宋体" w:hAnsi="宋体" w:eastAsia="宋体" w:cs="宋体"/>
          <w:kern w:val="0"/>
          <w:sz w:val="24"/>
          <w:szCs w:val="24"/>
        </w:rPr>
        <w:t>要求：</w:t>
      </w:r>
      <w:r>
        <w:rPr>
          <w:rFonts w:hint="eastAsia" w:ascii="宋体" w:hAnsi="宋体" w:eastAsia="宋体" w:cs="宋体"/>
          <w:sz w:val="24"/>
          <w:szCs w:val="24"/>
          <w:u w:val="single"/>
          <w:lang w:eastAsia="zh-CN"/>
        </w:rPr>
        <w:t>具有交通运输部核发的水运工程（港口或航道工程）专业监理工程师及以上资格或人力资源部颁发的注册监理工程师（港口或航道工程专业）监理资格，具有工程师及以上技术职称。</w:t>
      </w:r>
    </w:p>
    <w:p>
      <w:pPr>
        <w:pageBreakBefore w:val="0"/>
        <w:widowControl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.本项目不接受联合体谈判。</w:t>
      </w:r>
    </w:p>
    <w:p>
      <w:pPr>
        <w:pStyle w:val="3"/>
        <w:pageBreakBefore w:val="0"/>
        <w:widowControl w:val="0"/>
        <w:kinsoku/>
        <w:wordWrap/>
        <w:overflowPunct/>
        <w:topLinePunct w:val="0"/>
        <w:bidi w:val="0"/>
        <w:adjustRightInd w:val="0"/>
        <w:snapToGrid w:val="0"/>
        <w:spacing w:before="0" w:after="0" w:line="312" w:lineRule="auto"/>
        <w:textAlignment w:val="auto"/>
        <w:rPr>
          <w:rFonts w:hint="eastAsia" w:ascii="宋体" w:hAnsi="宋体" w:eastAsia="宋体" w:cs="宋体"/>
          <w:sz w:val="24"/>
          <w:szCs w:val="24"/>
        </w:rPr>
      </w:pPr>
      <w:r>
        <w:rPr>
          <w:rFonts w:hint="eastAsia" w:ascii="宋体" w:hAnsi="宋体" w:eastAsia="宋体" w:cs="宋体"/>
          <w:sz w:val="24"/>
          <w:szCs w:val="24"/>
        </w:rPr>
        <w:t>四、谈判文件获取的方式、时间</w:t>
      </w:r>
    </w:p>
    <w:p>
      <w:pPr>
        <w:pStyle w:val="3"/>
        <w:pageBreakBefore w:val="0"/>
        <w:widowControl w:val="0"/>
        <w:kinsoku/>
        <w:wordWrap/>
        <w:overflowPunct/>
        <w:topLinePunct w:val="0"/>
        <w:bidi w:val="0"/>
        <w:adjustRightInd w:val="0"/>
        <w:snapToGrid w:val="0"/>
        <w:spacing w:before="0" w:after="0" w:line="312"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4.1本项目实行资格后审，凡有意参加投标者，招标文件将于公告之日起在三门县公共资源交易中心网 “网址：http://http://jyzx.sanmen.gov.cn”上发布并供下载，招标文件以书面为主。</w:t>
      </w:r>
      <w:bookmarkStart w:id="473" w:name="_GoBack"/>
      <w:bookmarkEnd w:id="473"/>
    </w:p>
    <w:p>
      <w:pPr>
        <w:pStyle w:val="3"/>
        <w:pageBreakBefore w:val="0"/>
        <w:widowControl w:val="0"/>
        <w:kinsoku/>
        <w:wordWrap/>
        <w:overflowPunct/>
        <w:topLinePunct w:val="0"/>
        <w:bidi w:val="0"/>
        <w:adjustRightInd w:val="0"/>
        <w:snapToGrid w:val="0"/>
        <w:spacing w:before="0" w:after="0" w:line="312"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4.2投标人网上免费下载招标文件，不收取任何工本费。</w:t>
      </w:r>
    </w:p>
    <w:p>
      <w:pPr>
        <w:pStyle w:val="3"/>
        <w:pageBreakBefore w:val="0"/>
        <w:widowControl w:val="0"/>
        <w:kinsoku/>
        <w:wordWrap/>
        <w:overflowPunct/>
        <w:topLinePunct w:val="0"/>
        <w:bidi w:val="0"/>
        <w:adjustRightInd w:val="0"/>
        <w:snapToGrid w:val="0"/>
        <w:spacing w:before="0" w:after="0"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rPr>
        <w:t>五、响应文件递交</w:t>
      </w:r>
      <w:r>
        <w:rPr>
          <w:rFonts w:hint="eastAsia" w:ascii="宋体" w:hAnsi="宋体" w:eastAsia="宋体" w:cs="宋体"/>
          <w:sz w:val="24"/>
          <w:szCs w:val="24"/>
          <w:highlight w:val="none"/>
        </w:rPr>
        <w:t>截止时间及谈判开始时间、地点</w:t>
      </w:r>
    </w:p>
    <w:p>
      <w:pPr>
        <w:pageBreakBefore w:val="0"/>
        <w:widowControl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本次谈判将于2022年</w:t>
      </w:r>
      <w:r>
        <w:rPr>
          <w:rFonts w:hint="eastAsia" w:ascii="宋体" w:hAnsi="宋体" w:cs="宋体"/>
          <w:kern w:val="0"/>
          <w:sz w:val="24"/>
          <w:szCs w:val="24"/>
          <w:highlight w:val="none"/>
          <w:lang w:val="en-US" w:eastAsia="zh-CN"/>
        </w:rPr>
        <w:t>6</w:t>
      </w:r>
      <w:r>
        <w:rPr>
          <w:rFonts w:hint="eastAsia" w:ascii="宋体" w:hAnsi="宋体" w:eastAsia="宋体" w:cs="宋体"/>
          <w:kern w:val="0"/>
          <w:sz w:val="24"/>
          <w:szCs w:val="24"/>
          <w:highlight w:val="none"/>
        </w:rPr>
        <w:t>月</w:t>
      </w:r>
      <w:r>
        <w:rPr>
          <w:rFonts w:hint="eastAsia" w:ascii="宋体" w:hAnsi="宋体" w:cs="宋体"/>
          <w:kern w:val="0"/>
          <w:sz w:val="24"/>
          <w:szCs w:val="24"/>
          <w:highlight w:val="none"/>
          <w:lang w:val="en-US" w:eastAsia="zh-CN"/>
        </w:rPr>
        <w:t>17</w:t>
      </w:r>
      <w:r>
        <w:rPr>
          <w:rFonts w:hint="eastAsia" w:ascii="宋体" w:hAnsi="宋体" w:eastAsia="宋体" w:cs="宋体"/>
          <w:kern w:val="0"/>
          <w:sz w:val="24"/>
          <w:szCs w:val="24"/>
          <w:highlight w:val="none"/>
        </w:rPr>
        <w:t>日</w:t>
      </w:r>
      <w:r>
        <w:rPr>
          <w:rFonts w:hint="eastAsia" w:ascii="宋体" w:hAnsi="宋体" w:cs="宋体"/>
          <w:kern w:val="0"/>
          <w:sz w:val="24"/>
          <w:szCs w:val="24"/>
          <w:highlight w:val="none"/>
          <w:lang w:val="en-US" w:eastAsia="zh-CN"/>
        </w:rPr>
        <w:t>10</w:t>
      </w:r>
      <w:r>
        <w:rPr>
          <w:rFonts w:hint="eastAsia" w:ascii="宋体" w:hAnsi="宋体" w:eastAsia="宋体" w:cs="宋体"/>
          <w:kern w:val="0"/>
          <w:sz w:val="24"/>
          <w:szCs w:val="24"/>
          <w:highlight w:val="none"/>
        </w:rPr>
        <w:t>时</w:t>
      </w:r>
      <w:r>
        <w:rPr>
          <w:rFonts w:hint="eastAsia" w:ascii="宋体" w:hAnsi="宋体" w:cs="宋体"/>
          <w:kern w:val="0"/>
          <w:sz w:val="24"/>
          <w:szCs w:val="24"/>
          <w:highlight w:val="none"/>
          <w:lang w:val="en-US" w:eastAsia="zh-CN"/>
        </w:rPr>
        <w:t>00</w:t>
      </w:r>
      <w:r>
        <w:rPr>
          <w:rFonts w:hint="eastAsia" w:ascii="宋体" w:hAnsi="宋体" w:eastAsia="宋体" w:cs="宋体"/>
          <w:kern w:val="0"/>
          <w:sz w:val="24"/>
          <w:szCs w:val="24"/>
          <w:highlight w:val="none"/>
          <w:lang w:val="en-US" w:eastAsia="zh-CN"/>
        </w:rPr>
        <w:t>分</w:t>
      </w:r>
      <w:r>
        <w:rPr>
          <w:rFonts w:hint="eastAsia" w:ascii="宋体" w:hAnsi="宋体" w:eastAsia="宋体" w:cs="宋体"/>
          <w:kern w:val="0"/>
          <w:sz w:val="24"/>
          <w:szCs w:val="24"/>
          <w:highlight w:val="none"/>
        </w:rPr>
        <w:t>整在</w:t>
      </w:r>
      <w:r>
        <w:rPr>
          <w:rFonts w:hint="eastAsia" w:ascii="宋体" w:hAnsi="宋体" w:eastAsia="宋体" w:cs="宋体"/>
          <w:color w:val="000000"/>
          <w:kern w:val="0"/>
          <w:sz w:val="24"/>
          <w:szCs w:val="24"/>
          <w:highlight w:val="none"/>
          <w:u w:val="single"/>
          <w:lang w:eastAsia="zh-CN"/>
        </w:rPr>
        <w:t>三门经济开发区管理委员会会议室（</w:t>
      </w:r>
      <w:r>
        <w:rPr>
          <w:rFonts w:hint="eastAsia" w:ascii="宋体" w:hAnsi="宋体" w:eastAsia="宋体" w:cs="宋体"/>
          <w:color w:val="000000"/>
          <w:kern w:val="0"/>
          <w:sz w:val="24"/>
          <w:szCs w:val="24"/>
          <w:highlight w:val="none"/>
          <w:u w:val="single"/>
          <w:lang w:val="en-US" w:eastAsia="zh-CN"/>
        </w:rPr>
        <w:t>1</w:t>
      </w:r>
      <w:r>
        <w:rPr>
          <w:rFonts w:hint="eastAsia" w:ascii="宋体" w:hAnsi="宋体" w:eastAsia="宋体" w:cs="宋体"/>
          <w:color w:val="000000"/>
          <w:kern w:val="0"/>
          <w:sz w:val="24"/>
          <w:szCs w:val="24"/>
          <w:highlight w:val="none"/>
          <w:u w:val="single"/>
          <w:lang w:eastAsia="zh-CN"/>
        </w:rPr>
        <w:t>楼</w:t>
      </w:r>
      <w:r>
        <w:rPr>
          <w:rFonts w:hint="eastAsia" w:ascii="宋体" w:hAnsi="宋体" w:cs="宋体"/>
          <w:color w:val="000000"/>
          <w:kern w:val="0"/>
          <w:sz w:val="24"/>
          <w:szCs w:val="24"/>
          <w:highlight w:val="none"/>
          <w:u w:val="single"/>
          <w:lang w:eastAsia="zh-CN"/>
        </w:rPr>
        <w:t>西</w:t>
      </w:r>
      <w:r>
        <w:rPr>
          <w:rFonts w:hint="eastAsia" w:ascii="宋体" w:hAnsi="宋体" w:eastAsia="宋体" w:cs="宋体"/>
          <w:color w:val="000000"/>
          <w:kern w:val="0"/>
          <w:sz w:val="24"/>
          <w:szCs w:val="24"/>
          <w:highlight w:val="none"/>
          <w:u w:val="single"/>
          <w:lang w:eastAsia="zh-CN"/>
        </w:rPr>
        <w:t>会议室）</w:t>
      </w:r>
      <w:r>
        <w:rPr>
          <w:rFonts w:hint="eastAsia" w:ascii="宋体" w:hAnsi="宋体" w:eastAsia="宋体" w:cs="宋体"/>
          <w:kern w:val="0"/>
          <w:sz w:val="24"/>
          <w:szCs w:val="24"/>
          <w:highlight w:val="none"/>
        </w:rPr>
        <w:t>进行，请在谈判截止时间前将谈判响应文件送达谈判地点，逾期或不符合规定的谈判响应文件恕不接受。</w:t>
      </w:r>
    </w:p>
    <w:p>
      <w:pPr>
        <w:pStyle w:val="3"/>
        <w:pageBreakBefore w:val="0"/>
        <w:widowControl w:val="0"/>
        <w:kinsoku/>
        <w:wordWrap/>
        <w:overflowPunct/>
        <w:topLinePunct w:val="0"/>
        <w:bidi w:val="0"/>
        <w:adjustRightInd w:val="0"/>
        <w:snapToGrid w:val="0"/>
        <w:spacing w:before="0" w:after="0"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六、相关注意事项</w:t>
      </w:r>
    </w:p>
    <w:p>
      <w:pPr>
        <w:pageBreakBefore w:val="0"/>
        <w:widowControl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认为采购文件使自己的权益受到损害的，可以自收到采购文件之日（获取/发售截止日之后收到采购文件的，以获取/发售截止日为准）起至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pStyle w:val="3"/>
        <w:pageBreakBefore w:val="0"/>
        <w:widowControl w:val="0"/>
        <w:kinsoku/>
        <w:wordWrap/>
        <w:overflowPunct/>
        <w:topLinePunct w:val="0"/>
        <w:bidi w:val="0"/>
        <w:adjustRightInd w:val="0"/>
        <w:snapToGrid w:val="0"/>
        <w:spacing w:before="0" w:after="0"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七、联系方式</w:t>
      </w:r>
    </w:p>
    <w:p>
      <w:pPr>
        <w:pageBreakBefore w:val="0"/>
        <w:widowControl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采购人名称：</w:t>
      </w:r>
      <w:r>
        <w:rPr>
          <w:rFonts w:hint="eastAsia" w:ascii="宋体" w:hAnsi="宋体" w:eastAsia="宋体" w:cs="宋体"/>
          <w:kern w:val="0"/>
          <w:sz w:val="24"/>
          <w:szCs w:val="24"/>
          <w:highlight w:val="none"/>
          <w:lang w:eastAsia="zh-CN"/>
        </w:rPr>
        <w:t>三门经济开发区管理委员会</w:t>
      </w:r>
    </w:p>
    <w:p>
      <w:pPr>
        <w:pageBreakBefore w:val="0"/>
        <w:widowControl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联系人：严倩</w:t>
      </w:r>
      <w:r>
        <w:rPr>
          <w:rFonts w:hint="eastAsia" w:ascii="宋体" w:hAnsi="宋体" w:eastAsia="宋体" w:cs="宋体"/>
          <w:kern w:val="0"/>
          <w:sz w:val="24"/>
          <w:szCs w:val="24"/>
          <w:highlight w:val="none"/>
          <w:lang w:val="en-US" w:eastAsia="zh-CN"/>
        </w:rPr>
        <w:t xml:space="preserve">   </w:t>
      </w:r>
    </w:p>
    <w:p>
      <w:pPr>
        <w:pageBreakBefore w:val="0"/>
        <w:widowControl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联系电话：</w:t>
      </w:r>
      <w:r>
        <w:rPr>
          <w:rFonts w:hint="eastAsia" w:ascii="宋体" w:hAnsi="宋体" w:eastAsia="宋体" w:cs="宋体"/>
          <w:kern w:val="0"/>
          <w:sz w:val="24"/>
          <w:szCs w:val="24"/>
          <w:highlight w:val="none"/>
          <w:lang w:val="en-US" w:eastAsia="zh-CN"/>
        </w:rPr>
        <w:t>13968523155</w:t>
      </w:r>
    </w:p>
    <w:p>
      <w:pPr>
        <w:pageBreakBefore w:val="0"/>
        <w:widowControl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kern w:val="0"/>
          <w:sz w:val="24"/>
          <w:szCs w:val="24"/>
          <w:highlight w:val="none"/>
        </w:rPr>
      </w:pPr>
    </w:p>
    <w:p>
      <w:pPr>
        <w:pageBreakBefore w:val="0"/>
        <w:widowControl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代理机构名称：浙江科胜工程管理有限公司</w:t>
      </w:r>
    </w:p>
    <w:p>
      <w:pPr>
        <w:pageBreakBefore w:val="0"/>
        <w:widowControl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联系人：</w:t>
      </w:r>
      <w:r>
        <w:rPr>
          <w:rFonts w:hint="eastAsia" w:ascii="宋体" w:hAnsi="宋体" w:eastAsia="宋体" w:cs="宋体"/>
          <w:kern w:val="0"/>
          <w:sz w:val="24"/>
          <w:szCs w:val="24"/>
          <w:highlight w:val="none"/>
          <w:lang w:eastAsia="zh-CN"/>
        </w:rPr>
        <w:t>吴越</w:t>
      </w:r>
      <w:r>
        <w:rPr>
          <w:rFonts w:hint="eastAsia" w:ascii="宋体" w:hAnsi="宋体" w:eastAsia="宋体" w:cs="宋体"/>
          <w:kern w:val="0"/>
          <w:sz w:val="24"/>
          <w:szCs w:val="24"/>
          <w:highlight w:val="none"/>
          <w:lang w:val="en-US" w:eastAsia="zh-CN"/>
        </w:rPr>
        <w:t xml:space="preserve">   </w:t>
      </w:r>
    </w:p>
    <w:p>
      <w:pPr>
        <w:pageBreakBefore w:val="0"/>
        <w:widowControl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联系电话：</w:t>
      </w:r>
      <w:r>
        <w:rPr>
          <w:rFonts w:hint="eastAsia" w:ascii="宋体" w:hAnsi="宋体" w:eastAsia="宋体" w:cs="宋体"/>
          <w:kern w:val="0"/>
          <w:sz w:val="24"/>
          <w:szCs w:val="24"/>
          <w:highlight w:val="none"/>
          <w:lang w:val="en-US" w:eastAsia="zh-CN"/>
        </w:rPr>
        <w:t>13586269771</w:t>
      </w:r>
    </w:p>
    <w:p>
      <w:pPr>
        <w:spacing w:line="360" w:lineRule="auto"/>
        <w:ind w:firstLine="480" w:firstLineChars="200"/>
        <w:jc w:val="center"/>
        <w:rPr>
          <w:rFonts w:hint="eastAsia" w:ascii="宋体" w:hAnsi="宋体" w:eastAsia="宋体" w:cs="宋体"/>
          <w:kern w:val="0"/>
          <w:sz w:val="24"/>
          <w:szCs w:val="24"/>
          <w:highlight w:val="none"/>
        </w:rPr>
      </w:pPr>
    </w:p>
    <w:p>
      <w:pPr>
        <w:spacing w:line="360" w:lineRule="auto"/>
        <w:ind w:firstLine="480" w:firstLineChars="200"/>
        <w:jc w:val="righ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三门经济开发区管理委员会</w:t>
      </w:r>
    </w:p>
    <w:p>
      <w:pPr>
        <w:spacing w:line="360" w:lineRule="auto"/>
        <w:ind w:firstLine="480" w:firstLineChars="200"/>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浙江科胜工程管理有限公司</w:t>
      </w:r>
    </w:p>
    <w:p>
      <w:pPr>
        <w:spacing w:line="360" w:lineRule="auto"/>
        <w:ind w:firstLine="480" w:firstLineChars="200"/>
        <w:jc w:val="right"/>
        <w:rPr>
          <w:rFonts w:hint="eastAsia" w:ascii="宋体" w:hAnsi="宋体" w:eastAsia="宋体" w:cs="宋体"/>
          <w:sz w:val="24"/>
        </w:rPr>
      </w:pPr>
      <w:r>
        <w:rPr>
          <w:rFonts w:hint="eastAsia" w:ascii="宋体" w:hAnsi="宋体" w:eastAsia="宋体" w:cs="宋体"/>
          <w:sz w:val="24"/>
          <w:szCs w:val="24"/>
          <w:highlight w:val="none"/>
        </w:rPr>
        <w:t>2022年</w:t>
      </w:r>
      <w:r>
        <w:rPr>
          <w:rFonts w:hint="eastAsia" w:ascii="宋体" w:hAnsi="宋体" w:cs="宋体"/>
          <w:sz w:val="24"/>
          <w:szCs w:val="24"/>
          <w:highlight w:val="none"/>
          <w:lang w:val="en-US" w:eastAsia="zh-CN"/>
        </w:rPr>
        <w:t>6</w:t>
      </w:r>
      <w:r>
        <w:rPr>
          <w:rFonts w:hint="eastAsia" w:ascii="宋体" w:hAnsi="宋体" w:eastAsia="宋体" w:cs="宋体"/>
          <w:kern w:val="0"/>
          <w:sz w:val="24"/>
          <w:szCs w:val="24"/>
          <w:highlight w:val="none"/>
        </w:rPr>
        <w:t>月</w:t>
      </w:r>
      <w:r>
        <w:rPr>
          <w:rFonts w:hint="eastAsia" w:ascii="宋体" w:hAnsi="宋体" w:cs="宋体"/>
          <w:kern w:val="0"/>
          <w:sz w:val="24"/>
          <w:szCs w:val="24"/>
          <w:highlight w:val="none"/>
          <w:lang w:val="en-US" w:eastAsia="zh-CN"/>
        </w:rPr>
        <w:t>13</w:t>
      </w:r>
      <w:r>
        <w:rPr>
          <w:rFonts w:hint="eastAsia" w:ascii="宋体" w:hAnsi="宋体" w:eastAsia="宋体" w:cs="宋体"/>
          <w:kern w:val="0"/>
          <w:sz w:val="24"/>
          <w:szCs w:val="24"/>
          <w:highlight w:val="none"/>
        </w:rPr>
        <w:t>日</w:t>
      </w:r>
      <w:r>
        <w:rPr>
          <w:rFonts w:hint="eastAsia" w:ascii="宋体" w:hAnsi="宋体" w:eastAsia="宋体" w:cs="宋体"/>
          <w:sz w:val="24"/>
        </w:rPr>
        <w:br w:type="page"/>
      </w:r>
    </w:p>
    <w:p>
      <w:pPr>
        <w:pStyle w:val="18"/>
        <w:rPr>
          <w:rFonts w:hint="eastAsia" w:ascii="宋体" w:hAnsi="宋体" w:eastAsia="宋体" w:cs="宋体"/>
          <w:b w:val="0"/>
          <w:sz w:val="36"/>
          <w:szCs w:val="36"/>
        </w:rPr>
      </w:pPr>
      <w:r>
        <w:rPr>
          <w:rFonts w:hint="eastAsia" w:ascii="宋体" w:hAnsi="宋体" w:eastAsia="宋体" w:cs="宋体"/>
        </w:rPr>
        <w:t>第二章 供应商须知</w:t>
      </w:r>
    </w:p>
    <w:p>
      <w:pPr>
        <w:spacing w:line="360" w:lineRule="auto"/>
        <w:jc w:val="center"/>
        <w:rPr>
          <w:rFonts w:hint="eastAsia" w:ascii="宋体" w:hAnsi="宋体" w:eastAsia="宋体" w:cs="宋体"/>
          <w:b/>
          <w:sz w:val="24"/>
        </w:rPr>
      </w:pPr>
      <w:r>
        <w:rPr>
          <w:rFonts w:hint="eastAsia" w:ascii="宋体" w:hAnsi="宋体" w:eastAsia="宋体" w:cs="宋体"/>
          <w:b/>
          <w:sz w:val="24"/>
        </w:rPr>
        <w:t>前附表</w:t>
      </w:r>
    </w:p>
    <w:tbl>
      <w:tblPr>
        <w:tblStyle w:val="20"/>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45"/>
        <w:gridCol w:w="5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项    目</w:t>
            </w:r>
          </w:p>
        </w:tc>
        <w:tc>
          <w:tcPr>
            <w:tcW w:w="55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4"/>
              </w:rPr>
            </w:pPr>
            <w:r>
              <w:rPr>
                <w:rFonts w:hint="eastAsia" w:ascii="宋体" w:hAnsi="宋体" w:eastAsia="宋体" w:cs="宋体"/>
                <w:sz w:val="24"/>
              </w:rPr>
              <w:t>供应商特定资格要求</w:t>
            </w:r>
          </w:p>
        </w:tc>
        <w:tc>
          <w:tcPr>
            <w:tcW w:w="55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符合谈判公告资格要求的供应商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4"/>
              </w:rPr>
            </w:pPr>
            <w:r>
              <w:rPr>
                <w:rFonts w:hint="eastAsia" w:ascii="宋体" w:hAnsi="宋体" w:eastAsia="宋体" w:cs="宋体"/>
                <w:kern w:val="0"/>
                <w:sz w:val="24"/>
              </w:rPr>
              <w:t>答疑会或</w:t>
            </w:r>
            <w:r>
              <w:rPr>
                <w:rFonts w:hint="eastAsia" w:ascii="宋体" w:hAnsi="宋体" w:eastAsia="宋体" w:cs="宋体"/>
                <w:sz w:val="24"/>
              </w:rPr>
              <w:t>现场踏勘</w:t>
            </w:r>
          </w:p>
        </w:tc>
        <w:tc>
          <w:tcPr>
            <w:tcW w:w="5550"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hint="eastAsia" w:ascii="宋体" w:hAnsi="宋体" w:eastAsia="宋体" w:cs="宋体"/>
                <w:sz w:val="24"/>
              </w:rPr>
            </w:pPr>
            <w:r>
              <w:rPr>
                <w:rFonts w:hint="eastAsia" w:ascii="宋体" w:hAnsi="宋体" w:eastAsia="宋体" w:cs="宋体"/>
                <w:sz w:val="24"/>
              </w:rPr>
              <w:t>答疑会，不组织。</w:t>
            </w:r>
          </w:p>
          <w:p>
            <w:pPr>
              <w:pStyle w:val="8"/>
              <w:spacing w:line="360" w:lineRule="auto"/>
              <w:rPr>
                <w:rFonts w:hint="eastAsia" w:ascii="宋体" w:hAnsi="宋体" w:eastAsia="宋体" w:cs="宋体"/>
                <w:sz w:val="24"/>
              </w:rPr>
            </w:pPr>
            <w:r>
              <w:rPr>
                <w:rFonts w:hint="eastAsia" w:ascii="宋体" w:hAnsi="宋体" w:eastAsia="宋体" w:cs="宋体"/>
                <w:sz w:val="24"/>
              </w:rPr>
              <w:t>踏勘，由投标人自行踏勘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4"/>
              </w:rPr>
            </w:pPr>
            <w:r>
              <w:rPr>
                <w:rFonts w:hint="eastAsia" w:ascii="宋体" w:hAnsi="宋体" w:eastAsia="宋体" w:cs="宋体"/>
                <w:sz w:val="24"/>
              </w:rPr>
              <w:t>谈判响应文件密封包装要求</w:t>
            </w:r>
          </w:p>
        </w:tc>
        <w:tc>
          <w:tcPr>
            <w:tcW w:w="55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份数：正本1份、副本3份；</w:t>
            </w:r>
          </w:p>
          <w:p>
            <w:pPr>
              <w:spacing w:line="360" w:lineRule="auto"/>
              <w:rPr>
                <w:rFonts w:hint="eastAsia" w:ascii="宋体" w:hAnsi="宋体" w:eastAsia="宋体" w:cs="宋体"/>
                <w:sz w:val="24"/>
              </w:rPr>
            </w:pPr>
            <w:r>
              <w:rPr>
                <w:rFonts w:hint="eastAsia" w:ascii="宋体" w:hAnsi="宋体" w:eastAsia="宋体" w:cs="宋体"/>
                <w:b/>
                <w:kern w:val="0"/>
                <w:sz w:val="24"/>
              </w:rPr>
              <w:t>资信与技术文件装在一个封袋；报价文件一个封袋；</w:t>
            </w:r>
            <w:r>
              <w:rPr>
                <w:rFonts w:hint="eastAsia" w:ascii="宋体" w:hAnsi="宋体" w:eastAsia="宋体" w:cs="宋体"/>
                <w:sz w:val="24"/>
              </w:rPr>
              <w:t>正副本一起密封包装。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4"/>
              </w:rPr>
            </w:pPr>
            <w:r>
              <w:rPr>
                <w:rFonts w:hint="eastAsia" w:ascii="宋体" w:hAnsi="宋体" w:eastAsia="宋体" w:cs="宋体"/>
                <w:sz w:val="24"/>
              </w:rPr>
              <w:t>响应有效期</w:t>
            </w:r>
          </w:p>
        </w:tc>
        <w:tc>
          <w:tcPr>
            <w:tcW w:w="55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谈判响应有效期为谈判后90天，</w:t>
            </w:r>
            <w:r>
              <w:rPr>
                <w:rFonts w:hint="eastAsia" w:ascii="宋体" w:hAnsi="宋体" w:eastAsia="宋体" w:cs="宋体"/>
                <w:kern w:val="0"/>
                <w:sz w:val="24"/>
              </w:rPr>
              <w:t>谈判响应有效期从提交谈判响应文件的截止之日起算。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4"/>
              </w:rPr>
            </w:pPr>
            <w:r>
              <w:rPr>
                <w:rFonts w:hint="eastAsia" w:ascii="宋体" w:hAnsi="宋体" w:eastAsia="宋体" w:cs="宋体"/>
                <w:sz w:val="24"/>
              </w:rPr>
              <w:t>谈判响应文件递交</w:t>
            </w:r>
          </w:p>
        </w:tc>
        <w:tc>
          <w:tcPr>
            <w:tcW w:w="55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截止时间：北京时间2022年</w:t>
            </w:r>
            <w:r>
              <w:rPr>
                <w:rFonts w:hint="eastAsia" w:ascii="宋体" w:hAnsi="宋体" w:cs="宋体"/>
                <w:sz w:val="24"/>
                <w:highlight w:val="none"/>
                <w:lang w:val="en-US" w:eastAsia="zh-CN"/>
              </w:rPr>
              <w:t>6</w:t>
            </w:r>
            <w:r>
              <w:rPr>
                <w:rFonts w:hint="eastAsia" w:ascii="宋体" w:hAnsi="宋体" w:eastAsia="宋体" w:cs="宋体"/>
                <w:sz w:val="24"/>
                <w:highlight w:val="none"/>
              </w:rPr>
              <w:t>月</w:t>
            </w:r>
            <w:r>
              <w:rPr>
                <w:rFonts w:hint="eastAsia" w:ascii="宋体" w:hAnsi="宋体" w:cs="宋体"/>
                <w:sz w:val="24"/>
                <w:highlight w:val="none"/>
                <w:lang w:val="en-US" w:eastAsia="zh-CN"/>
              </w:rPr>
              <w:t>17</w:t>
            </w:r>
            <w:r>
              <w:rPr>
                <w:rFonts w:hint="eastAsia" w:ascii="宋体" w:hAnsi="宋体" w:eastAsia="宋体" w:cs="宋体"/>
                <w:sz w:val="24"/>
                <w:highlight w:val="none"/>
              </w:rPr>
              <w:t>日</w:t>
            </w:r>
            <w:r>
              <w:rPr>
                <w:rFonts w:hint="eastAsia" w:ascii="宋体" w:hAnsi="宋体" w:cs="宋体"/>
                <w:sz w:val="24"/>
                <w:highlight w:val="none"/>
                <w:lang w:val="en-US" w:eastAsia="zh-CN"/>
              </w:rPr>
              <w:t>10</w:t>
            </w:r>
            <w:r>
              <w:rPr>
                <w:rFonts w:hint="eastAsia" w:ascii="宋体" w:hAnsi="宋体" w:eastAsia="宋体" w:cs="宋体"/>
                <w:sz w:val="24"/>
                <w:highlight w:val="none"/>
                <w:lang w:eastAsia="zh-CN"/>
              </w:rPr>
              <w:t>时</w:t>
            </w:r>
            <w:r>
              <w:rPr>
                <w:rFonts w:hint="eastAsia" w:ascii="宋体" w:hAnsi="宋体" w:cs="宋体"/>
                <w:sz w:val="24"/>
                <w:highlight w:val="none"/>
                <w:lang w:val="en-US" w:eastAsia="zh-CN"/>
              </w:rPr>
              <w:t>00</w:t>
            </w:r>
            <w:r>
              <w:rPr>
                <w:rFonts w:hint="eastAsia" w:ascii="宋体" w:hAnsi="宋体" w:eastAsia="宋体" w:cs="宋体"/>
                <w:sz w:val="24"/>
                <w:highlight w:val="none"/>
                <w:lang w:eastAsia="zh-CN"/>
              </w:rPr>
              <w:t>分</w:t>
            </w:r>
          </w:p>
          <w:p>
            <w:pPr>
              <w:spacing w:line="360" w:lineRule="auto"/>
              <w:rPr>
                <w:rFonts w:hint="eastAsia" w:ascii="宋体" w:hAnsi="宋体" w:eastAsia="宋体" w:cs="宋体"/>
                <w:sz w:val="24"/>
                <w:lang w:eastAsia="zh-CN"/>
              </w:rPr>
            </w:pPr>
            <w:r>
              <w:rPr>
                <w:rFonts w:hint="eastAsia" w:ascii="宋体" w:hAnsi="宋体" w:eastAsia="宋体" w:cs="宋体"/>
                <w:sz w:val="24"/>
                <w:highlight w:val="none"/>
              </w:rPr>
              <w:t>递交地点：</w:t>
            </w:r>
            <w:r>
              <w:rPr>
                <w:rFonts w:hint="eastAsia" w:ascii="宋体" w:hAnsi="宋体" w:eastAsia="宋体" w:cs="宋体"/>
                <w:sz w:val="24"/>
                <w:highlight w:val="none"/>
                <w:lang w:eastAsia="zh-CN"/>
              </w:rPr>
              <w:t>三门经济开发区管理委员会会议室（1楼</w:t>
            </w:r>
            <w:r>
              <w:rPr>
                <w:rFonts w:hint="eastAsia" w:ascii="宋体" w:hAnsi="宋体" w:cs="宋体"/>
                <w:sz w:val="24"/>
                <w:highlight w:val="none"/>
                <w:lang w:eastAsia="zh-CN"/>
              </w:rPr>
              <w:t>西</w:t>
            </w:r>
            <w:r>
              <w:rPr>
                <w:rFonts w:hint="eastAsia" w:ascii="宋体" w:hAnsi="宋体" w:eastAsia="宋体" w:cs="宋体"/>
                <w:sz w:val="24"/>
                <w:highlight w:val="none"/>
                <w:lang w:eastAsia="zh-CN"/>
              </w:rPr>
              <w:t>会议室）</w:t>
            </w:r>
            <w:r>
              <w:rPr>
                <w:rFonts w:hint="eastAsia" w:ascii="宋体" w:hAnsi="宋体" w:eastAsia="宋体" w:cs="宋体"/>
                <w:sz w:val="24"/>
                <w:highlight w:val="none"/>
              </w:rPr>
              <w:t>，逾期送达的谈判响应文件恕不接受</w:t>
            </w:r>
            <w:r>
              <w:rPr>
                <w:rFonts w:hint="eastAsia" w:ascii="宋体" w:hAnsi="宋体" w:cs="宋体"/>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6</w:t>
            </w:r>
          </w:p>
        </w:tc>
        <w:tc>
          <w:tcPr>
            <w:tcW w:w="1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4"/>
              </w:rPr>
            </w:pPr>
            <w:r>
              <w:rPr>
                <w:rFonts w:hint="eastAsia" w:ascii="宋体" w:hAnsi="宋体" w:eastAsia="宋体" w:cs="宋体"/>
                <w:sz w:val="24"/>
              </w:rPr>
              <w:t>开标时间及地点</w:t>
            </w:r>
          </w:p>
        </w:tc>
        <w:tc>
          <w:tcPr>
            <w:tcW w:w="55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同谈判响应文件递交时间和地点。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7</w:t>
            </w:r>
          </w:p>
        </w:tc>
        <w:tc>
          <w:tcPr>
            <w:tcW w:w="1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sz w:val="24"/>
                <w:lang w:val="zh-CN"/>
              </w:rPr>
            </w:pPr>
            <w:r>
              <w:rPr>
                <w:rFonts w:hint="eastAsia" w:ascii="宋体" w:hAnsi="宋体" w:eastAsia="宋体" w:cs="宋体"/>
                <w:sz w:val="24"/>
                <w:lang w:val="zh-CN"/>
              </w:rPr>
              <w:t>实质性条款</w:t>
            </w:r>
          </w:p>
        </w:tc>
        <w:tc>
          <w:tcPr>
            <w:tcW w:w="55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 w:hanging="10"/>
              <w:jc w:val="left"/>
              <w:rPr>
                <w:rFonts w:hint="eastAsia" w:ascii="宋体" w:hAnsi="宋体" w:eastAsia="宋体" w:cs="宋体"/>
                <w:kern w:val="0"/>
                <w:sz w:val="24"/>
                <w:lang w:val="zh-CN"/>
              </w:rPr>
            </w:pPr>
            <w:r>
              <w:rPr>
                <w:rFonts w:hint="eastAsia" w:ascii="宋体" w:hAnsi="宋体" w:eastAsia="宋体" w:cs="宋体"/>
                <w:kern w:val="0"/>
                <w:sz w:val="24"/>
                <w:lang w:val="zh-CN"/>
              </w:rPr>
              <w:t>带“</w:t>
            </w:r>
            <w:r>
              <w:rPr>
                <w:rFonts w:hint="eastAsia" w:ascii="宋体" w:hAnsi="宋体" w:eastAsia="宋体" w:cs="宋体"/>
                <w:bCs/>
                <w:sz w:val="24"/>
              </w:rPr>
              <w:t>▲”的条款是实质性条款，谈判响应文件须作出实质性响应，否则作无效响应处理。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8</w:t>
            </w:r>
          </w:p>
        </w:tc>
        <w:tc>
          <w:tcPr>
            <w:tcW w:w="1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sz w:val="24"/>
              </w:rPr>
            </w:pPr>
            <w:r>
              <w:rPr>
                <w:rFonts w:hint="eastAsia" w:ascii="宋体" w:hAnsi="宋体" w:eastAsia="宋体" w:cs="宋体"/>
                <w:sz w:val="24"/>
              </w:rPr>
              <w:t>解释权</w:t>
            </w:r>
          </w:p>
        </w:tc>
        <w:tc>
          <w:tcPr>
            <w:tcW w:w="55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rPr>
              <w:t>本磋商文件解释权属于采购人和采购代理机构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9</w:t>
            </w:r>
          </w:p>
        </w:tc>
        <w:tc>
          <w:tcPr>
            <w:tcW w:w="1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sz w:val="24"/>
              </w:rPr>
            </w:pPr>
            <w:r>
              <w:rPr>
                <w:rFonts w:hint="eastAsia" w:ascii="宋体" w:hAnsi="宋体" w:eastAsia="宋体" w:cs="宋体"/>
                <w:sz w:val="24"/>
              </w:rPr>
              <w:t>评审结果公示</w:t>
            </w:r>
          </w:p>
        </w:tc>
        <w:tc>
          <w:tcPr>
            <w:tcW w:w="55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sz w:val="24"/>
              </w:rPr>
            </w:pPr>
            <w:r>
              <w:rPr>
                <w:rFonts w:hint="eastAsia" w:ascii="宋体" w:hAnsi="宋体" w:eastAsia="宋体" w:cs="宋体"/>
                <w:sz w:val="24"/>
              </w:rPr>
              <w:t>评审结束后，评审结果公示于“三门县公共资源交易中心网”（http://http://jyzx.sanmen.gov.cn）网上公示三天 ，最后一天工作日。</w:t>
            </w:r>
          </w:p>
        </w:tc>
      </w:tr>
    </w:tbl>
    <w:p>
      <w:pPr>
        <w:snapToGrid w:val="0"/>
        <w:spacing w:line="360" w:lineRule="auto"/>
        <w:rPr>
          <w:rFonts w:hint="eastAsia" w:ascii="宋体" w:hAnsi="宋体" w:eastAsia="宋体" w:cs="宋体"/>
          <w:b/>
          <w:sz w:val="24"/>
        </w:rPr>
      </w:pPr>
    </w:p>
    <w:p>
      <w:pPr>
        <w:rPr>
          <w:rFonts w:hint="eastAsia" w:ascii="宋体" w:hAnsi="宋体" w:eastAsia="宋体" w:cs="宋体"/>
          <w:b/>
          <w:sz w:val="24"/>
        </w:rPr>
      </w:pPr>
      <w:r>
        <w:rPr>
          <w:rFonts w:hint="eastAsia" w:ascii="宋体" w:hAnsi="宋体" w:eastAsia="宋体" w:cs="宋体"/>
          <w:b/>
          <w:sz w:val="24"/>
        </w:rPr>
        <w:br w:type="page"/>
      </w:r>
    </w:p>
    <w:p>
      <w:pPr>
        <w:pStyle w:val="3"/>
        <w:spacing w:before="0" w:after="0" w:line="360" w:lineRule="auto"/>
        <w:rPr>
          <w:rFonts w:hint="eastAsia" w:ascii="宋体" w:hAnsi="宋体" w:eastAsia="宋体" w:cs="宋体"/>
          <w:sz w:val="28"/>
        </w:rPr>
      </w:pPr>
      <w:r>
        <w:rPr>
          <w:rFonts w:hint="eastAsia" w:ascii="宋体" w:hAnsi="宋体" w:eastAsia="宋体" w:cs="宋体"/>
          <w:sz w:val="28"/>
        </w:rPr>
        <w:t>一 、总  则</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（一）适用范围</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本谈判文件适用于本次项目的谈判、评审、确定成交供应商、验收、合同履约、付款等行为（法律、法规另有规定的，从其规定）。</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（二）定义</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 “采购组织机构”指采购人委托组织磋商的集中采购机构或采购代理机构。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2.采购人：是指委托集中采购机构或采购代理机构采购本次项目的国家机关、事业单位和团体组织。</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3.谈判供应商：是指向采购组织机构提交谈判响应文件的单位或个人。</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4.货物：是指各种形态和种类的物品，包括原材料、燃料、设备、产品等。</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5.服务：是指除货物和工程以外的政府采购对象，包括各类专业服务、信息网络开发服务、金融保险服务、运输服务，以及维修与维护服务等。</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6. “书面形式”包括信函、传真等。</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7. “▲”系指实质性要求条款。</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（三）谈判费用</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不论谈判结果如何，供应商均应自行承担所有与谈判有关的全部费用（谈判文件有相关规定除外）。</w:t>
      </w:r>
    </w:p>
    <w:p>
      <w:pPr>
        <w:pStyle w:val="2"/>
        <w:ind w:firstLine="480" w:firstLineChars="200"/>
        <w:rPr>
          <w:rFonts w:hint="eastAsia" w:ascii="宋体" w:hAnsi="宋体" w:eastAsia="宋体" w:cs="宋体"/>
          <w:highlight w:val="none"/>
        </w:rPr>
      </w:pPr>
      <w:r>
        <w:rPr>
          <w:rFonts w:hint="eastAsia" w:ascii="宋体" w:hAnsi="宋体" w:eastAsia="宋体" w:cs="宋体"/>
          <w:color w:val="auto"/>
          <w:highlight w:val="none"/>
        </w:rPr>
        <w:t>招标代理费由中标人支付，共计人民币</w:t>
      </w:r>
      <w:r>
        <w:rPr>
          <w:rFonts w:hint="eastAsia" w:hAnsi="宋体" w:cs="宋体"/>
          <w:color w:val="auto"/>
          <w:highlight w:val="none"/>
          <w:lang w:val="en-US" w:eastAsia="zh-CN"/>
        </w:rPr>
        <w:t>37</w:t>
      </w:r>
      <w:r>
        <w:rPr>
          <w:rFonts w:hint="eastAsia" w:ascii="宋体" w:hAnsi="宋体" w:eastAsia="宋体" w:cs="宋体"/>
          <w:color w:val="auto"/>
          <w:highlight w:val="none"/>
          <w:lang w:val="en-US" w:eastAsia="zh-CN"/>
        </w:rPr>
        <w:t>00</w:t>
      </w:r>
      <w:r>
        <w:rPr>
          <w:rFonts w:hint="eastAsia" w:ascii="宋体" w:hAnsi="宋体" w:eastAsia="宋体" w:cs="宋体"/>
          <w:color w:val="auto"/>
          <w:highlight w:val="none"/>
        </w:rPr>
        <w:t>元。在领取中标通知书前一次性付清。</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（四）特别说明</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1.供应商谈判所使用的资格、信誉、荣誉、业绩与企业认证必须为本法人所拥有。供应商谈判所使用的采购项目实施人员必须为本法人员工（指必须为本法人或控股公司正式员工）。</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2.供应商所标产品除谈判文件中明确规定要求“提供官网截图或相应检测报告的证明材料”以外，所有技术参数描述均以谈判文件为准。</w:t>
      </w:r>
      <w:r>
        <w:rPr>
          <w:rFonts w:hint="eastAsia" w:ascii="宋体" w:hAnsi="宋体" w:eastAsia="宋体" w:cs="宋体"/>
          <w:b/>
          <w:kern w:val="0"/>
          <w:sz w:val="24"/>
        </w:rPr>
        <w:t>谈判供应商对所投产品技术参数的真实性承担法律责任。</w:t>
      </w:r>
      <w:r>
        <w:rPr>
          <w:rFonts w:hint="eastAsia" w:ascii="宋体" w:hAnsi="宋体" w:eastAsia="宋体" w:cs="宋体"/>
          <w:kern w:val="0"/>
          <w:sz w:val="24"/>
        </w:rPr>
        <w:t>项目谈判结束后、质疑期限内，如有质疑供应商认为成交供应商所投产品、谈判文件技术参数与谈判需求存在重大偏离、错误、甚至造假的情况，应提供具体有效的证明材料。</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供应商在谈判活动中提供任何虚假材料,其响应无效，并报监管部门查处；成交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4.供应商不得相互串通谈判报价，不得妨碍其他供应商的公平竞争，不得损害采购人或其他供应商的合法权益，供应商不得以向采购人、谈判小组成员行贿或者采取其他不正当手段谋取成交。</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5.为采购项目提供整体设计、规范编制或者项目管理、监理、检测等服务的供应商，不得再参加该采购项目的其他采购活动。</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6.谈判响应文件格式中的表格式样可以根据项目差别做适当调整,但应当保持表格样式基本形态不变。</w:t>
      </w:r>
    </w:p>
    <w:p>
      <w:pPr>
        <w:spacing w:line="360" w:lineRule="auto"/>
        <w:ind w:firstLine="480" w:firstLineChars="200"/>
        <w:rPr>
          <w:rFonts w:hint="eastAsia" w:ascii="宋体" w:hAnsi="宋体" w:eastAsia="宋体" w:cs="宋体"/>
        </w:rPr>
      </w:pPr>
      <w:r>
        <w:rPr>
          <w:rFonts w:hint="eastAsia" w:ascii="宋体" w:hAnsi="宋体" w:eastAsia="宋体" w:cs="宋体"/>
          <w:kern w:val="0"/>
          <w:sz w:val="24"/>
        </w:rPr>
        <w:t>7.与招标人存在利害关系可能影响招标公正性的法人、其他组织或者个人，不得参加投标；单位负责人为同一人或者存在控股、管理关系的不同单位，不得参加同一标段投标或者未划分标段的同一招标项目投标。</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8.本项目不允许分包。</w:t>
      </w:r>
    </w:p>
    <w:p>
      <w:pPr>
        <w:pStyle w:val="3"/>
        <w:spacing w:before="0" w:after="0" w:line="360" w:lineRule="auto"/>
        <w:rPr>
          <w:rFonts w:hint="eastAsia" w:ascii="宋体" w:hAnsi="宋体" w:eastAsia="宋体" w:cs="宋体"/>
          <w:sz w:val="28"/>
        </w:rPr>
      </w:pPr>
      <w:r>
        <w:rPr>
          <w:rFonts w:hint="eastAsia" w:ascii="宋体" w:hAnsi="宋体" w:eastAsia="宋体" w:cs="宋体"/>
          <w:sz w:val="28"/>
        </w:rPr>
        <w:t>二、谈判响应文件</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（一）谈判响应文件的组成</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供应商应仔细阅读谈判文件的所有内容，按谈判采购文件的要求，详细编制谈判响应文件。</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▲1.资信与技术文件内容的组成：</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（1）谈判声明书；</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（2）授权委托书（法定代表人亲自办理谈判响应事宜的，则无需提交)；</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（3）法人或者其他组织的营业执照等证明文件，自然人的身份证明；</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（4）相关资质证书；</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（5）供应商综合情况表（人员与技术力量、企业规模、业绩等）（附件4）；</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（6）总监理工程师和团队组成人员基本情况表(附件5）</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（7）类似项目业绩一览表（附件6）；</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（8）供应商认为需要提供的其他资料。</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2．报价内容的组成</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（1）报价内容由首次报价一览表以及供应商认为其他需要说明的内容组成。</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（2）此报价为供应商针对本项目报出的唯一的首次报价，包含其它一切所要涉及到的费用，有选择的报价将被拒绝。</w:t>
      </w:r>
    </w:p>
    <w:p>
      <w:pPr>
        <w:spacing w:line="360" w:lineRule="auto"/>
        <w:ind w:firstLine="480" w:firstLineChars="200"/>
        <w:rPr>
          <w:rFonts w:hint="eastAsia" w:ascii="宋体" w:hAnsi="宋体" w:eastAsia="宋体" w:cs="宋体"/>
          <w:kern w:val="0"/>
          <w:szCs w:val="21"/>
        </w:rPr>
      </w:pPr>
      <w:r>
        <w:rPr>
          <w:rFonts w:hint="eastAsia" w:ascii="宋体" w:hAnsi="宋体" w:eastAsia="宋体" w:cs="宋体"/>
          <w:kern w:val="0"/>
          <w:sz w:val="24"/>
        </w:rPr>
        <w:t>（3）总报价应当包含为完成本项目所涉及相关一切所有风险责任等各项费用及不可预见费等所需的全部费用。</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（4）政府采购优惠政策相关资料、产品适用政府采购政策情况表（如有）。</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（5）相关报价单需打印或用不退色的墨水填写， 谈判报价单不得涂改和增删，如有错漏必须修改，修改处须由同一签署人签字或盖章。由于字迹模糊或表达不清引起的后果由供应商负责。</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（6）报价有关表格应按谈判采购文件中相关附表格式填写。</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（二）谈判响应文件的制作、封装及递交要求</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kern w:val="0"/>
          <w:sz w:val="24"/>
        </w:rPr>
        <w:t>1．谈判响应文件的制作要求</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（1）谈判人应按照谈判文件组成内容及项目采购需求制作谈判响应文件，不按谈判采购文件要求制作谈判响应文件的将视情处理（拒收、扣分等），由此产生的责任由谈判人自行承担。</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（2）谈判人应对所提供的全部资料的真实性承担法律责任，谈判响应文件内容中有要求盖章或签字的地方必须加盖谈判人的公章以及法定代表人或全权代表的盖章或签字。</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（3）谈判响应文件以及谈判供应商与采购组织机构就有关谈判响应事宜的所有来往函电，均应以中文汉语书写。除签字、盖章、专用名称等特殊情形外，以中文汉语以外的文字表述的谈判响应文件视同未提供。</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（4）谈判计量单位，谈判文件已有明确规定的，使用谈判文件规定的计量单位；谈判文件没有规定的，应采用中华人民共和国法定计量单位（货币单位：人民币元）。</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（5）若供应商不按谈判文件的要求提供资格审查材料，其风险由供应商自行承担。</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（6）与本次谈判无关的内容请不要制作在内，确保谈判文件有针对性、简洁明了，同时节约纸张；谈判响应文件建议以A4纸大小双面打印并装订。</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2．谈判响应文件的封装要求</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（1）谈判响应文件份数：</w:t>
      </w:r>
      <w:r>
        <w:rPr>
          <w:rFonts w:hint="eastAsia" w:ascii="宋体" w:hAnsi="宋体" w:eastAsia="宋体" w:cs="宋体"/>
          <w:kern w:val="0"/>
          <w:sz w:val="24"/>
          <w:lang w:eastAsia="zh-CN"/>
        </w:rPr>
        <w:t>详见前附表</w:t>
      </w:r>
      <w:r>
        <w:rPr>
          <w:rFonts w:hint="eastAsia" w:ascii="宋体" w:hAnsi="宋体" w:eastAsia="宋体" w:cs="宋体"/>
          <w:kern w:val="0"/>
          <w:sz w:val="24"/>
        </w:rPr>
        <w:t>。谈判响应文件的正本封面必须注明“正本”字样，副本可以采用正本的复印件。如有不同标段，请按标段号分别装订，密封要求同上。</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所有谈判响应资料按谈判采购文件的组成所列内容及顺序装订成册，并逐页连续标注页码。因谈判响应文件内容不完整、编排混乱导致谈判响应文件被误读、漏读或者查找不到相关内容的责任由供应商自行承担。</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请在密封袋的封口处应有谈判单位公章或谈判全权代表签字。封皮上写明项目编号、标段、谈判响应项目名称、供应商名称，并注明“谈判响应文件名称”、“谈判时启封”字样，未按上述要求密封及加写标记，采购组织机构对谈判响应文件的误投和提前启封不负责任。</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（4）项目如分标段，各标段谈判响应文件必须分开编制，并按上述份数要求单独密封包装。</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（5）因密封不严、标记不明而造成失密、拒收、过早启封等情况，采购文件概不负责。</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3．谈判响应文件的递交要求</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（1）谈判响应文件必须在规定时间前派人送达指定的谈判地点。谈判响应文件在截止时间后提交，采购组织机构将将拒绝接收。</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（2）如有特殊情况，采购组织机构延长截止时间和谈判时间，采购组织机构和供应商的权利和义务将受到新的截止时间和谈判时间的约束。</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4．谈判响应文件的补充、修改和撤回</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（1）供应商如需对上交的谈判响应文件进行补充、修改或撤回的，必须在谈判响应截止时间以前将书面的修改文件或撤消通知送达采购组织机构。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（2）谈判修改文件必须密封，在密封袋上写明项目编号、标段、谈判项目名称、供应商名称、并注明“修改文件”、“谈判时启封”字样，其作为谈判响应文件的组成部份。</w:t>
      </w:r>
    </w:p>
    <w:p>
      <w:pPr>
        <w:pStyle w:val="3"/>
        <w:spacing w:before="0" w:after="0" w:line="360" w:lineRule="auto"/>
        <w:rPr>
          <w:rFonts w:hint="eastAsia" w:ascii="宋体" w:hAnsi="宋体" w:eastAsia="宋体" w:cs="宋体"/>
          <w:sz w:val="28"/>
        </w:rPr>
      </w:pPr>
      <w:r>
        <w:rPr>
          <w:rFonts w:hint="eastAsia" w:ascii="宋体" w:hAnsi="宋体" w:eastAsia="宋体" w:cs="宋体"/>
          <w:sz w:val="28"/>
        </w:rPr>
        <w:t>三、谈判响应文件的有效期</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1.自谈判响应截止日起90天谈判响应文件应保持有效。有效期不足的谈判响应文件将被拒绝。</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2.在特殊情况下，采购人可与供应商协商延长谈判响应文件的有效期，这种要求和答复均以书面形式进行。</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3.供应商可拒绝接受延期要求，但不能修改谈判响应文件。</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4.成交供应商的谈判响应文件自谈判之日起至合同履行完毕均应保持有效。</w:t>
      </w:r>
    </w:p>
    <w:p>
      <w:pPr>
        <w:pStyle w:val="3"/>
        <w:spacing w:before="0" w:after="0" w:line="360" w:lineRule="auto"/>
        <w:rPr>
          <w:rFonts w:hint="eastAsia" w:ascii="宋体" w:hAnsi="宋体" w:eastAsia="宋体" w:cs="宋体"/>
          <w:sz w:val="28"/>
        </w:rPr>
      </w:pPr>
      <w:r>
        <w:rPr>
          <w:rFonts w:hint="eastAsia" w:ascii="宋体" w:hAnsi="宋体" w:eastAsia="宋体" w:cs="宋体"/>
          <w:sz w:val="28"/>
        </w:rPr>
        <w:t>四、谈判</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 xml:space="preserve"> （一）谈判程序</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1.采购组织机构在“谈判公告”规定的时间和地点组织谈判，谈判采购会议由采购组织机构工作人员主持，所有供应商均应准时参加谈判采购会议。</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 采购组织机构工作人员应当核验出席谈判活动现场的各供应商代表及相关单位人员身份，并组织其分别登记、签到，无关人员可拒绝其进入现场。</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3.采购组织机构工作人员接收谈判响应文件并登记，并由供应商代表对递交记录情况进行签字确认。</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主持人宣布谈判采购会议开始，介绍谈判现场的人员情况，宣读提交谈判响应文件的供应商名单、谈判纪律、应当回避的情形等注意事项，组织供应商签署不存在影响公平竞争的《政府采购活动现场确认声明书》。</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5.对所递交投标文件邀请供应商代表查验谈判响应文件密封情况。</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6、主持人按供应商签到的先后顺序当场拆封谈判响应文件，并送至评审室。</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7.谈判小组对符合资格的供应商的谈判响应文件进行符合性审查，以确定其是否满足谈判文件的实质性要求。</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8.谈判小组对响应文件进行评审，并根据谈判文件规定的程序、评定成交的标准等事项与实质性响应谈判文件要求的供应商进行谈判。未实质性响应谈判文件的响应文件按无效处理。</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9.谈判小组所有成员集中与单一供应商分别进行谈判。所有参加谈判的供应商共有2轮谈判机会。供应商应由法人代表或法人代表授权的人进行。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10.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11.谈判结束后，谈判小组将要求所有继续参加谈判的供应商在规定时间内提交最后报价，超过规定时间提交的报价作无效处理。</w:t>
      </w:r>
      <w:r>
        <w:rPr>
          <w:rFonts w:hint="eastAsia" w:ascii="宋体" w:hAnsi="宋体" w:eastAsia="宋体" w:cs="宋体"/>
          <w:b/>
          <w:bCs/>
          <w:kern w:val="0"/>
          <w:sz w:val="24"/>
        </w:rPr>
        <w:t>最终报价不能超过首次报价。</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12.谈判小组编写评审报告（评审报告应按相关规定及时向财政部门申请备案）。</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13.采购组织机构对谈判小组专家成员进行评价。</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14.宣布谈判结果，谈判采购会议结束。</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（二）澄清问题的形式</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谈判人的澄清、说明或者补正应当采用书面形式，并加盖公章，或者由法定代理人或其授权的代表签字，并不得超出谈判响应文件的范围或者改变谈判响应文件的实质性内容。</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（三）错误修正</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谈判响应文件报价出现前后不一致的，除谈判采购文件另有规定外，按照下列规定修正：</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1.谈判响应文件中首次报价一览表内容与谈判响应文件中相应内容不一致的，以首次报价一览表为准；</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2.大写金额和小写金额不一致的，以大写金额为准；</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3.单价金额小数点或者百分比有明显错位的，以首次报价一览表的总价为准，并修改单价；</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4.总价金额与按单价汇总金额不一致的，以单价金额计算结果为准。</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同时出现两种以上不一致的，按照前款规定的顺序修正。修正应当采用书面形式，并加盖公章，或者由法定代表人或其授权的代表签字。修正后的报价经谈判人确认后产生约束力，谈判人不确认的，将终止谈判。</w:t>
      </w:r>
    </w:p>
    <w:p>
      <w:pPr>
        <w:spacing w:line="360" w:lineRule="auto"/>
        <w:ind w:firstLine="482" w:firstLineChars="200"/>
        <w:rPr>
          <w:rFonts w:hint="eastAsia" w:ascii="宋体" w:hAnsi="宋体" w:eastAsia="宋体" w:cs="宋体"/>
          <w:b/>
        </w:rPr>
      </w:pPr>
      <w:r>
        <w:rPr>
          <w:rFonts w:hint="eastAsia" w:ascii="宋体" w:hAnsi="宋体" w:eastAsia="宋体" w:cs="宋体"/>
          <w:b/>
          <w:kern w:val="0"/>
          <w:sz w:val="24"/>
        </w:rPr>
        <w:t>（四）供应商存在下列情况之一的，响应无效，终止谈判</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1.谈判响应文件中报价的货物跟商务与技术内容中的供应货物出现重大偏差的；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2.不具备谈判文件中规定的资格要求的。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3.谈判响应文件含有采购人不能接受的附加条件的。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4.谈判代表人未能出具身份证明或与法定代表人授权委托人身份不符的；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5.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与其终止谈判。</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 xml:space="preserve">6.报价超过谈判文件中规定的预算金额/最高限价。 </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7.主要性能参数指标负偏离项（含）以上的。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8.谈判响应参数未如实填写，完全复制粘贴采购参数的。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 xml:space="preserve">9.谈判响应文件提供虚假材料的。 </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10.不同供应商的谈判响应文件由同一单位或者个人编制；</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11.不同供应商委托同一单位或者个人办理谈判事宜；</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12.不同供应商的谈判响应文件载明的项目管理成员或者联系人员为同一人；</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13.不同供应商的谈判响应文件异常一致或者报价呈规律性差异；</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14.不同供应商的谈判响应文件相互混装；</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15.不符合法律、法规和谈判文件中规定的其他实质性要求的（谈判采购文件中打“▲”内容及被拒绝的条款）。</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（五）有下列情况之一的，本次谈判终止</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1.出现影响采购公正的违法、违规行为的；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 xml:space="preserve">2.谈判小组发现谈判文件存在歧义、重大缺陷导致谈判工作无法进行，或者谈判文件内容违反国家有关强制性规定的； </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3.因重大变故，采购任务取消的；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4.法律、法规和谈判文件规定的其他导致谈判结果无效的。</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（六）谈判原则和办法</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谈判原则。谈判小组必须公平、公正、客观，不带任何倾向性和启发性；不得向外界透露任何与评审有关的内容；任何单位和个人不得干扰、影响评审的正常进行；评审委员会及有关工作人员不得私下与供应商接触。</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2.谈判办法：（1）谈判小组应当从质量和服务均能满足谈判文件实质性响应要求的供应商中，按照报价由低到高的顺序确定成交候选人。（2）如遇相同最低报价，取</w:t>
      </w:r>
      <w:r>
        <w:rPr>
          <w:rFonts w:hint="eastAsia" w:ascii="宋体" w:hAnsi="宋体" w:cs="宋体"/>
          <w:kern w:val="0"/>
          <w:sz w:val="24"/>
          <w:lang w:eastAsia="zh-CN"/>
        </w:rPr>
        <w:t>服务期</w:t>
      </w:r>
      <w:r>
        <w:rPr>
          <w:rFonts w:hint="eastAsia" w:ascii="宋体" w:hAnsi="宋体" w:eastAsia="宋体" w:cs="宋体"/>
          <w:kern w:val="0"/>
          <w:sz w:val="24"/>
        </w:rPr>
        <w:t>短者为成交单位；如两者均相同，则在相同最低报价中重新报价，直至产生最低报价者为成交单位。</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（七）评审过程的监控</w:t>
      </w:r>
    </w:p>
    <w:p>
      <w:pPr>
        <w:pStyle w:val="17"/>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本项目评审过程实行全程录音、录像监控，政府采购监管部门视情进行现场监督，供应商在评审过程中所进行的试图影响评审结果的不公正活动，可能导致其谈判响应被拒绝。</w:t>
      </w:r>
    </w:p>
    <w:p>
      <w:pPr>
        <w:pStyle w:val="3"/>
        <w:spacing w:before="0" w:after="0" w:line="360" w:lineRule="auto"/>
        <w:rPr>
          <w:rFonts w:hint="eastAsia" w:ascii="宋体" w:hAnsi="宋体" w:eastAsia="宋体" w:cs="宋体"/>
          <w:sz w:val="28"/>
        </w:rPr>
      </w:pPr>
      <w:r>
        <w:rPr>
          <w:rFonts w:hint="eastAsia" w:ascii="宋体" w:hAnsi="宋体" w:eastAsia="宋体" w:cs="宋体"/>
          <w:sz w:val="28"/>
        </w:rPr>
        <w:t>五、谈判结果确定</w:t>
      </w:r>
    </w:p>
    <w:p>
      <w:pPr>
        <w:pStyle w:val="17"/>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1.确定成交供应商。谈判小组根据采购人的《授权意见确认书》，推荐成交候选供应商或直接确定成交供应商。其中推荐成交候选供应商的，采购组织机构在谈判结束之日起2个工作日内将评审报告送交采购人，采购人自收到评审报告之日起5个工作日内在评审报告推荐的成交候选人中按顺序确定成交供应商。</w:t>
      </w:r>
    </w:p>
    <w:p>
      <w:pPr>
        <w:pStyle w:val="17"/>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2.发布成交结果公告。采购组织机构应当在成交供应商确定后2个工作日内，在省级以上财政部门指定的政府采购信息发布媒体及相关网站上公告成交结果，并将谈判文件随同公告。</w:t>
      </w:r>
    </w:p>
    <w:p>
      <w:pPr>
        <w:pStyle w:val="17"/>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3.发出成交通知书。采购组织机构在发布成交结果同时，向成交供应商发出成交通知书。</w:t>
      </w:r>
    </w:p>
    <w:p>
      <w:pPr>
        <w:pStyle w:val="3"/>
        <w:spacing w:before="0" w:after="0" w:line="360" w:lineRule="auto"/>
        <w:rPr>
          <w:rFonts w:hint="eastAsia" w:ascii="宋体" w:hAnsi="宋体" w:eastAsia="宋体" w:cs="宋体"/>
          <w:sz w:val="28"/>
        </w:rPr>
      </w:pPr>
      <w:r>
        <w:rPr>
          <w:rFonts w:hint="eastAsia" w:ascii="宋体" w:hAnsi="宋体" w:eastAsia="宋体" w:cs="宋体"/>
          <w:sz w:val="28"/>
        </w:rPr>
        <w:t>六、合同签订及公告</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（一）签订合同</w:t>
      </w:r>
    </w:p>
    <w:p>
      <w:pPr>
        <w:pStyle w:val="17"/>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1.采购人应当自成交通知书发出之日起10个工作日内，按照谈判采购文件确定的合同文本以及采购标的、规格型号、采购金额、采购数量和服务要求等事项签订政府采购合同。</w:t>
      </w:r>
    </w:p>
    <w:p>
      <w:pPr>
        <w:pStyle w:val="17"/>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2.采购人不得向成交供应商提出超出谈判文件以外的任何要求作为签订合同的条件，不得与成交供应商订立背离谈判文件确定的合同文本以及采购标的、规格型号、采购金额、采购数量和服务要求等实质性内容的协议。</w:t>
      </w:r>
    </w:p>
    <w:p>
      <w:pPr>
        <w:pStyle w:val="17"/>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3.成交供应商无故拖延、拒签合同的,将取消成交资格。</w:t>
      </w:r>
    </w:p>
    <w:p>
      <w:pPr>
        <w:pStyle w:val="17"/>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17"/>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5.询问或者质疑事项可能影响成交结果的，采购人应当暂停签订合同，已经签订合同的，应当中止履行合同（成交结果的质疑期为成交结果公告期限届满之日起七个工作日）。</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（二）合同公告及备案</w:t>
      </w:r>
    </w:p>
    <w:p>
      <w:pPr>
        <w:pStyle w:val="17"/>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1.采购人应当自政府采购合同签订之日起2个工作日内，在省级以上财政部门指定的政府采购信息发布媒体及相关网站上公告。</w:t>
      </w:r>
    </w:p>
    <w:p>
      <w:pPr>
        <w:pStyle w:val="17"/>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2.采购人应当自政府采购合同签订之日起7个工作日内，将政府采购合同副本报同级人民政府财政部门备案以及采购组织机构存档。</w:t>
      </w:r>
    </w:p>
    <w:p>
      <w:pPr>
        <w:snapToGrid w:val="0"/>
        <w:spacing w:beforeLines="50" w:afterLines="50" w:line="360" w:lineRule="auto"/>
        <w:jc w:val="center"/>
        <w:rPr>
          <w:rFonts w:hint="eastAsia" w:ascii="宋体" w:hAnsi="宋体" w:eastAsia="宋体" w:cs="宋体"/>
          <w:b/>
          <w:bCs/>
          <w:sz w:val="36"/>
          <w:szCs w:val="36"/>
        </w:rPr>
      </w:pPr>
      <w:r>
        <w:rPr>
          <w:rFonts w:hint="eastAsia" w:ascii="宋体" w:hAnsi="宋体" w:eastAsia="宋体" w:cs="宋体"/>
          <w:b/>
          <w:bCs/>
          <w:sz w:val="24"/>
        </w:rPr>
        <w:br w:type="page"/>
      </w:r>
    </w:p>
    <w:p>
      <w:pPr>
        <w:pStyle w:val="18"/>
        <w:numPr>
          <w:ilvl w:val="0"/>
          <w:numId w:val="2"/>
        </w:numPr>
        <w:rPr>
          <w:rFonts w:hint="eastAsia" w:ascii="宋体" w:hAnsi="宋体" w:eastAsia="宋体" w:cs="宋体"/>
          <w:highlight w:val="none"/>
        </w:rPr>
      </w:pPr>
      <w:r>
        <w:rPr>
          <w:rFonts w:hint="eastAsia" w:ascii="宋体" w:hAnsi="宋体" w:eastAsia="宋体" w:cs="宋体"/>
          <w:highlight w:val="none"/>
        </w:rPr>
        <w:t>谈判需求</w:t>
      </w:r>
    </w:p>
    <w:p>
      <w:pPr>
        <w:pStyle w:val="17"/>
        <w:numPr>
          <w:ilvl w:val="0"/>
          <w:numId w:val="3"/>
        </w:numPr>
        <w:spacing w:before="0" w:beforeAutospacing="0" w:after="0" w:afterAutospacing="0" w:line="360" w:lineRule="auto"/>
        <w:ind w:firstLine="482" w:firstLineChars="200"/>
        <w:jc w:val="both"/>
        <w:rPr>
          <w:rFonts w:hint="eastAsia" w:ascii="宋体" w:hAnsi="宋体" w:eastAsia="宋体" w:cs="宋体"/>
          <w:lang w:eastAsia="zh-CN"/>
        </w:rPr>
      </w:pPr>
      <w:r>
        <w:rPr>
          <w:rFonts w:hint="eastAsia" w:ascii="宋体" w:hAnsi="宋体" w:eastAsia="宋体" w:cs="宋体"/>
          <w:b/>
          <w:bCs/>
          <w:lang w:eastAsia="zh-CN"/>
        </w:rPr>
        <w:t>项目概况</w:t>
      </w:r>
      <w:r>
        <w:rPr>
          <w:rFonts w:hint="eastAsia" w:ascii="宋体" w:hAnsi="宋体" w:eastAsia="宋体" w:cs="宋体"/>
          <w:lang w:eastAsia="zh-CN"/>
        </w:rPr>
        <w:t>：</w:t>
      </w:r>
    </w:p>
    <w:p>
      <w:pPr>
        <w:pStyle w:val="17"/>
        <w:numPr>
          <w:ilvl w:val="0"/>
          <w:numId w:val="0"/>
        </w:numPr>
        <w:spacing w:before="0" w:beforeAutospacing="0" w:after="0" w:afterAutospacing="0" w:line="360" w:lineRule="auto"/>
        <w:ind w:firstLine="480" w:firstLineChars="200"/>
        <w:jc w:val="both"/>
        <w:rPr>
          <w:rFonts w:hint="eastAsia" w:ascii="宋体" w:hAnsi="宋体" w:eastAsia="宋体" w:cs="宋体"/>
          <w:lang w:eastAsia="zh-CN"/>
        </w:rPr>
      </w:pPr>
      <w:r>
        <w:rPr>
          <w:rFonts w:hint="eastAsia" w:ascii="宋体" w:hAnsi="宋体" w:eastAsia="宋体" w:cs="宋体"/>
          <w:lang w:eastAsia="zh-CN"/>
        </w:rPr>
        <w:t xml:space="preserve">本项目位于三门县海润街道、海游港北侧，从水岙门大桥向东延伸至闸梨头水闸，全长1584m。主要包括海堤生态化；盐沼湿地修复，塘埂拆除，养殖塘回填整平，互花米草清除，盐沼植被种植；木栈道、照明等。 </w:t>
      </w:r>
    </w:p>
    <w:p>
      <w:pPr>
        <w:pStyle w:val="17"/>
        <w:numPr>
          <w:ilvl w:val="0"/>
          <w:numId w:val="3"/>
        </w:numPr>
        <w:spacing w:before="0" w:beforeAutospacing="0" w:after="0" w:afterAutospacing="0" w:line="360" w:lineRule="auto"/>
        <w:ind w:left="0" w:leftChars="0" w:firstLine="482" w:firstLineChars="200"/>
        <w:jc w:val="both"/>
        <w:rPr>
          <w:rFonts w:hint="eastAsia" w:ascii="宋体" w:hAnsi="宋体" w:eastAsia="宋体" w:cs="宋体"/>
          <w:b/>
          <w:bCs/>
          <w:lang w:eastAsia="zh-CN"/>
        </w:rPr>
      </w:pPr>
      <w:r>
        <w:rPr>
          <w:rFonts w:hint="eastAsia" w:ascii="宋体" w:hAnsi="宋体" w:eastAsia="宋体" w:cs="宋体"/>
          <w:b/>
          <w:bCs/>
          <w:lang w:eastAsia="zh-CN"/>
        </w:rPr>
        <w:t>招标范围：</w:t>
      </w:r>
    </w:p>
    <w:p>
      <w:pPr>
        <w:pStyle w:val="17"/>
        <w:numPr>
          <w:ilvl w:val="0"/>
          <w:numId w:val="0"/>
        </w:numPr>
        <w:spacing w:before="0" w:beforeAutospacing="0" w:after="0" w:afterAutospacing="0" w:line="360" w:lineRule="auto"/>
        <w:ind w:firstLine="480" w:firstLineChars="200"/>
        <w:jc w:val="both"/>
        <w:rPr>
          <w:rFonts w:hint="eastAsia" w:ascii="宋体" w:hAnsi="宋体" w:eastAsia="宋体" w:cs="宋体"/>
          <w:highlight w:val="none"/>
          <w:lang w:eastAsia="zh-CN"/>
        </w:rPr>
      </w:pPr>
      <w:r>
        <w:rPr>
          <w:rFonts w:hint="eastAsia" w:ascii="宋体" w:hAnsi="宋体" w:eastAsia="宋体" w:cs="宋体"/>
          <w:lang w:eastAsia="zh-CN"/>
        </w:rPr>
        <w:t>本工程主要包括海堤生态化；盐沼湿地修复，塘埂拆除，养殖塘回填整平，互花米草</w:t>
      </w:r>
      <w:r>
        <w:rPr>
          <w:rFonts w:hint="eastAsia" w:ascii="宋体" w:hAnsi="宋体" w:eastAsia="宋体" w:cs="宋体"/>
          <w:highlight w:val="none"/>
          <w:lang w:eastAsia="zh-CN"/>
        </w:rPr>
        <w:t>清除，盐沼植被种植；木栈道、照明等工程的</w:t>
      </w:r>
      <w:r>
        <w:rPr>
          <w:rFonts w:hint="eastAsia" w:cs="宋体"/>
          <w:highlight w:val="none"/>
          <w:lang w:eastAsia="zh-CN"/>
        </w:rPr>
        <w:t>全过程</w:t>
      </w:r>
      <w:r>
        <w:rPr>
          <w:rFonts w:hint="eastAsia" w:ascii="宋体" w:hAnsi="宋体" w:eastAsia="宋体" w:cs="宋体"/>
          <w:highlight w:val="none"/>
          <w:lang w:eastAsia="zh-CN"/>
        </w:rPr>
        <w:t>监理。</w:t>
      </w:r>
    </w:p>
    <w:p>
      <w:pPr>
        <w:pStyle w:val="17"/>
        <w:spacing w:before="0" w:beforeAutospacing="0" w:after="0" w:afterAutospacing="0" w:line="360" w:lineRule="auto"/>
        <w:ind w:firstLine="48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本标段监理费估算</w:t>
      </w:r>
      <w:r>
        <w:rPr>
          <w:rFonts w:hint="eastAsia" w:cs="宋体"/>
          <w:highlight w:val="none"/>
          <w:lang w:eastAsia="zh-CN"/>
        </w:rPr>
        <w:t>上限价为</w:t>
      </w:r>
      <w:r>
        <w:rPr>
          <w:rFonts w:hint="eastAsia" w:ascii="宋体" w:hAnsi="宋体" w:eastAsia="宋体" w:cs="宋体"/>
          <w:highlight w:val="none"/>
          <w:lang w:eastAsia="zh-CN"/>
        </w:rPr>
        <w:t>2</w:t>
      </w:r>
      <w:r>
        <w:rPr>
          <w:rFonts w:hint="eastAsia" w:cs="宋体"/>
          <w:highlight w:val="none"/>
          <w:lang w:val="en-US" w:eastAsia="zh-CN"/>
        </w:rPr>
        <w:t>5</w:t>
      </w:r>
      <w:r>
        <w:rPr>
          <w:rFonts w:hint="eastAsia" w:ascii="宋体" w:hAnsi="宋体" w:eastAsia="宋体" w:cs="宋体"/>
          <w:highlight w:val="none"/>
          <w:lang w:eastAsia="zh-CN"/>
        </w:rPr>
        <w:t>万元。</w:t>
      </w:r>
    </w:p>
    <w:p>
      <w:pPr>
        <w:pStyle w:val="17"/>
        <w:numPr>
          <w:ilvl w:val="0"/>
          <w:numId w:val="3"/>
        </w:numPr>
        <w:spacing w:before="0" w:beforeAutospacing="0" w:after="0" w:afterAutospacing="0" w:line="360" w:lineRule="auto"/>
        <w:ind w:left="0" w:leftChars="0" w:firstLine="482" w:firstLineChars="200"/>
        <w:jc w:val="both"/>
        <w:rPr>
          <w:rFonts w:hint="eastAsia" w:ascii="宋体" w:hAnsi="宋体" w:eastAsia="宋体" w:cs="宋体"/>
          <w:b/>
          <w:bCs/>
          <w:lang w:eastAsia="zh-CN"/>
        </w:rPr>
      </w:pPr>
      <w:r>
        <w:rPr>
          <w:rFonts w:hint="eastAsia" w:ascii="宋体" w:hAnsi="宋体" w:eastAsia="宋体" w:cs="宋体"/>
          <w:b/>
          <w:bCs/>
          <w:lang w:eastAsia="zh-CN"/>
        </w:rPr>
        <w:t>监理服务期：</w:t>
      </w:r>
    </w:p>
    <w:p>
      <w:pPr>
        <w:pStyle w:val="17"/>
        <w:numPr>
          <w:ilvl w:val="0"/>
          <w:numId w:val="0"/>
        </w:numPr>
        <w:spacing w:before="0" w:beforeAutospacing="0" w:after="0" w:afterAutospacing="0" w:line="360" w:lineRule="auto"/>
        <w:ind w:firstLine="480" w:firstLineChars="200"/>
        <w:jc w:val="both"/>
        <w:rPr>
          <w:rFonts w:hint="eastAsia" w:ascii="宋体" w:hAnsi="宋体" w:eastAsia="宋体" w:cs="宋体"/>
          <w:lang w:eastAsia="zh-CN"/>
        </w:rPr>
      </w:pPr>
      <w:r>
        <w:rPr>
          <w:rFonts w:hint="eastAsia" w:ascii="宋体" w:hAnsi="宋体" w:eastAsia="宋体" w:cs="宋体"/>
          <w:lang w:eastAsia="zh-CN"/>
        </w:rPr>
        <w:t>从施工监理合同签订之日起至工程竣工验收完成之日止（其中服务期为180天，缺陷责任期24个月）。</w:t>
      </w:r>
    </w:p>
    <w:p>
      <w:pPr>
        <w:pStyle w:val="17"/>
        <w:numPr>
          <w:ilvl w:val="0"/>
          <w:numId w:val="3"/>
        </w:numPr>
        <w:spacing w:before="0" w:beforeAutospacing="0" w:after="0" w:afterAutospacing="0" w:line="360" w:lineRule="auto"/>
        <w:ind w:left="0" w:leftChars="0" w:firstLine="482" w:firstLineChars="200"/>
        <w:jc w:val="both"/>
        <w:rPr>
          <w:rFonts w:hint="eastAsia" w:ascii="宋体" w:hAnsi="宋体" w:eastAsia="宋体" w:cs="宋体"/>
          <w:b/>
          <w:bCs/>
          <w:lang w:eastAsia="zh-CN"/>
        </w:rPr>
      </w:pPr>
      <w:r>
        <w:rPr>
          <w:rFonts w:hint="eastAsia" w:ascii="宋体" w:hAnsi="宋体" w:eastAsia="宋体" w:cs="宋体"/>
          <w:b/>
          <w:bCs/>
          <w:lang w:eastAsia="zh-CN"/>
        </w:rPr>
        <w:t>质量目标：</w:t>
      </w:r>
    </w:p>
    <w:p>
      <w:pPr>
        <w:pStyle w:val="17"/>
        <w:numPr>
          <w:ilvl w:val="0"/>
          <w:numId w:val="0"/>
        </w:numPr>
        <w:spacing w:before="0" w:beforeAutospacing="0" w:after="0" w:afterAutospacing="0" w:line="360" w:lineRule="auto"/>
        <w:ind w:firstLine="480" w:firstLineChars="200"/>
        <w:jc w:val="both"/>
        <w:rPr>
          <w:rFonts w:hint="eastAsia" w:ascii="宋体" w:hAnsi="宋体" w:eastAsia="宋体" w:cs="宋体"/>
          <w:lang w:eastAsia="zh-CN"/>
        </w:rPr>
      </w:pPr>
      <w:r>
        <w:rPr>
          <w:rFonts w:hint="eastAsia" w:ascii="宋体" w:hAnsi="宋体" w:eastAsia="宋体" w:cs="宋体"/>
          <w:lang w:eastAsia="zh-CN"/>
        </w:rPr>
        <w:t>①工程设计质量标准：符合国家现行有关设计规范要求，施工图审查合格。</w:t>
      </w:r>
    </w:p>
    <w:p>
      <w:pPr>
        <w:pStyle w:val="17"/>
        <w:numPr>
          <w:ilvl w:val="0"/>
          <w:numId w:val="0"/>
        </w:numPr>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lang w:eastAsia="zh-CN"/>
        </w:rPr>
        <w:t>②工程施工质量标准：水工工程按照交通运输部《水运工程质量检验标准》，其他工程按照有关现行质量检验评定标准检验评定，工程质量等级要求合格。</w:t>
      </w:r>
    </w:p>
    <w:p>
      <w:pPr>
        <w:rPr>
          <w:rFonts w:hint="eastAsia" w:ascii="宋体" w:hAnsi="宋体" w:eastAsia="宋体" w:cs="宋体"/>
        </w:rPr>
      </w:pPr>
      <w:r>
        <w:rPr>
          <w:rFonts w:hint="eastAsia" w:ascii="宋体" w:hAnsi="宋体" w:eastAsia="宋体" w:cs="宋体"/>
        </w:rPr>
        <w:br w:type="page"/>
      </w:r>
    </w:p>
    <w:p>
      <w:pPr>
        <w:pStyle w:val="44"/>
        <w:numPr>
          <w:ilvl w:val="0"/>
          <w:numId w:val="2"/>
        </w:numPr>
        <w:spacing w:line="600" w:lineRule="exact"/>
        <w:ind w:left="0" w:leftChars="0" w:firstLine="0" w:firstLineChars="0"/>
        <w:jc w:val="center"/>
        <w:outlineLvl w:val="2"/>
        <w:rPr>
          <w:rFonts w:hint="eastAsia" w:ascii="宋体" w:hAnsi="宋体" w:eastAsia="宋体" w:cs="宋体"/>
          <w:b/>
          <w:bCs/>
          <w:kern w:val="2"/>
          <w:sz w:val="32"/>
          <w:szCs w:val="32"/>
          <w:highlight w:val="none"/>
          <w:lang w:val="en-US" w:eastAsia="zh-CN" w:bidi="ar-SA"/>
        </w:rPr>
      </w:pPr>
      <w:bookmarkStart w:id="0" w:name="_Toc454259674"/>
      <w:bookmarkStart w:id="1" w:name="_Toc28266132"/>
      <w:bookmarkStart w:id="2" w:name="_Toc454259505"/>
      <w:bookmarkStart w:id="3" w:name="_Toc28265888"/>
      <w:bookmarkStart w:id="4" w:name="_Toc441077025"/>
      <w:bookmarkStart w:id="5" w:name="_Toc26106852"/>
      <w:r>
        <w:rPr>
          <w:rFonts w:hint="eastAsia" w:ascii="宋体" w:hAnsi="宋体" w:eastAsia="宋体" w:cs="宋体"/>
          <w:b/>
          <w:bCs/>
          <w:kern w:val="2"/>
          <w:sz w:val="32"/>
          <w:szCs w:val="32"/>
          <w:highlight w:val="none"/>
          <w:lang w:val="en-US" w:eastAsia="zh-CN" w:bidi="ar-SA"/>
        </w:rPr>
        <w:t>合同条款及格式</w:t>
      </w:r>
    </w:p>
    <w:p>
      <w:pPr>
        <w:pStyle w:val="44"/>
        <w:numPr>
          <w:ilvl w:val="0"/>
          <w:numId w:val="0"/>
        </w:numPr>
        <w:spacing w:line="600" w:lineRule="exact"/>
        <w:ind w:leftChars="0"/>
        <w:jc w:val="center"/>
        <w:outlineLvl w:val="2"/>
        <w:rPr>
          <w:rFonts w:hint="eastAsia" w:ascii="宋体" w:hAnsi="宋体" w:eastAsia="宋体" w:cs="宋体"/>
          <w:b/>
          <w:sz w:val="28"/>
          <w:szCs w:val="28"/>
          <w:highlight w:val="none"/>
        </w:rPr>
      </w:pPr>
    </w:p>
    <w:p>
      <w:pPr>
        <w:pStyle w:val="44"/>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Chars="0" w:firstLine="0" w:firstLineChars="0"/>
        <w:jc w:val="center"/>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通用合同条款</w:t>
      </w:r>
      <w:bookmarkEnd w:id="0"/>
      <w:bookmarkEnd w:id="1"/>
      <w:bookmarkEnd w:id="2"/>
      <w:bookmarkEnd w:id="3"/>
      <w:bookmarkEnd w:id="4"/>
      <w:bookmarkEnd w:id="5"/>
    </w:p>
    <w:p>
      <w:pPr>
        <w:pStyle w:val="44"/>
        <w:keepNext w:val="0"/>
        <w:keepLines w:val="0"/>
        <w:pageBreakBefore w:val="0"/>
        <w:widowControl w:val="0"/>
        <w:kinsoku/>
        <w:wordWrap/>
        <w:overflowPunct/>
        <w:topLinePunct w:val="0"/>
        <w:autoSpaceDE/>
        <w:autoSpaceDN/>
        <w:bidi w:val="0"/>
        <w:adjustRightInd w:val="0"/>
        <w:snapToGrid/>
        <w:spacing w:line="420" w:lineRule="exact"/>
        <w:ind w:firstLine="0" w:firstLineChars="0"/>
        <w:jc w:val="center"/>
        <w:textAlignment w:val="auto"/>
        <w:rPr>
          <w:rFonts w:hint="eastAsia" w:ascii="宋体" w:hAnsi="宋体" w:eastAsia="宋体" w:cs="宋体"/>
          <w:sz w:val="24"/>
          <w:szCs w:val="24"/>
          <w:highlight w:val="none"/>
          <w:lang w:eastAsia="zh-CN"/>
        </w:rPr>
      </w:pPr>
      <w:bookmarkStart w:id="6" w:name="_Toc454259514"/>
      <w:bookmarkStart w:id="7" w:name="_Toc26106915"/>
      <w:bookmarkStart w:id="8" w:name="_Toc454259683"/>
      <w:bookmarkStart w:id="9" w:name="_Toc28266195"/>
      <w:bookmarkStart w:id="10" w:name="_Toc28265951"/>
      <w:bookmarkStart w:id="11" w:name="_Toc441077034"/>
      <w:r>
        <w:rPr>
          <w:rFonts w:hint="eastAsia" w:ascii="宋体" w:hAnsi="宋体" w:eastAsia="宋体" w:cs="宋体"/>
          <w:sz w:val="24"/>
          <w:szCs w:val="24"/>
          <w:highlight w:val="none"/>
          <w:lang w:eastAsia="zh-CN"/>
        </w:rPr>
        <w:t>略</w:t>
      </w:r>
    </w:p>
    <w:p>
      <w:pPr>
        <w:pStyle w:val="44"/>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专用合同条款</w:t>
      </w:r>
      <w:bookmarkEnd w:id="6"/>
      <w:bookmarkEnd w:id="7"/>
      <w:bookmarkEnd w:id="8"/>
      <w:bookmarkEnd w:id="9"/>
      <w:bookmarkEnd w:id="10"/>
      <w:bookmarkEnd w:id="11"/>
    </w:p>
    <w:p>
      <w:pPr>
        <w:pStyle w:val="44"/>
        <w:spacing w:line="420" w:lineRule="exact"/>
        <w:ind w:firstLine="480" w:firstLineChars="200"/>
        <w:rPr>
          <w:rFonts w:hint="eastAsia" w:ascii="宋体" w:hAnsi="宋体" w:eastAsia="宋体" w:cs="宋体"/>
          <w:sz w:val="24"/>
          <w:szCs w:val="24"/>
          <w:highlight w:val="none"/>
        </w:rPr>
      </w:pPr>
      <w:bookmarkStart w:id="12" w:name="_Toc493408517"/>
      <w:r>
        <w:rPr>
          <w:rFonts w:hint="eastAsia" w:ascii="宋体" w:hAnsi="宋体" w:eastAsia="宋体" w:cs="宋体"/>
          <w:sz w:val="24"/>
          <w:szCs w:val="24"/>
          <w:highlight w:val="none"/>
        </w:rPr>
        <w:t>本合同专用条款是依据通用条款进行编制，发包人根据工程的特点、环境及其他要求，在此进行修正、补充或删除，在执行过程中以此为准。</w:t>
      </w:r>
    </w:p>
    <w:p>
      <w:pPr>
        <w:pStyle w:val="44"/>
        <w:spacing w:line="420" w:lineRule="exact"/>
        <w:ind w:firstLine="480" w:firstLineChars="200"/>
        <w:rPr>
          <w:rFonts w:hint="eastAsia" w:ascii="宋体" w:hAnsi="宋体" w:eastAsia="宋体" w:cs="宋体"/>
          <w:sz w:val="24"/>
          <w:szCs w:val="24"/>
          <w:highlight w:val="none"/>
        </w:rPr>
      </w:pPr>
    </w:p>
    <w:p>
      <w:pPr>
        <w:pStyle w:val="44"/>
        <w:spacing w:line="360" w:lineRule="auto"/>
        <w:jc w:val="center"/>
        <w:rPr>
          <w:rFonts w:hint="eastAsia" w:ascii="宋体" w:hAnsi="宋体" w:eastAsia="宋体" w:cs="宋体"/>
          <w:b/>
          <w:sz w:val="24"/>
          <w:szCs w:val="24"/>
          <w:highlight w:val="none"/>
        </w:rPr>
      </w:pPr>
      <w:r>
        <w:rPr>
          <w:rFonts w:hint="eastAsia" w:ascii="宋体" w:hAnsi="宋体" w:eastAsia="宋体" w:cs="宋体"/>
          <w:highlight w:val="none"/>
        </w:rPr>
        <w:br w:type="page"/>
      </w:r>
      <w:bookmarkEnd w:id="12"/>
      <w:r>
        <w:rPr>
          <w:rFonts w:hint="eastAsia" w:ascii="宋体" w:hAnsi="宋体" w:eastAsia="宋体" w:cs="宋体"/>
          <w:b/>
          <w:sz w:val="24"/>
          <w:szCs w:val="24"/>
          <w:highlight w:val="none"/>
        </w:rPr>
        <w:t>专用合同条款</w:t>
      </w:r>
    </w:p>
    <w:p>
      <w:pPr>
        <w:pStyle w:val="44"/>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本专用合同条款是依据浙江省交通运输厅、浙江省发展和改革委员会出具的《浙江省水运工程施工监理招标文件范本（2017年版本）》的通用合同条款进行编制，发包人可根据工程的特点、环境及针对工程的特殊要求，在此进行补充、细化或约定，但不得影响通用合同条款的主旨和本意。 </w:t>
      </w:r>
    </w:p>
    <w:p>
      <w:pPr>
        <w:pStyle w:val="44"/>
        <w:spacing w:line="320" w:lineRule="exact"/>
        <w:jc w:val="left"/>
        <w:outlineLvl w:val="1"/>
        <w:rPr>
          <w:rFonts w:hint="eastAsia" w:ascii="宋体" w:hAnsi="宋体" w:eastAsia="宋体" w:cs="宋体"/>
          <w:b/>
          <w:sz w:val="24"/>
          <w:szCs w:val="24"/>
          <w:highlight w:val="none"/>
        </w:rPr>
      </w:pPr>
      <w:bookmarkStart w:id="13" w:name="_Toc440230988"/>
      <w:bookmarkStart w:id="14" w:name="_Toc433918115"/>
      <w:bookmarkStart w:id="15" w:name="_Toc433919431"/>
      <w:bookmarkStart w:id="16" w:name="_Toc26106916"/>
      <w:bookmarkStart w:id="17" w:name="_Toc28265952"/>
      <w:bookmarkStart w:id="18" w:name="_Toc440232065"/>
      <w:bookmarkStart w:id="19" w:name="_Toc436317258"/>
      <w:bookmarkStart w:id="20" w:name="_Toc434067617"/>
      <w:bookmarkStart w:id="21" w:name="_Toc448775895"/>
      <w:bookmarkStart w:id="22" w:name="_Toc28266196"/>
      <w:bookmarkStart w:id="23" w:name="_Toc436320545"/>
      <w:bookmarkStart w:id="24" w:name="_Toc436317793"/>
      <w:r>
        <w:rPr>
          <w:rFonts w:hint="eastAsia" w:ascii="宋体" w:hAnsi="宋体" w:eastAsia="宋体" w:cs="宋体"/>
          <w:b/>
          <w:sz w:val="24"/>
          <w:szCs w:val="24"/>
          <w:highlight w:val="none"/>
        </w:rPr>
        <w:t>1.一般规定</w:t>
      </w:r>
      <w:bookmarkEnd w:id="13"/>
      <w:bookmarkEnd w:id="14"/>
      <w:bookmarkEnd w:id="15"/>
      <w:bookmarkEnd w:id="16"/>
      <w:bookmarkEnd w:id="17"/>
      <w:bookmarkEnd w:id="18"/>
      <w:bookmarkEnd w:id="19"/>
      <w:bookmarkEnd w:id="20"/>
      <w:bookmarkEnd w:id="21"/>
      <w:bookmarkEnd w:id="22"/>
      <w:bookmarkEnd w:id="23"/>
      <w:bookmarkEnd w:id="24"/>
    </w:p>
    <w:p>
      <w:pPr>
        <w:pStyle w:val="44"/>
        <w:spacing w:line="320" w:lineRule="exact"/>
        <w:outlineLvl w:val="2"/>
        <w:rPr>
          <w:rFonts w:hint="eastAsia" w:ascii="宋体" w:hAnsi="宋体" w:eastAsia="宋体" w:cs="宋体"/>
          <w:sz w:val="24"/>
          <w:szCs w:val="24"/>
          <w:highlight w:val="none"/>
        </w:rPr>
      </w:pPr>
      <w:bookmarkStart w:id="25" w:name="_Toc440232066"/>
      <w:bookmarkStart w:id="26" w:name="_Toc440230989"/>
      <w:bookmarkStart w:id="27" w:name="_Toc436320546"/>
      <w:bookmarkStart w:id="28" w:name="_Toc28266197"/>
      <w:bookmarkStart w:id="29" w:name="_Toc434067618"/>
      <w:bookmarkStart w:id="30" w:name="_Toc26106917"/>
      <w:bookmarkStart w:id="31" w:name="_Toc436317259"/>
      <w:bookmarkStart w:id="32" w:name="_Toc28265953"/>
      <w:bookmarkStart w:id="33" w:name="_Toc448775896"/>
      <w:bookmarkStart w:id="34" w:name="_Toc433919432"/>
      <w:bookmarkStart w:id="35" w:name="_Toc433918116"/>
      <w:bookmarkStart w:id="36" w:name="_Toc436317794"/>
      <w:r>
        <w:rPr>
          <w:rFonts w:hint="eastAsia" w:ascii="宋体" w:hAnsi="宋体" w:eastAsia="宋体" w:cs="宋体"/>
          <w:sz w:val="24"/>
          <w:szCs w:val="24"/>
          <w:highlight w:val="none"/>
        </w:rPr>
        <w:t>1.1  词语定义</w:t>
      </w:r>
      <w:bookmarkEnd w:id="25"/>
      <w:bookmarkEnd w:id="26"/>
      <w:bookmarkEnd w:id="27"/>
      <w:bookmarkEnd w:id="28"/>
      <w:bookmarkEnd w:id="29"/>
      <w:bookmarkEnd w:id="30"/>
      <w:bookmarkEnd w:id="31"/>
      <w:bookmarkEnd w:id="32"/>
      <w:bookmarkEnd w:id="33"/>
      <w:bookmarkEnd w:id="34"/>
      <w:bookmarkEnd w:id="35"/>
      <w:bookmarkEnd w:id="36"/>
    </w:p>
    <w:p>
      <w:pPr>
        <w:pStyle w:val="44"/>
        <w:tabs>
          <w:tab w:val="left" w:pos="420"/>
        </w:tabs>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1.1.1合同</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本项补充第（6）、（7）目，内容为：</w:t>
      </w:r>
    </w:p>
    <w:p>
      <w:pPr>
        <w:pStyle w:val="44"/>
        <w:tabs>
          <w:tab w:val="left" w:pos="420"/>
        </w:tabs>
        <w:spacing w:line="32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（6）技术标准：指构成合同文件组成部分的名为技术标准文件，包括合同双方当事人约定对其所作的修改或补充。</w:t>
      </w:r>
    </w:p>
    <w:p>
      <w:pPr>
        <w:pStyle w:val="44"/>
        <w:tabs>
          <w:tab w:val="left" w:pos="420"/>
        </w:tabs>
        <w:spacing w:line="32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（7）图纸：指包含在合同中的工程图纸，以及由发包人按合同约定提供的任何补充和修改的图纸，包括配套的说明。</w:t>
      </w:r>
    </w:p>
    <w:p>
      <w:pPr>
        <w:pStyle w:val="44"/>
        <w:tabs>
          <w:tab w:val="left" w:pos="420"/>
        </w:tabs>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1.1.2合同当事人和人员</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1.1.2（2） 发包人：</w:t>
      </w:r>
      <w:r>
        <w:rPr>
          <w:rFonts w:hint="eastAsia" w:ascii="宋体" w:hAnsi="宋体" w:eastAsia="宋体" w:cs="宋体"/>
          <w:sz w:val="24"/>
          <w:szCs w:val="24"/>
          <w:highlight w:val="none"/>
          <w:u w:val="single"/>
          <w:lang w:eastAsia="zh-CN"/>
        </w:rPr>
        <w:t>三门经济开发区管理委员会</w:t>
      </w:r>
      <w:r>
        <w:rPr>
          <w:rFonts w:hint="eastAsia" w:ascii="宋体" w:hAnsi="宋体" w:eastAsia="宋体" w:cs="宋体"/>
          <w:sz w:val="24"/>
          <w:szCs w:val="24"/>
          <w:highlight w:val="none"/>
        </w:rPr>
        <w:t>；</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本项补充第（10）目，内容为：</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（10）分包人：指从监理人处分包某一部分工程的当事人。</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1.1.3（1） 工程：</w:t>
      </w:r>
      <w:r>
        <w:rPr>
          <w:rFonts w:hint="eastAsia" w:ascii="宋体" w:hAnsi="宋体" w:eastAsia="宋体" w:cs="宋体"/>
          <w:sz w:val="24"/>
          <w:szCs w:val="24"/>
          <w:highlight w:val="none"/>
          <w:u w:val="single"/>
          <w:lang w:eastAsia="zh-CN"/>
        </w:rPr>
        <w:t>台州市三门县“蓝色海湾”—海游港北侧岸线修复工程</w:t>
      </w:r>
      <w:r>
        <w:rPr>
          <w:rFonts w:hint="eastAsia" w:ascii="宋体" w:hAnsi="宋体" w:eastAsia="宋体" w:cs="宋体"/>
          <w:sz w:val="24"/>
          <w:szCs w:val="24"/>
          <w:highlight w:val="none"/>
        </w:rPr>
        <w:t>；</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1.1.3（2） 项目：</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u w:val="single"/>
          <w:lang w:eastAsia="zh-CN"/>
        </w:rPr>
        <w:t>台州市三门县“蓝色海湾”—海游港北侧岸线修复工程</w:t>
      </w:r>
      <w:r>
        <w:rPr>
          <w:rFonts w:hint="eastAsia" w:ascii="宋体" w:hAnsi="宋体" w:eastAsia="宋体" w:cs="宋体"/>
          <w:sz w:val="24"/>
          <w:szCs w:val="24"/>
          <w:highlight w:val="none"/>
        </w:rPr>
        <w:t>；</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项目地点：</w:t>
      </w:r>
      <w:r>
        <w:rPr>
          <w:rFonts w:hint="eastAsia" w:ascii="宋体" w:hAnsi="宋体" w:eastAsia="宋体" w:cs="宋体"/>
          <w:sz w:val="24"/>
          <w:szCs w:val="24"/>
          <w:highlight w:val="none"/>
          <w:u w:val="single"/>
        </w:rPr>
        <w:t>三门县海润街道、海游港北侧</w:t>
      </w:r>
      <w:r>
        <w:rPr>
          <w:rFonts w:hint="eastAsia" w:ascii="宋体" w:hAnsi="宋体" w:eastAsia="宋体" w:cs="宋体"/>
          <w:sz w:val="24"/>
          <w:szCs w:val="24"/>
          <w:highlight w:val="none"/>
        </w:rPr>
        <w:t>；</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项目规模标准：</w:t>
      </w:r>
      <w:r>
        <w:rPr>
          <w:rFonts w:hint="eastAsia" w:ascii="宋体" w:hAnsi="宋体" w:eastAsia="宋体" w:cs="宋体"/>
          <w:sz w:val="24"/>
          <w:szCs w:val="24"/>
          <w:highlight w:val="none"/>
          <w:u w:val="single"/>
        </w:rPr>
        <w:t>本项目位于三门县海润街道、海游港北侧，从水岙门大桥向东延伸至闸梨头水闸，全长1584m。主要包括海堤生态化；盐沼湿地修复，塘埂拆除，养殖塘回填整平，互花米草清除，盐沼植被种植；木栈道、照明等</w:t>
      </w:r>
      <w:r>
        <w:rPr>
          <w:rFonts w:hint="eastAsia" w:ascii="宋体" w:hAnsi="宋体" w:eastAsia="宋体" w:cs="宋体"/>
          <w:sz w:val="24"/>
          <w:szCs w:val="24"/>
          <w:highlight w:val="none"/>
        </w:rPr>
        <w:t>。</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项目内容：</w:t>
      </w:r>
      <w:r>
        <w:rPr>
          <w:rFonts w:hint="eastAsia" w:ascii="宋体" w:hAnsi="宋体" w:eastAsia="宋体" w:cs="宋体"/>
          <w:sz w:val="24"/>
          <w:szCs w:val="24"/>
          <w:highlight w:val="none"/>
          <w:u w:val="single"/>
        </w:rPr>
        <w:t>本工程主要包括海堤生态化；盐沼湿地修复，塘埂拆除，养殖塘回填整平，互花米草清除，盐沼植被种植；木栈道、照明等工程的</w:t>
      </w:r>
      <w:r>
        <w:rPr>
          <w:rFonts w:hint="eastAsia" w:ascii="宋体" w:hAnsi="宋体" w:cs="宋体"/>
          <w:sz w:val="24"/>
          <w:szCs w:val="24"/>
          <w:highlight w:val="none"/>
          <w:u w:val="single"/>
          <w:lang w:eastAsia="zh-CN"/>
        </w:rPr>
        <w:t>全过程</w:t>
      </w:r>
      <w:r>
        <w:rPr>
          <w:rFonts w:hint="eastAsia" w:ascii="宋体" w:hAnsi="宋体" w:eastAsia="宋体" w:cs="宋体"/>
          <w:sz w:val="24"/>
          <w:szCs w:val="24"/>
          <w:highlight w:val="none"/>
          <w:u w:val="single"/>
        </w:rPr>
        <w:t>监理</w:t>
      </w:r>
      <w:r>
        <w:rPr>
          <w:rFonts w:hint="eastAsia" w:ascii="宋体" w:hAnsi="宋体" w:eastAsia="宋体" w:cs="宋体"/>
          <w:sz w:val="24"/>
          <w:szCs w:val="24"/>
          <w:highlight w:val="none"/>
        </w:rPr>
        <w:t>。</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1.1.4 缺陷责任期：</w:t>
      </w:r>
      <w:r>
        <w:rPr>
          <w:rFonts w:hint="eastAsia" w:ascii="宋体" w:hAnsi="宋体" w:eastAsia="宋体" w:cs="宋体"/>
          <w:sz w:val="24"/>
          <w:szCs w:val="24"/>
          <w:highlight w:val="none"/>
          <w:u w:val="single"/>
        </w:rPr>
        <w:t>24个月</w:t>
      </w:r>
      <w:r>
        <w:rPr>
          <w:rFonts w:hint="eastAsia" w:ascii="宋体" w:hAnsi="宋体" w:eastAsia="宋体" w:cs="宋体"/>
          <w:sz w:val="24"/>
          <w:szCs w:val="24"/>
          <w:highlight w:val="none"/>
        </w:rPr>
        <w:t>。</w:t>
      </w:r>
    </w:p>
    <w:p>
      <w:pPr>
        <w:pStyle w:val="44"/>
        <w:spacing w:line="320" w:lineRule="exact"/>
        <w:outlineLvl w:val="2"/>
        <w:rPr>
          <w:rFonts w:hint="eastAsia" w:ascii="宋体" w:hAnsi="宋体" w:eastAsia="宋体" w:cs="宋体"/>
          <w:sz w:val="24"/>
          <w:szCs w:val="24"/>
          <w:highlight w:val="none"/>
        </w:rPr>
      </w:pPr>
      <w:bookmarkStart w:id="37" w:name="_Toc28265954"/>
      <w:bookmarkStart w:id="38" w:name="_Toc436317795"/>
      <w:bookmarkStart w:id="39" w:name="_Toc434067619"/>
      <w:bookmarkStart w:id="40" w:name="_Toc26106918"/>
      <w:bookmarkStart w:id="41" w:name="_Toc436317260"/>
      <w:bookmarkStart w:id="42" w:name="_Toc440232067"/>
      <w:bookmarkStart w:id="43" w:name="_Toc436320547"/>
      <w:bookmarkStart w:id="44" w:name="_Toc440230990"/>
      <w:bookmarkStart w:id="45" w:name="_Toc28266198"/>
      <w:bookmarkStart w:id="46" w:name="_Toc448775897"/>
      <w:r>
        <w:rPr>
          <w:rFonts w:hint="eastAsia" w:ascii="宋体" w:hAnsi="宋体" w:eastAsia="宋体" w:cs="宋体"/>
          <w:sz w:val="24"/>
          <w:szCs w:val="24"/>
          <w:highlight w:val="none"/>
        </w:rPr>
        <w:t>1.4  合同文件的优先顺序</w:t>
      </w:r>
      <w:bookmarkEnd w:id="37"/>
      <w:bookmarkEnd w:id="38"/>
      <w:bookmarkEnd w:id="39"/>
      <w:bookmarkEnd w:id="40"/>
      <w:bookmarkEnd w:id="41"/>
      <w:bookmarkEnd w:id="42"/>
      <w:bookmarkEnd w:id="43"/>
      <w:bookmarkEnd w:id="44"/>
      <w:bookmarkEnd w:id="45"/>
      <w:bookmarkEnd w:id="46"/>
    </w:p>
    <w:p>
      <w:pPr>
        <w:pStyle w:val="44"/>
        <w:tabs>
          <w:tab w:val="left" w:pos="420"/>
        </w:tabs>
        <w:spacing w:line="32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本款修改为：</w:t>
      </w:r>
    </w:p>
    <w:p>
      <w:pPr>
        <w:pStyle w:val="44"/>
        <w:tabs>
          <w:tab w:val="left" w:pos="420"/>
        </w:tabs>
        <w:spacing w:line="32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组成合同的各项文件应互相解释，互为说明解释合同文件的优先顺序如下：</w:t>
      </w:r>
    </w:p>
    <w:p>
      <w:pPr>
        <w:pStyle w:val="44"/>
        <w:tabs>
          <w:tab w:val="left" w:pos="420"/>
        </w:tabs>
        <w:spacing w:line="32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（1）在合同履行过程中双方共同签署的补充文件（含评标期间和合同谈判过程中的澄清文件和补充资料）；</w:t>
      </w:r>
    </w:p>
    <w:p>
      <w:pPr>
        <w:pStyle w:val="44"/>
        <w:tabs>
          <w:tab w:val="left" w:pos="420"/>
        </w:tabs>
        <w:spacing w:line="32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（2）监理合同协议书（含廉政合同、工程质量责任合同、安全监理责任合同、环境保护监理责任合同）；</w:t>
      </w:r>
    </w:p>
    <w:p>
      <w:pPr>
        <w:pStyle w:val="44"/>
        <w:tabs>
          <w:tab w:val="left" w:pos="420"/>
        </w:tabs>
        <w:spacing w:line="32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（3）中标通知书；</w:t>
      </w:r>
    </w:p>
    <w:p>
      <w:pPr>
        <w:pStyle w:val="44"/>
        <w:tabs>
          <w:tab w:val="left" w:pos="420"/>
        </w:tabs>
        <w:spacing w:line="32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（4）投标函；</w:t>
      </w:r>
    </w:p>
    <w:p>
      <w:pPr>
        <w:pStyle w:val="44"/>
        <w:tabs>
          <w:tab w:val="left" w:pos="420"/>
        </w:tabs>
        <w:spacing w:line="32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（5）报价函；</w:t>
      </w:r>
    </w:p>
    <w:p>
      <w:pPr>
        <w:pStyle w:val="44"/>
        <w:tabs>
          <w:tab w:val="left" w:pos="420"/>
        </w:tabs>
        <w:spacing w:line="32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（6）专用合同条款；</w:t>
      </w:r>
    </w:p>
    <w:p>
      <w:pPr>
        <w:pStyle w:val="44"/>
        <w:tabs>
          <w:tab w:val="left" w:pos="420"/>
        </w:tabs>
        <w:spacing w:line="32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（7）通用合同条款；</w:t>
      </w:r>
    </w:p>
    <w:p>
      <w:pPr>
        <w:pStyle w:val="44"/>
        <w:tabs>
          <w:tab w:val="left" w:pos="420"/>
        </w:tabs>
        <w:spacing w:line="32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（8）专用施工监理规范；</w:t>
      </w:r>
    </w:p>
    <w:p>
      <w:pPr>
        <w:pStyle w:val="44"/>
        <w:tabs>
          <w:tab w:val="left" w:pos="420"/>
        </w:tabs>
        <w:spacing w:line="32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（9）通用施工监理规范；</w:t>
      </w:r>
    </w:p>
    <w:p>
      <w:pPr>
        <w:pStyle w:val="44"/>
        <w:tabs>
          <w:tab w:val="left" w:pos="420"/>
        </w:tabs>
        <w:spacing w:line="32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（10）施工技术规范（含施工招标文件补遗书中与此有关内容）；</w:t>
      </w:r>
    </w:p>
    <w:p>
      <w:pPr>
        <w:pStyle w:val="44"/>
        <w:tabs>
          <w:tab w:val="left" w:pos="420"/>
        </w:tabs>
        <w:spacing w:line="32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（11）其他合同文件。</w:t>
      </w:r>
    </w:p>
    <w:p>
      <w:pPr>
        <w:pStyle w:val="44"/>
        <w:spacing w:line="320" w:lineRule="exact"/>
        <w:outlineLvl w:val="2"/>
        <w:rPr>
          <w:rFonts w:hint="eastAsia" w:ascii="宋体" w:hAnsi="宋体" w:eastAsia="宋体" w:cs="宋体"/>
          <w:sz w:val="24"/>
          <w:szCs w:val="24"/>
          <w:highlight w:val="none"/>
        </w:rPr>
      </w:pPr>
      <w:bookmarkStart w:id="47" w:name="_Toc440230991"/>
      <w:bookmarkStart w:id="48" w:name="_Toc436317261"/>
      <w:bookmarkStart w:id="49" w:name="_Toc28266199"/>
      <w:bookmarkStart w:id="50" w:name="_Toc28265955"/>
      <w:bookmarkStart w:id="51" w:name="_Toc434067620"/>
      <w:bookmarkStart w:id="52" w:name="_Toc26106919"/>
      <w:bookmarkStart w:id="53" w:name="_Toc436317796"/>
      <w:bookmarkStart w:id="54" w:name="_Toc436320548"/>
      <w:bookmarkStart w:id="55" w:name="_Toc448775898"/>
      <w:bookmarkStart w:id="56" w:name="_Toc433919433"/>
      <w:bookmarkStart w:id="57" w:name="_Toc440232068"/>
      <w:bookmarkStart w:id="58" w:name="_Toc433918117"/>
      <w:r>
        <w:rPr>
          <w:rFonts w:hint="eastAsia" w:ascii="宋体" w:hAnsi="宋体" w:eastAsia="宋体" w:cs="宋体"/>
          <w:sz w:val="24"/>
          <w:szCs w:val="24"/>
          <w:highlight w:val="none"/>
        </w:rPr>
        <w:t>1.6  技术资料和监理人文件</w:t>
      </w:r>
      <w:bookmarkEnd w:id="47"/>
      <w:bookmarkEnd w:id="48"/>
      <w:bookmarkEnd w:id="49"/>
      <w:bookmarkEnd w:id="50"/>
      <w:bookmarkEnd w:id="51"/>
      <w:bookmarkEnd w:id="52"/>
      <w:bookmarkEnd w:id="53"/>
      <w:bookmarkEnd w:id="54"/>
      <w:bookmarkEnd w:id="55"/>
      <w:bookmarkEnd w:id="56"/>
      <w:bookmarkEnd w:id="57"/>
      <w:bookmarkEnd w:id="58"/>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本款补充第1.6.1（5）目：</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（5）环保、水保报告及批复文件、相关的项目专题报告及科研报告等文件（如有）。</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1.6.2 监理人向发包人提交监理规划及其他监理文件的期限：在监理合同协议书签订后</w:t>
      </w:r>
      <w:r>
        <w:rPr>
          <w:rFonts w:hint="eastAsia" w:ascii="宋体" w:hAnsi="宋体" w:eastAsia="宋体" w:cs="宋体"/>
          <w:sz w:val="24"/>
          <w:szCs w:val="24"/>
          <w:highlight w:val="none"/>
          <w:u w:val="single"/>
        </w:rPr>
        <w:t xml:space="preserve"> 7 </w:t>
      </w:r>
      <w:r>
        <w:rPr>
          <w:rFonts w:hint="eastAsia" w:ascii="宋体" w:hAnsi="宋体" w:eastAsia="宋体" w:cs="宋体"/>
          <w:sz w:val="24"/>
          <w:szCs w:val="24"/>
          <w:highlight w:val="none"/>
        </w:rPr>
        <w:t>日内。</w:t>
      </w:r>
    </w:p>
    <w:p>
      <w:pPr>
        <w:pStyle w:val="44"/>
        <w:spacing w:line="320" w:lineRule="exact"/>
        <w:outlineLvl w:val="2"/>
        <w:rPr>
          <w:rFonts w:hint="eastAsia" w:ascii="宋体" w:hAnsi="宋体" w:eastAsia="宋体" w:cs="宋体"/>
          <w:sz w:val="24"/>
          <w:szCs w:val="24"/>
          <w:highlight w:val="none"/>
        </w:rPr>
      </w:pPr>
      <w:bookmarkStart w:id="59" w:name="_Toc28266200"/>
      <w:bookmarkStart w:id="60" w:name="_Toc28265956"/>
      <w:bookmarkStart w:id="61" w:name="_Toc26106920"/>
      <w:r>
        <w:rPr>
          <w:rFonts w:hint="eastAsia" w:ascii="宋体" w:hAnsi="宋体" w:eastAsia="宋体" w:cs="宋体"/>
          <w:sz w:val="24"/>
          <w:szCs w:val="24"/>
          <w:highlight w:val="none"/>
        </w:rPr>
        <w:t>1.8  转让和分包</w:t>
      </w:r>
      <w:bookmarkEnd w:id="59"/>
      <w:bookmarkEnd w:id="60"/>
      <w:bookmarkEnd w:id="61"/>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第1.8.2项约定为：</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1.8.2 本项目不允许分包。 </w:t>
      </w:r>
    </w:p>
    <w:p>
      <w:pPr>
        <w:pStyle w:val="44"/>
        <w:spacing w:line="320" w:lineRule="exact"/>
        <w:jc w:val="left"/>
        <w:outlineLvl w:val="1"/>
        <w:rPr>
          <w:rFonts w:hint="eastAsia" w:ascii="宋体" w:hAnsi="宋体" w:eastAsia="宋体" w:cs="宋体"/>
          <w:b/>
          <w:sz w:val="24"/>
          <w:szCs w:val="24"/>
          <w:highlight w:val="none"/>
        </w:rPr>
      </w:pPr>
      <w:bookmarkStart w:id="62" w:name="_Toc436320550"/>
      <w:bookmarkStart w:id="63" w:name="_Toc440230993"/>
      <w:bookmarkStart w:id="64" w:name="_Toc436317263"/>
      <w:bookmarkStart w:id="65" w:name="_Toc433919435"/>
      <w:bookmarkStart w:id="66" w:name="_Toc434067622"/>
      <w:bookmarkStart w:id="67" w:name="_Toc440232070"/>
      <w:bookmarkStart w:id="68" w:name="_Toc436317798"/>
      <w:bookmarkStart w:id="69" w:name="_Toc28265957"/>
      <w:bookmarkStart w:id="70" w:name="_Toc28266201"/>
      <w:bookmarkStart w:id="71" w:name="_Toc26106921"/>
      <w:bookmarkStart w:id="72" w:name="_Toc448775900"/>
      <w:bookmarkStart w:id="73" w:name="_Toc433918119"/>
      <w:r>
        <w:rPr>
          <w:rFonts w:hint="eastAsia" w:ascii="宋体" w:hAnsi="宋体" w:eastAsia="宋体" w:cs="宋体"/>
          <w:b/>
          <w:sz w:val="24"/>
          <w:szCs w:val="24"/>
          <w:highlight w:val="none"/>
        </w:rPr>
        <w:t>2. 发包人的义务</w:t>
      </w:r>
      <w:bookmarkEnd w:id="62"/>
      <w:bookmarkEnd w:id="63"/>
      <w:bookmarkEnd w:id="64"/>
      <w:bookmarkEnd w:id="65"/>
      <w:bookmarkEnd w:id="66"/>
      <w:bookmarkEnd w:id="67"/>
      <w:bookmarkEnd w:id="68"/>
      <w:bookmarkEnd w:id="69"/>
      <w:bookmarkEnd w:id="70"/>
      <w:bookmarkEnd w:id="71"/>
      <w:bookmarkEnd w:id="72"/>
      <w:bookmarkEnd w:id="73"/>
    </w:p>
    <w:p>
      <w:pPr>
        <w:pStyle w:val="44"/>
        <w:spacing w:line="320" w:lineRule="exact"/>
        <w:outlineLvl w:val="2"/>
        <w:rPr>
          <w:rFonts w:hint="eastAsia" w:ascii="宋体" w:hAnsi="宋体" w:eastAsia="宋体" w:cs="宋体"/>
          <w:sz w:val="24"/>
          <w:szCs w:val="24"/>
          <w:highlight w:val="none"/>
        </w:rPr>
      </w:pPr>
      <w:bookmarkStart w:id="74" w:name="_Toc440232071"/>
      <w:bookmarkStart w:id="75" w:name="_Toc434067623"/>
      <w:bookmarkStart w:id="76" w:name="_Toc440230994"/>
      <w:bookmarkStart w:id="77" w:name="_Toc433918120"/>
      <w:bookmarkStart w:id="78" w:name="_Toc436320551"/>
      <w:bookmarkStart w:id="79" w:name="_Toc433919436"/>
      <w:bookmarkStart w:id="80" w:name="_Toc26106922"/>
      <w:bookmarkStart w:id="81" w:name="_Toc28266202"/>
      <w:bookmarkStart w:id="82" w:name="_Toc436317264"/>
      <w:bookmarkStart w:id="83" w:name="_Toc448775901"/>
      <w:bookmarkStart w:id="84" w:name="_Toc436317799"/>
      <w:bookmarkStart w:id="85" w:name="_Toc28265958"/>
      <w:r>
        <w:rPr>
          <w:rFonts w:hint="eastAsia" w:ascii="宋体" w:hAnsi="宋体" w:eastAsia="宋体" w:cs="宋体"/>
          <w:sz w:val="24"/>
          <w:szCs w:val="24"/>
          <w:highlight w:val="none"/>
        </w:rPr>
        <w:t>2.2  监理工作条件</w:t>
      </w:r>
      <w:bookmarkEnd w:id="74"/>
      <w:bookmarkEnd w:id="75"/>
      <w:bookmarkEnd w:id="76"/>
      <w:bookmarkEnd w:id="77"/>
      <w:bookmarkEnd w:id="78"/>
      <w:bookmarkEnd w:id="79"/>
      <w:bookmarkEnd w:id="80"/>
      <w:bookmarkEnd w:id="81"/>
      <w:bookmarkEnd w:id="82"/>
      <w:bookmarkEnd w:id="83"/>
      <w:bookmarkEnd w:id="84"/>
      <w:bookmarkEnd w:id="85"/>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删除原内容，改为：</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监理人应自行安排监理办的设施，具体要求详见专用合同条款3.6款规定。 </w:t>
      </w:r>
    </w:p>
    <w:p>
      <w:pPr>
        <w:pStyle w:val="44"/>
        <w:spacing w:line="320" w:lineRule="exact"/>
        <w:outlineLvl w:val="2"/>
        <w:rPr>
          <w:rFonts w:hint="eastAsia" w:ascii="宋体" w:hAnsi="宋体" w:eastAsia="宋体" w:cs="宋体"/>
          <w:sz w:val="24"/>
          <w:szCs w:val="24"/>
          <w:highlight w:val="none"/>
        </w:rPr>
      </w:pPr>
      <w:bookmarkStart w:id="86" w:name="_Toc28265959"/>
      <w:bookmarkStart w:id="87" w:name="_Toc440232072"/>
      <w:bookmarkStart w:id="88" w:name="_Toc434067624"/>
      <w:bookmarkStart w:id="89" w:name="_Toc433919437"/>
      <w:bookmarkStart w:id="90" w:name="_Toc436320552"/>
      <w:bookmarkStart w:id="91" w:name="_Toc28266203"/>
      <w:bookmarkStart w:id="92" w:name="_Toc436317800"/>
      <w:bookmarkStart w:id="93" w:name="_Toc448775902"/>
      <w:bookmarkStart w:id="94" w:name="_Toc26106923"/>
      <w:bookmarkStart w:id="95" w:name="_Toc440230995"/>
      <w:bookmarkStart w:id="96" w:name="_Toc436317265"/>
      <w:bookmarkStart w:id="97" w:name="_Toc433918121"/>
      <w:r>
        <w:rPr>
          <w:rFonts w:hint="eastAsia" w:ascii="宋体" w:hAnsi="宋体" w:eastAsia="宋体" w:cs="宋体"/>
          <w:sz w:val="24"/>
          <w:szCs w:val="24"/>
          <w:highlight w:val="none"/>
        </w:rPr>
        <w:t>2.3  协助</w:t>
      </w:r>
      <w:bookmarkEnd w:id="86"/>
      <w:bookmarkEnd w:id="87"/>
      <w:bookmarkEnd w:id="88"/>
      <w:bookmarkEnd w:id="89"/>
      <w:bookmarkEnd w:id="90"/>
      <w:bookmarkEnd w:id="91"/>
      <w:bookmarkEnd w:id="92"/>
      <w:bookmarkEnd w:id="93"/>
      <w:bookmarkEnd w:id="94"/>
      <w:bookmarkEnd w:id="95"/>
      <w:bookmarkEnd w:id="96"/>
      <w:bookmarkEnd w:id="97"/>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本款修改为：</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发包人在项目所在地对监理人提供如下协助：建立监理服务费用的财务通道；避免监理人根据合同履行监理服务而导致的第三方的收费（不含税金）；解决非监理人原因而发生意外事件时，监理工作人员的返回和相关事宜。</w:t>
      </w:r>
    </w:p>
    <w:p>
      <w:pPr>
        <w:pStyle w:val="44"/>
        <w:spacing w:line="320" w:lineRule="exact"/>
        <w:outlineLvl w:val="2"/>
        <w:rPr>
          <w:rFonts w:hint="eastAsia" w:ascii="宋体" w:hAnsi="宋体" w:eastAsia="宋体" w:cs="宋体"/>
          <w:sz w:val="24"/>
          <w:szCs w:val="24"/>
          <w:highlight w:val="none"/>
        </w:rPr>
      </w:pPr>
      <w:bookmarkStart w:id="98" w:name="_Toc440232073"/>
      <w:bookmarkStart w:id="99" w:name="_Toc26106924"/>
      <w:bookmarkStart w:id="100" w:name="_Toc436317801"/>
      <w:bookmarkStart w:id="101" w:name="_Toc28266204"/>
      <w:bookmarkStart w:id="102" w:name="_Toc436317266"/>
      <w:bookmarkStart w:id="103" w:name="_Toc28265960"/>
      <w:bookmarkStart w:id="104" w:name="_Toc434067625"/>
      <w:bookmarkStart w:id="105" w:name="_Toc440230996"/>
      <w:bookmarkStart w:id="106" w:name="_Toc433919438"/>
      <w:bookmarkStart w:id="107" w:name="_Toc433918122"/>
      <w:bookmarkStart w:id="108" w:name="_Toc448775903"/>
      <w:bookmarkStart w:id="109" w:name="_Toc436320553"/>
      <w:r>
        <w:rPr>
          <w:rFonts w:hint="eastAsia" w:ascii="宋体" w:hAnsi="宋体" w:eastAsia="宋体" w:cs="宋体"/>
          <w:sz w:val="24"/>
          <w:szCs w:val="24"/>
          <w:highlight w:val="none"/>
        </w:rPr>
        <w:t>2.5  代表</w:t>
      </w:r>
      <w:bookmarkEnd w:id="98"/>
      <w:bookmarkEnd w:id="99"/>
      <w:bookmarkEnd w:id="100"/>
      <w:bookmarkEnd w:id="101"/>
      <w:bookmarkEnd w:id="102"/>
      <w:bookmarkEnd w:id="103"/>
      <w:bookmarkEnd w:id="104"/>
      <w:bookmarkEnd w:id="105"/>
      <w:bookmarkEnd w:id="106"/>
      <w:bookmarkEnd w:id="107"/>
      <w:bookmarkEnd w:id="108"/>
      <w:bookmarkEnd w:id="109"/>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发包人授权代表：</w:t>
      </w:r>
      <w:r>
        <w:rPr>
          <w:rFonts w:hint="eastAsia" w:ascii="宋体" w:hAnsi="宋体" w:eastAsia="宋体" w:cs="宋体"/>
          <w:sz w:val="24"/>
          <w:szCs w:val="24"/>
          <w:highlight w:val="none"/>
          <w:u w:val="single"/>
        </w:rPr>
        <w:t>与监理人签订合同协议书时确定发包人授权代表</w:t>
      </w:r>
      <w:r>
        <w:rPr>
          <w:rFonts w:hint="eastAsia" w:ascii="宋体" w:hAnsi="宋体" w:eastAsia="宋体" w:cs="宋体"/>
          <w:sz w:val="24"/>
          <w:szCs w:val="24"/>
          <w:highlight w:val="none"/>
        </w:rPr>
        <w:t>。</w:t>
      </w:r>
    </w:p>
    <w:p>
      <w:pPr>
        <w:pStyle w:val="44"/>
        <w:spacing w:line="320" w:lineRule="exact"/>
        <w:jc w:val="left"/>
        <w:outlineLvl w:val="1"/>
        <w:rPr>
          <w:rFonts w:hint="eastAsia" w:ascii="宋体" w:hAnsi="宋体" w:eastAsia="宋体" w:cs="宋体"/>
          <w:b/>
          <w:sz w:val="24"/>
          <w:szCs w:val="24"/>
          <w:highlight w:val="none"/>
        </w:rPr>
      </w:pPr>
      <w:bookmarkStart w:id="110" w:name="_Toc26106925"/>
      <w:bookmarkStart w:id="111" w:name="_Toc440230997"/>
      <w:bookmarkStart w:id="112" w:name="_Toc28266205"/>
      <w:bookmarkStart w:id="113" w:name="_Toc440232074"/>
      <w:bookmarkStart w:id="114" w:name="_Toc434067626"/>
      <w:bookmarkStart w:id="115" w:name="_Toc28265961"/>
      <w:bookmarkStart w:id="116" w:name="_Toc436320554"/>
      <w:bookmarkStart w:id="117" w:name="_Toc436317267"/>
      <w:bookmarkStart w:id="118" w:name="_Toc448775904"/>
      <w:bookmarkStart w:id="119" w:name="_Toc433918123"/>
      <w:bookmarkStart w:id="120" w:name="_Toc433919439"/>
      <w:bookmarkStart w:id="121" w:name="_Toc436317802"/>
      <w:r>
        <w:rPr>
          <w:rFonts w:hint="eastAsia" w:ascii="宋体" w:hAnsi="宋体" w:eastAsia="宋体" w:cs="宋体"/>
          <w:b/>
          <w:sz w:val="24"/>
          <w:szCs w:val="24"/>
          <w:highlight w:val="none"/>
        </w:rPr>
        <w:t>3. 监理人的义务</w:t>
      </w:r>
      <w:bookmarkEnd w:id="110"/>
      <w:bookmarkEnd w:id="111"/>
      <w:bookmarkEnd w:id="112"/>
      <w:bookmarkEnd w:id="113"/>
      <w:bookmarkEnd w:id="114"/>
      <w:bookmarkEnd w:id="115"/>
      <w:bookmarkEnd w:id="116"/>
      <w:bookmarkEnd w:id="117"/>
      <w:bookmarkEnd w:id="118"/>
      <w:bookmarkEnd w:id="119"/>
      <w:bookmarkEnd w:id="120"/>
      <w:bookmarkEnd w:id="121"/>
    </w:p>
    <w:p>
      <w:pPr>
        <w:pStyle w:val="44"/>
        <w:spacing w:line="320" w:lineRule="exact"/>
        <w:outlineLvl w:val="2"/>
        <w:rPr>
          <w:rFonts w:hint="eastAsia" w:ascii="宋体" w:hAnsi="宋体" w:eastAsia="宋体" w:cs="宋体"/>
          <w:sz w:val="24"/>
          <w:szCs w:val="24"/>
          <w:highlight w:val="none"/>
        </w:rPr>
      </w:pPr>
      <w:bookmarkStart w:id="122" w:name="_Toc436317803"/>
      <w:bookmarkStart w:id="123" w:name="_Toc433919440"/>
      <w:bookmarkStart w:id="124" w:name="_Toc434067627"/>
      <w:bookmarkStart w:id="125" w:name="_Toc436320555"/>
      <w:bookmarkStart w:id="126" w:name="_Toc440232075"/>
      <w:bookmarkStart w:id="127" w:name="_Toc26106926"/>
      <w:bookmarkStart w:id="128" w:name="_Toc28266206"/>
      <w:bookmarkStart w:id="129" w:name="_Toc436317268"/>
      <w:bookmarkStart w:id="130" w:name="_Toc433918124"/>
      <w:bookmarkStart w:id="131" w:name="_Toc440230998"/>
      <w:bookmarkStart w:id="132" w:name="_Toc28265962"/>
      <w:bookmarkStart w:id="133" w:name="_Toc448775905"/>
      <w:r>
        <w:rPr>
          <w:rFonts w:hint="eastAsia" w:ascii="宋体" w:hAnsi="宋体" w:eastAsia="宋体" w:cs="宋体"/>
          <w:sz w:val="24"/>
          <w:szCs w:val="24"/>
          <w:highlight w:val="none"/>
        </w:rPr>
        <w:t>3.1  监理人的一般义务</w:t>
      </w:r>
      <w:bookmarkEnd w:id="122"/>
      <w:bookmarkEnd w:id="123"/>
      <w:bookmarkEnd w:id="124"/>
      <w:bookmarkEnd w:id="125"/>
      <w:bookmarkEnd w:id="126"/>
      <w:bookmarkEnd w:id="127"/>
      <w:bookmarkEnd w:id="128"/>
      <w:bookmarkEnd w:id="129"/>
      <w:bookmarkEnd w:id="130"/>
      <w:bookmarkEnd w:id="131"/>
      <w:bookmarkEnd w:id="132"/>
      <w:bookmarkEnd w:id="133"/>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第3.1.5项修改为：</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3.1.5 其他义务</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监理人应履行合同约定的其他义务，包括，但不限于：</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（1）监理人应按浙江省交通运输厅有关规定报送监理诚信信息。</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（2）监理人应依据监理合同合理使用发包人支付的监理服务费，保证现场监理工作的正常开展，监理人不得擅自挪作他用，并接受发包人对监理服务费使用情况的监督和检查。</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（3）在监理合同有效期间及以后3年内，未经发包人的书面同意，监理人不得泄露发包人与本监理合同有关的任何保密资料。</w:t>
      </w:r>
    </w:p>
    <w:p>
      <w:pPr>
        <w:pStyle w:val="44"/>
        <w:spacing w:line="320" w:lineRule="exact"/>
        <w:outlineLvl w:val="2"/>
        <w:rPr>
          <w:rFonts w:hint="eastAsia" w:ascii="宋体" w:hAnsi="宋体" w:eastAsia="宋体" w:cs="宋体"/>
          <w:sz w:val="24"/>
          <w:szCs w:val="24"/>
          <w:highlight w:val="none"/>
        </w:rPr>
      </w:pPr>
      <w:bookmarkStart w:id="134" w:name="_Toc440232076"/>
      <w:bookmarkStart w:id="135" w:name="_Toc433919441"/>
      <w:bookmarkStart w:id="136" w:name="_Toc26106927"/>
      <w:bookmarkStart w:id="137" w:name="_Toc448775906"/>
      <w:bookmarkStart w:id="138" w:name="_Toc433918125"/>
      <w:bookmarkStart w:id="139" w:name="_Toc440230999"/>
      <w:bookmarkStart w:id="140" w:name="_Toc28266207"/>
      <w:bookmarkStart w:id="141" w:name="_Toc436320556"/>
      <w:bookmarkStart w:id="142" w:name="_Toc436317269"/>
      <w:bookmarkStart w:id="143" w:name="_Toc436317804"/>
      <w:bookmarkStart w:id="144" w:name="_Toc434067628"/>
      <w:bookmarkStart w:id="145" w:name="_Toc28265963"/>
      <w:r>
        <w:rPr>
          <w:rFonts w:hint="eastAsia" w:ascii="宋体" w:hAnsi="宋体" w:eastAsia="宋体" w:cs="宋体"/>
          <w:sz w:val="24"/>
          <w:szCs w:val="24"/>
          <w:highlight w:val="none"/>
        </w:rPr>
        <w:t>3.5  监理人的人员管理</w:t>
      </w:r>
      <w:bookmarkEnd w:id="134"/>
      <w:bookmarkEnd w:id="135"/>
      <w:bookmarkEnd w:id="136"/>
      <w:bookmarkEnd w:id="137"/>
      <w:bookmarkEnd w:id="138"/>
      <w:bookmarkEnd w:id="139"/>
      <w:bookmarkEnd w:id="140"/>
      <w:bookmarkEnd w:id="141"/>
      <w:bookmarkEnd w:id="142"/>
      <w:bookmarkEnd w:id="143"/>
      <w:bookmarkEnd w:id="144"/>
      <w:bookmarkEnd w:id="145"/>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本款补充第3.5.4项～第3.5.9项：</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3.5.4 监理人应派遣投标文件中承诺的监理人员进驻现场，监理人不得随意更换投标文件中承诺的总监和专业监理工程师等主要监理人员，不得配置不符合招标文件要求的其他专业监理工程师和监理员；否则，将视为监理人违约。进场的监理人员应保持稳定，除非发包人另有要求或其它特殊原因，不得随意更换。</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3.5.4.1  以下情况为正常调换：</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（1）投标截止期后90天，双方未签订监理合同，或虽签订了监理合同，但工程不具备开工条件且发包人未按合同规定支付监理服务费的；</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（2）因故连续停工超过90天且发包人未按合同规定支付监理服务费的；</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（3）被替换人升（留）学、出国（境）定居、死亡，或年龄、健康原因影响其监理职责的正常履行的；</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（4）不可预见因素直接或间接导致被替换人的确不能继续留任（不得不长期离开监理办）的；</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（5）发包人认为合理并可接受的其他原因。</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3.5.4.2 以下情况为非正常调换：</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（1）被替换人擅自离岗或监理人擅自调离的；</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（2）因工作失职，发生质量或安全事故被清退的；</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（3）因发生吃拿卡要等廉洁问题被清退的；</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（4）因工作不称职等原因被交通运输主管部门、交通质量监督部门或发包人书面要求调换的；</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（5）替换人根据交通运输部最新信用评价结果，监理工程师个人评价周期内信誉档次有降低的；</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（6）发包人认为不可接受的其他原因。</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3.5.4.3  有以下情况之一的，应视为监理人违约：</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（1）属非正常调换；</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（2）属正常调换，但未按合同规定程序和要求报发包人审查批准；</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（3）替换人的技术职称、监理资格、监理经历、年龄等条件不满足资格审查条件最低要求。</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3.5.4.4  同时满足以下条件时，不应视为监理人违约：</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（1）属正常调换； </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（2）按3.5.4.5的要求提交主要监理人员调换申请，报发包人审查并获得批准（发包人超过14天未予审批的，视为默认）；</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（3）替换人的监理资格、技术职称等条件不低于资格审查条件最低要求且评价周期内交通运输部监理工程师个人信用评价结果档次未下降（总监理工程师不低于投标人投标承诺）； </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（4）有关材料齐全（因健康原因提出的人员调换应附项目所在地县级及以上医院出具相关证明材料）。</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3.5.4.5 若监理人要求调换主要监理人员，必须提前14天向发包人提供以下材料并取得发包人的书面批准，才能派替换的监理人员进场：</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（1）书面请示报告；</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替换人的身份证、毕业证书、技术职称证书、监理资格证书、工作经历与业绩等有关证明材料的彩色打印件或清晰可辨的复印件（原件备查），其中主要监理人员的基本信息应当与浙江交通网站（或交通运输部网站）监理人员信息系统的查询结果一致，如浙江交通网站与交通运输部网站的信息不一致，以浙江交通网站诚信信息系统的查询结果为准。</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3.5.4.6  若监理人要求调换监理员，应报发包人备案（发包人超过14天无异议的，视为默认）。</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3.5.4.7  监理人更换监理人员构成违约的，按7.1款标准在履约担保或支付的监理服务费中扣除。</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3.5.5  发包人有权以书面形式要求监理人更换不能按照监理合同的约定进行监理服务的派驻人员。</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3.5.6监理办的监理人员每个月的工作时间应以满足工程施工进展和监理工作的需要为前提，监理人员（试验人员除外）每个月驻工地的时间为当月法定工作日。</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监理人员的休假应根据工程进展情况合理安排，除特殊情况外，总监的休假必须事先经发包人书面同意，其他监理人员休假必须经总监理工程师书面同意并报发包人。在岗监理人员人数应满足工程正常监理工作的需要。</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3.5.7监理人应当结合本工程特点及监理服务范围和内容，对全体监理人员进行必要的业务培训和考核，并接受发包人组织的上岗摸底考试。对摸底考试不合格的监理人员，将被视为不能胜任监理工作岗位而予以调换。</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3.5.8 缺陷责任期监理人员安排将由发包人根据交工时的工程实际情况确定。不论总监理工程师、合同专业监理工程师是否驻留，当因工作需要，发包人要求其返回工地时，监理人必须满足发包人的要求。</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3.5.9总监的直系或旁系亲属不得在其领导的监理办从事监理工作，也不得在监理办管辖的任何承包人及其分包人、材料供应商等与工程监理有关联的单位工作。</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通用合同条款补充3.6款～3.8款：</w:t>
      </w:r>
    </w:p>
    <w:p>
      <w:pPr>
        <w:pStyle w:val="44"/>
        <w:spacing w:line="320" w:lineRule="exact"/>
        <w:outlineLvl w:val="2"/>
        <w:rPr>
          <w:rFonts w:hint="eastAsia" w:ascii="宋体" w:hAnsi="宋体" w:eastAsia="宋体" w:cs="宋体"/>
          <w:sz w:val="24"/>
          <w:szCs w:val="24"/>
          <w:highlight w:val="none"/>
        </w:rPr>
      </w:pPr>
      <w:bookmarkStart w:id="146" w:name="_Toc436320557"/>
      <w:bookmarkStart w:id="147" w:name="_Toc28266208"/>
      <w:bookmarkStart w:id="148" w:name="_Toc436317270"/>
      <w:bookmarkStart w:id="149" w:name="_Toc448775907"/>
      <w:bookmarkStart w:id="150" w:name="_Toc434067629"/>
      <w:bookmarkStart w:id="151" w:name="_Toc440231000"/>
      <w:bookmarkStart w:id="152" w:name="_Toc436317805"/>
      <w:bookmarkStart w:id="153" w:name="_Toc433919442"/>
      <w:bookmarkStart w:id="154" w:name="_Toc26106928"/>
      <w:bookmarkStart w:id="155" w:name="_Toc440232077"/>
      <w:bookmarkStart w:id="156" w:name="_Toc433918126"/>
      <w:bookmarkStart w:id="157" w:name="_Toc28265964"/>
      <w:r>
        <w:rPr>
          <w:rFonts w:hint="eastAsia" w:ascii="宋体" w:hAnsi="宋体" w:eastAsia="宋体" w:cs="宋体"/>
          <w:sz w:val="24"/>
          <w:szCs w:val="24"/>
          <w:highlight w:val="none"/>
        </w:rPr>
        <w:t>3.6  监理办基本设施</w:t>
      </w:r>
      <w:bookmarkEnd w:id="146"/>
      <w:bookmarkEnd w:id="147"/>
      <w:bookmarkEnd w:id="148"/>
      <w:bookmarkEnd w:id="149"/>
      <w:bookmarkEnd w:id="150"/>
      <w:bookmarkEnd w:id="151"/>
      <w:bookmarkEnd w:id="152"/>
      <w:bookmarkEnd w:id="153"/>
      <w:bookmarkEnd w:id="154"/>
      <w:bookmarkEnd w:id="155"/>
      <w:bookmarkEnd w:id="156"/>
      <w:bookmarkEnd w:id="157"/>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3.6.1  监理人应自行安排监理办的基本设施，其生活用房及必需的办公、生活设施、交通工具、通讯工具以及各种测量仪器均由监理人自备，其费用计入监理服务费报价。上述费用及监理办配套辅助人员由投标人在招标文件给定的范围内报价，专款用于监理办建设及配套辅助人员费用，其支付办法详见专用合同条款6.3.2（9）目，投标人报价按招标文件“第五章 监理服务费报价”相关表式进行填报。监理办必须满足本工程监理正常需要的办公设备和生活设施：</w:t>
      </w:r>
    </w:p>
    <w:p>
      <w:pPr>
        <w:pStyle w:val="44"/>
        <w:spacing w:line="320" w:lineRule="exact"/>
        <w:ind w:firstLine="482" w:firstLineChars="200"/>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主要办公、生活用房配备要求    </w:t>
      </w:r>
      <w:r>
        <w:rPr>
          <w:rFonts w:hint="eastAsia" w:ascii="宋体" w:hAnsi="宋体" w:eastAsia="宋体" w:cs="宋体"/>
          <w:bCs/>
          <w:sz w:val="24"/>
          <w:szCs w:val="24"/>
          <w:highlight w:val="none"/>
        </w:rPr>
        <w:t xml:space="preserve">    </w:t>
      </w:r>
      <w:r>
        <w:rPr>
          <w:rFonts w:hint="eastAsia" w:ascii="宋体" w:hAnsi="宋体" w:eastAsia="宋体" w:cs="宋体"/>
          <w:sz w:val="24"/>
          <w:szCs w:val="24"/>
          <w:highlight w:val="none"/>
        </w:rPr>
        <w:t>表1</w:t>
      </w:r>
    </w:p>
    <w:tbl>
      <w:tblPr>
        <w:tblStyle w:val="20"/>
        <w:tblW w:w="4622" w:type="pct"/>
        <w:tblInd w:w="3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9"/>
        <w:gridCol w:w="1589"/>
        <w:gridCol w:w="1589"/>
        <w:gridCol w:w="1589"/>
        <w:gridCol w:w="15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5" w:hRule="atLeast"/>
        </w:trPr>
        <w:tc>
          <w:tcPr>
            <w:tcW w:w="1000" w:type="pct"/>
            <w:noWrap w:val="0"/>
            <w:vAlign w:val="center"/>
          </w:tcPr>
          <w:p>
            <w:pPr>
              <w:pStyle w:val="11"/>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编号</w:t>
            </w:r>
          </w:p>
        </w:tc>
        <w:tc>
          <w:tcPr>
            <w:tcW w:w="1000" w:type="pct"/>
            <w:noWrap w:val="0"/>
            <w:vAlign w:val="center"/>
          </w:tcPr>
          <w:p>
            <w:pPr>
              <w:pStyle w:val="44"/>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名    称</w:t>
            </w:r>
          </w:p>
        </w:tc>
        <w:tc>
          <w:tcPr>
            <w:tcW w:w="1000" w:type="pct"/>
            <w:noWrap w:val="0"/>
            <w:vAlign w:val="center"/>
          </w:tcPr>
          <w:p>
            <w:pPr>
              <w:pStyle w:val="44"/>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1000" w:type="pct"/>
            <w:noWrap w:val="0"/>
            <w:vAlign w:val="center"/>
          </w:tcPr>
          <w:p>
            <w:pPr>
              <w:pStyle w:val="44"/>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1000" w:type="pct"/>
            <w:noWrap w:val="0"/>
            <w:vAlign w:val="center"/>
          </w:tcPr>
          <w:p>
            <w:pPr>
              <w:pStyle w:val="44"/>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4" w:hRule="atLeast"/>
        </w:trPr>
        <w:tc>
          <w:tcPr>
            <w:tcW w:w="1000" w:type="pct"/>
            <w:noWrap w:val="0"/>
            <w:vAlign w:val="center"/>
          </w:tcPr>
          <w:p>
            <w:pPr>
              <w:pStyle w:val="44"/>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000" w:type="pct"/>
            <w:noWrap w:val="0"/>
            <w:vAlign w:val="center"/>
          </w:tcPr>
          <w:p>
            <w:pPr>
              <w:pStyle w:val="44"/>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办公用房</w:t>
            </w:r>
          </w:p>
        </w:tc>
        <w:tc>
          <w:tcPr>
            <w:tcW w:w="1000" w:type="pct"/>
            <w:noWrap w:val="0"/>
            <w:vAlign w:val="center"/>
          </w:tcPr>
          <w:p>
            <w:pPr>
              <w:pStyle w:val="44"/>
              <w:spacing w:line="320" w:lineRule="exact"/>
              <w:jc w:val="center"/>
              <w:rPr>
                <w:rFonts w:hint="eastAsia" w:ascii="宋体" w:hAnsi="宋体" w:eastAsia="宋体" w:cs="宋体"/>
                <w:sz w:val="24"/>
                <w:szCs w:val="24"/>
                <w:highlight w:val="none"/>
                <w:vertAlign w:val="superscript"/>
              </w:rPr>
            </w:pPr>
            <w:r>
              <w:rPr>
                <w:rFonts w:hint="eastAsia" w:ascii="宋体" w:hAnsi="宋体" w:eastAsia="宋体" w:cs="宋体"/>
                <w:sz w:val="24"/>
                <w:szCs w:val="24"/>
                <w:highlight w:val="none"/>
              </w:rPr>
              <w:t>m</w:t>
            </w:r>
            <w:r>
              <w:rPr>
                <w:rFonts w:hint="eastAsia" w:ascii="宋体" w:hAnsi="宋体" w:eastAsia="宋体" w:cs="宋体"/>
                <w:sz w:val="24"/>
                <w:szCs w:val="24"/>
                <w:highlight w:val="none"/>
                <w:vertAlign w:val="superscript"/>
              </w:rPr>
              <w:t>2</w:t>
            </w:r>
          </w:p>
        </w:tc>
        <w:tc>
          <w:tcPr>
            <w:tcW w:w="1000" w:type="pct"/>
            <w:noWrap w:val="0"/>
            <w:vAlign w:val="center"/>
          </w:tcPr>
          <w:p>
            <w:pPr>
              <w:pStyle w:val="44"/>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w:t>
            </w:r>
          </w:p>
        </w:tc>
        <w:tc>
          <w:tcPr>
            <w:tcW w:w="1000" w:type="pct"/>
            <w:noWrap w:val="0"/>
            <w:vAlign w:val="center"/>
          </w:tcPr>
          <w:p>
            <w:pPr>
              <w:pStyle w:val="44"/>
              <w:spacing w:line="320" w:lineRule="exact"/>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4" w:hRule="atLeast"/>
        </w:trPr>
        <w:tc>
          <w:tcPr>
            <w:tcW w:w="1000" w:type="pct"/>
            <w:noWrap w:val="0"/>
            <w:vAlign w:val="center"/>
          </w:tcPr>
          <w:p>
            <w:pPr>
              <w:pStyle w:val="44"/>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000" w:type="pct"/>
            <w:noWrap w:val="0"/>
            <w:vAlign w:val="center"/>
          </w:tcPr>
          <w:p>
            <w:pPr>
              <w:pStyle w:val="44"/>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会议室</w:t>
            </w:r>
          </w:p>
        </w:tc>
        <w:tc>
          <w:tcPr>
            <w:tcW w:w="1000" w:type="pct"/>
            <w:noWrap w:val="0"/>
            <w:vAlign w:val="center"/>
          </w:tcPr>
          <w:p>
            <w:pPr>
              <w:pStyle w:val="44"/>
              <w:spacing w:line="320" w:lineRule="exact"/>
              <w:jc w:val="center"/>
              <w:rPr>
                <w:rFonts w:hint="eastAsia" w:ascii="宋体" w:hAnsi="宋体" w:eastAsia="宋体" w:cs="宋体"/>
                <w:sz w:val="24"/>
                <w:szCs w:val="24"/>
                <w:highlight w:val="none"/>
                <w:vertAlign w:val="superscript"/>
              </w:rPr>
            </w:pPr>
            <w:r>
              <w:rPr>
                <w:rFonts w:hint="eastAsia" w:ascii="宋体" w:hAnsi="宋体" w:eastAsia="宋体" w:cs="宋体"/>
                <w:sz w:val="24"/>
                <w:szCs w:val="24"/>
                <w:highlight w:val="none"/>
              </w:rPr>
              <w:t>m</w:t>
            </w:r>
            <w:r>
              <w:rPr>
                <w:rFonts w:hint="eastAsia" w:ascii="宋体" w:hAnsi="宋体" w:eastAsia="宋体" w:cs="宋体"/>
                <w:sz w:val="24"/>
                <w:szCs w:val="24"/>
                <w:highlight w:val="none"/>
                <w:vertAlign w:val="superscript"/>
              </w:rPr>
              <w:t>2</w:t>
            </w:r>
          </w:p>
        </w:tc>
        <w:tc>
          <w:tcPr>
            <w:tcW w:w="1000" w:type="pct"/>
            <w:noWrap w:val="0"/>
            <w:vAlign w:val="center"/>
          </w:tcPr>
          <w:p>
            <w:pPr>
              <w:pStyle w:val="44"/>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w:t>
            </w:r>
          </w:p>
        </w:tc>
        <w:tc>
          <w:tcPr>
            <w:tcW w:w="1000" w:type="pct"/>
            <w:noWrap w:val="0"/>
            <w:vAlign w:val="center"/>
          </w:tcPr>
          <w:p>
            <w:pPr>
              <w:pStyle w:val="44"/>
              <w:spacing w:line="320" w:lineRule="exact"/>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4" w:hRule="atLeast"/>
        </w:trPr>
        <w:tc>
          <w:tcPr>
            <w:tcW w:w="1000" w:type="pct"/>
            <w:noWrap w:val="0"/>
            <w:vAlign w:val="center"/>
          </w:tcPr>
          <w:p>
            <w:pPr>
              <w:pStyle w:val="44"/>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000" w:type="pct"/>
            <w:noWrap w:val="0"/>
            <w:vAlign w:val="center"/>
          </w:tcPr>
          <w:p>
            <w:pPr>
              <w:pStyle w:val="44"/>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生活用房</w:t>
            </w:r>
          </w:p>
        </w:tc>
        <w:tc>
          <w:tcPr>
            <w:tcW w:w="1000" w:type="pct"/>
            <w:noWrap w:val="0"/>
            <w:vAlign w:val="center"/>
          </w:tcPr>
          <w:p>
            <w:pPr>
              <w:pStyle w:val="44"/>
              <w:spacing w:line="320" w:lineRule="exact"/>
              <w:jc w:val="center"/>
              <w:rPr>
                <w:rFonts w:hint="eastAsia" w:ascii="宋体" w:hAnsi="宋体" w:eastAsia="宋体" w:cs="宋体"/>
                <w:sz w:val="24"/>
                <w:szCs w:val="24"/>
                <w:highlight w:val="none"/>
                <w:vertAlign w:val="superscript"/>
              </w:rPr>
            </w:pPr>
            <w:r>
              <w:rPr>
                <w:rFonts w:hint="eastAsia" w:ascii="宋体" w:hAnsi="宋体" w:eastAsia="宋体" w:cs="宋体"/>
                <w:sz w:val="24"/>
                <w:szCs w:val="24"/>
                <w:highlight w:val="none"/>
              </w:rPr>
              <w:t>m</w:t>
            </w:r>
            <w:r>
              <w:rPr>
                <w:rFonts w:hint="eastAsia" w:ascii="宋体" w:hAnsi="宋体" w:eastAsia="宋体" w:cs="宋体"/>
                <w:sz w:val="24"/>
                <w:szCs w:val="24"/>
                <w:highlight w:val="none"/>
                <w:vertAlign w:val="superscript"/>
              </w:rPr>
              <w:t>2</w:t>
            </w:r>
          </w:p>
        </w:tc>
        <w:tc>
          <w:tcPr>
            <w:tcW w:w="1000" w:type="pct"/>
            <w:noWrap w:val="0"/>
            <w:vAlign w:val="top"/>
          </w:tcPr>
          <w:p>
            <w:pPr>
              <w:pStyle w:val="44"/>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w:t>
            </w:r>
          </w:p>
        </w:tc>
        <w:tc>
          <w:tcPr>
            <w:tcW w:w="1000" w:type="pct"/>
            <w:noWrap w:val="0"/>
            <w:vAlign w:val="center"/>
          </w:tcPr>
          <w:p>
            <w:pPr>
              <w:pStyle w:val="44"/>
              <w:spacing w:line="320" w:lineRule="exact"/>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4" w:hRule="atLeast"/>
        </w:trPr>
        <w:tc>
          <w:tcPr>
            <w:tcW w:w="1000" w:type="pct"/>
            <w:noWrap w:val="0"/>
            <w:vAlign w:val="center"/>
          </w:tcPr>
          <w:p>
            <w:pPr>
              <w:pStyle w:val="44"/>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000" w:type="pct"/>
            <w:noWrap w:val="0"/>
            <w:vAlign w:val="center"/>
          </w:tcPr>
          <w:p>
            <w:pPr>
              <w:pStyle w:val="44"/>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档案室</w:t>
            </w:r>
          </w:p>
        </w:tc>
        <w:tc>
          <w:tcPr>
            <w:tcW w:w="1000" w:type="pct"/>
            <w:noWrap w:val="0"/>
            <w:vAlign w:val="center"/>
          </w:tcPr>
          <w:p>
            <w:pPr>
              <w:pStyle w:val="44"/>
              <w:spacing w:line="320" w:lineRule="exact"/>
              <w:jc w:val="center"/>
              <w:rPr>
                <w:rFonts w:hint="eastAsia" w:ascii="宋体" w:hAnsi="宋体" w:eastAsia="宋体" w:cs="宋体"/>
                <w:sz w:val="24"/>
                <w:szCs w:val="24"/>
                <w:highlight w:val="none"/>
                <w:vertAlign w:val="superscript"/>
              </w:rPr>
            </w:pPr>
            <w:r>
              <w:rPr>
                <w:rFonts w:hint="eastAsia" w:ascii="宋体" w:hAnsi="宋体" w:eastAsia="宋体" w:cs="宋体"/>
                <w:sz w:val="24"/>
                <w:szCs w:val="24"/>
                <w:highlight w:val="none"/>
              </w:rPr>
              <w:t>m</w:t>
            </w:r>
            <w:r>
              <w:rPr>
                <w:rFonts w:hint="eastAsia" w:ascii="宋体" w:hAnsi="宋体" w:eastAsia="宋体" w:cs="宋体"/>
                <w:sz w:val="24"/>
                <w:szCs w:val="24"/>
                <w:highlight w:val="none"/>
                <w:vertAlign w:val="superscript"/>
              </w:rPr>
              <w:t>2</w:t>
            </w:r>
          </w:p>
        </w:tc>
        <w:tc>
          <w:tcPr>
            <w:tcW w:w="1000" w:type="pct"/>
            <w:noWrap w:val="0"/>
            <w:vAlign w:val="center"/>
          </w:tcPr>
          <w:p>
            <w:pPr>
              <w:pStyle w:val="44"/>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000" w:type="pct"/>
            <w:noWrap w:val="0"/>
            <w:vAlign w:val="center"/>
          </w:tcPr>
          <w:p>
            <w:pPr>
              <w:pStyle w:val="44"/>
              <w:spacing w:line="320" w:lineRule="exact"/>
              <w:jc w:val="center"/>
              <w:rPr>
                <w:rFonts w:hint="eastAsia" w:ascii="宋体" w:hAnsi="宋体" w:eastAsia="宋体" w:cs="宋体"/>
                <w:sz w:val="24"/>
                <w:szCs w:val="24"/>
                <w:highlight w:val="none"/>
              </w:rPr>
            </w:pPr>
          </w:p>
        </w:tc>
      </w:tr>
    </w:tbl>
    <w:p>
      <w:pPr>
        <w:pStyle w:val="44"/>
        <w:spacing w:line="320" w:lineRule="exact"/>
        <w:ind w:firstLine="482" w:firstLineChars="20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                 </w:t>
      </w:r>
    </w:p>
    <w:p>
      <w:pPr>
        <w:pStyle w:val="44"/>
        <w:wordWrap w:val="0"/>
        <w:spacing w:line="320" w:lineRule="exact"/>
        <w:ind w:right="246" w:rightChars="117"/>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              主要测量、试验仪器配备要求         </w:t>
      </w:r>
      <w:r>
        <w:rPr>
          <w:rFonts w:hint="eastAsia" w:ascii="宋体" w:hAnsi="宋体" w:eastAsia="宋体" w:cs="宋体"/>
          <w:b/>
          <w:sz w:val="24"/>
          <w:szCs w:val="24"/>
          <w:highlight w:val="none"/>
        </w:rPr>
        <w:t xml:space="preserve">   </w:t>
      </w:r>
      <w:r>
        <w:rPr>
          <w:rFonts w:hint="eastAsia" w:ascii="宋体" w:hAnsi="宋体" w:eastAsia="宋体" w:cs="宋体"/>
          <w:sz w:val="24"/>
          <w:szCs w:val="24"/>
          <w:highlight w:val="none"/>
        </w:rPr>
        <w:t>表5</w:t>
      </w:r>
    </w:p>
    <w:p>
      <w:pPr>
        <w:pStyle w:val="44"/>
        <w:spacing w:line="320" w:lineRule="exact"/>
        <w:jc w:val="center"/>
        <w:rPr>
          <w:rFonts w:hint="eastAsia" w:ascii="宋体" w:hAnsi="宋体" w:eastAsia="宋体" w:cs="宋体"/>
          <w:sz w:val="24"/>
          <w:szCs w:val="24"/>
          <w:highlight w:val="none"/>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2"/>
        <w:gridCol w:w="2619"/>
        <w:gridCol w:w="1814"/>
        <w:gridCol w:w="1251"/>
        <w:gridCol w:w="13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22" w:type="dxa"/>
            <w:noWrap w:val="0"/>
            <w:vAlign w:val="center"/>
          </w:tcPr>
          <w:p>
            <w:pPr>
              <w:pStyle w:val="11"/>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编号</w:t>
            </w:r>
          </w:p>
        </w:tc>
        <w:tc>
          <w:tcPr>
            <w:tcW w:w="2619" w:type="dxa"/>
            <w:noWrap w:val="0"/>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名    称</w:t>
            </w:r>
          </w:p>
        </w:tc>
        <w:tc>
          <w:tcPr>
            <w:tcW w:w="1814" w:type="dxa"/>
            <w:noWrap w:val="0"/>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1251" w:type="dxa"/>
            <w:noWrap w:val="0"/>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1328" w:type="dxa"/>
            <w:noWrap w:val="0"/>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22" w:type="dxa"/>
            <w:noWrap w:val="0"/>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619" w:type="dxa"/>
            <w:noWrap w:val="0"/>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全 站 仪</w:t>
            </w:r>
          </w:p>
        </w:tc>
        <w:tc>
          <w:tcPr>
            <w:tcW w:w="1814" w:type="dxa"/>
            <w:noWrap w:val="0"/>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1251" w:type="dxa"/>
            <w:noWrap w:val="0"/>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328" w:type="dxa"/>
            <w:noWrap w:val="0"/>
            <w:vAlign w:val="center"/>
          </w:tcPr>
          <w:p>
            <w:pPr>
              <w:spacing w:line="320" w:lineRule="exact"/>
              <w:jc w:val="center"/>
              <w:rPr>
                <w:rFonts w:hint="eastAsia" w:ascii="宋体" w:hAnsi="宋体" w:eastAsia="宋体" w:cs="宋体"/>
                <w:sz w:val="24"/>
                <w:szCs w:val="24"/>
                <w:highlight w:val="none"/>
              </w:rPr>
            </w:pPr>
          </w:p>
        </w:tc>
      </w:tr>
    </w:tbl>
    <w:p>
      <w:pPr>
        <w:pStyle w:val="44"/>
        <w:spacing w:line="320" w:lineRule="exact"/>
        <w:ind w:firstLine="1084" w:firstLineChars="450"/>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3.6.2  监理人未按上述要求配备必需的设施、设备和物品，影响工程进展，发包人有权购买任何未按规定应由监理人自备的设施、设备和物品及其安装和服务，费用均由监理人负担，并在中期支付中将此款扣除。</w:t>
      </w:r>
    </w:p>
    <w:p>
      <w:pPr>
        <w:pStyle w:val="44"/>
        <w:spacing w:line="320" w:lineRule="exact"/>
        <w:outlineLvl w:val="2"/>
        <w:rPr>
          <w:rFonts w:hint="eastAsia" w:ascii="宋体" w:hAnsi="宋体" w:eastAsia="宋体" w:cs="宋体"/>
          <w:sz w:val="24"/>
          <w:szCs w:val="24"/>
          <w:highlight w:val="none"/>
        </w:rPr>
      </w:pPr>
      <w:bookmarkStart w:id="158" w:name="_Toc441399908"/>
      <w:bookmarkStart w:id="159" w:name="_Toc434067631"/>
      <w:bookmarkStart w:id="160" w:name="_Toc433919444"/>
      <w:bookmarkStart w:id="161" w:name="_Toc28266210"/>
      <w:bookmarkStart w:id="162" w:name="_Toc433918128"/>
      <w:bookmarkStart w:id="163" w:name="_Toc448775909"/>
      <w:bookmarkStart w:id="164" w:name="_Toc440231002"/>
      <w:bookmarkStart w:id="165" w:name="_Toc28265966"/>
      <w:bookmarkStart w:id="166" w:name="_Toc436317272"/>
      <w:bookmarkStart w:id="167" w:name="_Toc440232079"/>
      <w:bookmarkStart w:id="168" w:name="_Toc436317807"/>
      <w:bookmarkStart w:id="169" w:name="_Toc436320559"/>
      <w:bookmarkStart w:id="170" w:name="_Toc26106930"/>
      <w:r>
        <w:rPr>
          <w:rFonts w:hint="eastAsia" w:ascii="宋体" w:hAnsi="宋体" w:eastAsia="宋体" w:cs="宋体"/>
          <w:sz w:val="24"/>
          <w:szCs w:val="24"/>
          <w:highlight w:val="none"/>
        </w:rPr>
        <w:t>3.8  发包人财产</w:t>
      </w:r>
      <w:bookmarkEnd w:id="158"/>
      <w:bookmarkEnd w:id="159"/>
      <w:bookmarkEnd w:id="160"/>
      <w:bookmarkEnd w:id="161"/>
      <w:bookmarkEnd w:id="162"/>
      <w:bookmarkEnd w:id="163"/>
      <w:bookmarkEnd w:id="164"/>
      <w:bookmarkEnd w:id="165"/>
      <w:bookmarkEnd w:id="166"/>
      <w:bookmarkEnd w:id="167"/>
      <w:bookmarkEnd w:id="168"/>
      <w:bookmarkEnd w:id="169"/>
      <w:bookmarkEnd w:id="170"/>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工程所有设计文件、规范、报表和其他由监理人为提供监理服务而制备的文件资料（包括摄像、录音和电子文档等）均属发包人财产。监理人在监理服务完成或合同中止前，应将上述文件、图表、签认的凭证、监理日志、监理指令等资料，按《浙江省水运工程项目竣工文件编制办法》的规定，进行汇总、整理、装订成册，作为施工监理的竣工或阶段性资料，交付给发包人，监理人保留一份副本。上其所需费用应包含在监理服务费报价中。</w:t>
      </w:r>
    </w:p>
    <w:p>
      <w:pPr>
        <w:pStyle w:val="44"/>
        <w:spacing w:line="320" w:lineRule="exact"/>
        <w:jc w:val="left"/>
        <w:outlineLvl w:val="1"/>
        <w:rPr>
          <w:rFonts w:hint="eastAsia" w:ascii="宋体" w:hAnsi="宋体" w:eastAsia="宋体" w:cs="宋体"/>
          <w:b/>
          <w:sz w:val="24"/>
          <w:szCs w:val="24"/>
          <w:highlight w:val="none"/>
        </w:rPr>
      </w:pPr>
      <w:bookmarkStart w:id="171" w:name="_Toc436320560"/>
      <w:bookmarkStart w:id="172" w:name="_Toc28265967"/>
      <w:bookmarkStart w:id="173" w:name="_Toc436317273"/>
      <w:bookmarkStart w:id="174" w:name="_Toc440231003"/>
      <w:bookmarkStart w:id="175" w:name="_Toc28266211"/>
      <w:bookmarkStart w:id="176" w:name="_Toc434067632"/>
      <w:bookmarkStart w:id="177" w:name="_Toc441399909"/>
      <w:bookmarkStart w:id="178" w:name="_Toc433918129"/>
      <w:bookmarkStart w:id="179" w:name="_Toc436317808"/>
      <w:bookmarkStart w:id="180" w:name="_Toc433919445"/>
      <w:bookmarkStart w:id="181" w:name="_Toc448775910"/>
      <w:bookmarkStart w:id="182" w:name="_Toc440232080"/>
      <w:bookmarkStart w:id="183" w:name="_Toc26106931"/>
      <w:r>
        <w:rPr>
          <w:rFonts w:hint="eastAsia" w:ascii="宋体" w:hAnsi="宋体" w:eastAsia="宋体" w:cs="宋体"/>
          <w:b/>
          <w:sz w:val="24"/>
          <w:szCs w:val="24"/>
          <w:highlight w:val="none"/>
        </w:rPr>
        <w:t>4. 监理服务</w:t>
      </w:r>
      <w:bookmarkEnd w:id="171"/>
      <w:bookmarkEnd w:id="172"/>
      <w:bookmarkEnd w:id="173"/>
      <w:bookmarkEnd w:id="174"/>
      <w:bookmarkEnd w:id="175"/>
      <w:bookmarkEnd w:id="176"/>
      <w:bookmarkEnd w:id="177"/>
      <w:bookmarkEnd w:id="178"/>
      <w:bookmarkEnd w:id="179"/>
      <w:bookmarkEnd w:id="180"/>
      <w:bookmarkEnd w:id="181"/>
      <w:bookmarkEnd w:id="182"/>
      <w:bookmarkEnd w:id="183"/>
    </w:p>
    <w:p>
      <w:pPr>
        <w:pStyle w:val="44"/>
        <w:spacing w:line="320" w:lineRule="exact"/>
        <w:outlineLvl w:val="2"/>
        <w:rPr>
          <w:rFonts w:hint="eastAsia" w:ascii="宋体" w:hAnsi="宋体" w:eastAsia="宋体" w:cs="宋体"/>
          <w:sz w:val="24"/>
          <w:szCs w:val="24"/>
          <w:highlight w:val="none"/>
        </w:rPr>
      </w:pPr>
      <w:bookmarkStart w:id="184" w:name="_Toc448775911"/>
      <w:bookmarkStart w:id="185" w:name="_Toc26106932"/>
      <w:bookmarkStart w:id="186" w:name="_Toc436320561"/>
      <w:bookmarkStart w:id="187" w:name="_Toc28265968"/>
      <w:bookmarkStart w:id="188" w:name="_Toc28266212"/>
      <w:bookmarkStart w:id="189" w:name="_Toc436317809"/>
      <w:bookmarkStart w:id="190" w:name="_Toc433918130"/>
      <w:bookmarkStart w:id="191" w:name="_Toc433919446"/>
      <w:bookmarkStart w:id="192" w:name="_Toc440232081"/>
      <w:bookmarkStart w:id="193" w:name="_Toc440231004"/>
      <w:bookmarkStart w:id="194" w:name="_Toc441399910"/>
      <w:bookmarkStart w:id="195" w:name="_Toc436317274"/>
      <w:bookmarkStart w:id="196" w:name="_Toc434067633"/>
      <w:r>
        <w:rPr>
          <w:rFonts w:hint="eastAsia" w:ascii="宋体" w:hAnsi="宋体" w:eastAsia="宋体" w:cs="宋体"/>
          <w:sz w:val="24"/>
          <w:szCs w:val="24"/>
          <w:highlight w:val="none"/>
        </w:rPr>
        <w:t>4.1  监理机构形式</w:t>
      </w:r>
      <w:bookmarkEnd w:id="184"/>
      <w:bookmarkEnd w:id="185"/>
      <w:bookmarkEnd w:id="186"/>
      <w:bookmarkEnd w:id="187"/>
      <w:bookmarkEnd w:id="188"/>
      <w:bookmarkEnd w:id="189"/>
      <w:bookmarkEnd w:id="190"/>
      <w:bookmarkEnd w:id="191"/>
      <w:bookmarkEnd w:id="192"/>
      <w:bookmarkEnd w:id="193"/>
      <w:bookmarkEnd w:id="194"/>
      <w:bookmarkEnd w:id="195"/>
      <w:bookmarkEnd w:id="196"/>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本款修改为：</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4.1.1监理机构形式：本工程实行总监理工程师负责制。</w:t>
      </w:r>
    </w:p>
    <w:p>
      <w:pPr>
        <w:pStyle w:val="44"/>
        <w:spacing w:line="320" w:lineRule="exact"/>
        <w:ind w:right="422"/>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                   监理机构岗位设置要求表                     表6</w:t>
      </w:r>
    </w:p>
    <w:tbl>
      <w:tblPr>
        <w:tblStyle w:val="20"/>
        <w:tblW w:w="90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82"/>
        <w:gridCol w:w="1276"/>
        <w:gridCol w:w="1134"/>
        <w:gridCol w:w="2642"/>
        <w:gridCol w:w="860"/>
        <w:gridCol w:w="12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35" w:hRule="atLeast"/>
          <w:jc w:val="center"/>
        </w:trPr>
        <w:tc>
          <w:tcPr>
            <w:tcW w:w="1882" w:type="dxa"/>
            <w:tcBorders>
              <w:top w:val="single" w:color="auto" w:sz="12" w:space="0"/>
              <w:left w:val="single" w:color="auto" w:sz="12" w:space="0"/>
              <w:bottom w:val="single" w:color="auto" w:sz="6" w:space="0"/>
              <w:right w:val="single" w:color="auto" w:sz="6" w:space="0"/>
            </w:tcBorders>
            <w:noWrap w:val="0"/>
            <w:tcMar>
              <w:top w:w="28" w:type="dxa"/>
              <w:left w:w="28" w:type="dxa"/>
              <w:bottom w:w="28" w:type="dxa"/>
              <w:right w:w="28" w:type="dxa"/>
            </w:tcMar>
            <w:vAlign w:val="center"/>
          </w:tcPr>
          <w:p>
            <w:pPr>
              <w:pStyle w:val="44"/>
              <w:spacing w:line="320" w:lineRule="exact"/>
              <w:jc w:val="center"/>
              <w:rPr>
                <w:rFonts w:hint="eastAsia" w:ascii="宋体" w:hAnsi="宋体" w:eastAsia="宋体" w:cs="宋体"/>
                <w:b/>
                <w:spacing w:val="-8"/>
                <w:sz w:val="24"/>
                <w:szCs w:val="24"/>
                <w:highlight w:val="none"/>
              </w:rPr>
            </w:pPr>
            <w:r>
              <w:rPr>
                <w:rFonts w:hint="eastAsia" w:ascii="宋体" w:hAnsi="宋体" w:eastAsia="宋体" w:cs="宋体"/>
                <w:b/>
                <w:spacing w:val="-8"/>
                <w:sz w:val="24"/>
                <w:szCs w:val="24"/>
                <w:highlight w:val="none"/>
              </w:rPr>
              <w:t>监理岗位</w:t>
            </w:r>
          </w:p>
        </w:tc>
        <w:tc>
          <w:tcPr>
            <w:tcW w:w="1276" w:type="dxa"/>
            <w:tcBorders>
              <w:top w:val="single" w:color="auto" w:sz="12" w:space="0"/>
              <w:left w:val="single" w:color="auto" w:sz="6" w:space="0"/>
              <w:right w:val="single" w:color="auto" w:sz="6" w:space="0"/>
            </w:tcBorders>
            <w:noWrap w:val="0"/>
            <w:tcMar>
              <w:top w:w="28" w:type="dxa"/>
              <w:left w:w="28" w:type="dxa"/>
              <w:bottom w:w="28" w:type="dxa"/>
              <w:right w:w="28" w:type="dxa"/>
            </w:tcMar>
            <w:vAlign w:val="center"/>
          </w:tcPr>
          <w:p>
            <w:pPr>
              <w:pStyle w:val="44"/>
              <w:spacing w:line="320" w:lineRule="exact"/>
              <w:jc w:val="center"/>
              <w:rPr>
                <w:rFonts w:hint="eastAsia" w:ascii="宋体" w:hAnsi="宋体" w:eastAsia="宋体" w:cs="宋体"/>
                <w:b/>
                <w:spacing w:val="-16"/>
                <w:sz w:val="24"/>
                <w:szCs w:val="24"/>
                <w:highlight w:val="none"/>
              </w:rPr>
            </w:pPr>
            <w:r>
              <w:rPr>
                <w:rFonts w:hint="eastAsia" w:ascii="宋体" w:hAnsi="宋体" w:eastAsia="宋体" w:cs="宋体"/>
                <w:b/>
                <w:sz w:val="24"/>
                <w:szCs w:val="24"/>
                <w:highlight w:val="none"/>
              </w:rPr>
              <w:t>标段</w:t>
            </w:r>
          </w:p>
          <w:p>
            <w:pPr>
              <w:pStyle w:val="44"/>
              <w:spacing w:line="320" w:lineRule="exact"/>
              <w:jc w:val="center"/>
              <w:rPr>
                <w:rFonts w:hint="eastAsia" w:ascii="宋体" w:hAnsi="宋体" w:eastAsia="宋体" w:cs="宋体"/>
                <w:b/>
                <w:spacing w:val="-16"/>
                <w:sz w:val="24"/>
                <w:szCs w:val="24"/>
                <w:highlight w:val="none"/>
              </w:rPr>
            </w:pPr>
            <w:r>
              <w:rPr>
                <w:rFonts w:hint="eastAsia" w:ascii="宋体" w:hAnsi="宋体" w:eastAsia="宋体" w:cs="宋体"/>
                <w:b/>
                <w:spacing w:val="-16"/>
                <w:sz w:val="24"/>
                <w:szCs w:val="24"/>
                <w:highlight w:val="none"/>
              </w:rPr>
              <w:t>人数</w:t>
            </w:r>
          </w:p>
        </w:tc>
        <w:tc>
          <w:tcPr>
            <w:tcW w:w="1134" w:type="dxa"/>
            <w:tcBorders>
              <w:top w:val="single" w:color="auto" w:sz="12" w:space="0"/>
              <w:left w:val="single" w:color="auto" w:sz="6" w:space="0"/>
              <w:bottom w:val="single" w:color="auto" w:sz="6" w:space="0"/>
              <w:right w:val="single" w:color="auto" w:sz="6" w:space="0"/>
            </w:tcBorders>
            <w:noWrap w:val="0"/>
            <w:tcMar>
              <w:top w:w="28" w:type="dxa"/>
              <w:left w:w="28" w:type="dxa"/>
              <w:bottom w:w="28" w:type="dxa"/>
              <w:right w:w="28" w:type="dxa"/>
            </w:tcMar>
            <w:vAlign w:val="center"/>
          </w:tcPr>
          <w:p>
            <w:pPr>
              <w:pStyle w:val="44"/>
              <w:spacing w:line="320" w:lineRule="exact"/>
              <w:jc w:val="center"/>
              <w:rPr>
                <w:rFonts w:hint="eastAsia" w:ascii="宋体" w:hAnsi="宋体" w:eastAsia="宋体" w:cs="宋体"/>
                <w:b/>
                <w:spacing w:val="-8"/>
                <w:sz w:val="24"/>
                <w:szCs w:val="24"/>
                <w:highlight w:val="none"/>
              </w:rPr>
            </w:pPr>
            <w:r>
              <w:rPr>
                <w:rFonts w:hint="eastAsia" w:ascii="宋体" w:hAnsi="宋体" w:eastAsia="宋体" w:cs="宋体"/>
                <w:b/>
                <w:spacing w:val="-8"/>
                <w:sz w:val="24"/>
                <w:szCs w:val="24"/>
                <w:highlight w:val="none"/>
              </w:rPr>
              <w:t>专业技术</w:t>
            </w:r>
          </w:p>
          <w:p>
            <w:pPr>
              <w:pStyle w:val="44"/>
              <w:spacing w:line="320" w:lineRule="exact"/>
              <w:jc w:val="center"/>
              <w:rPr>
                <w:rFonts w:hint="eastAsia" w:ascii="宋体" w:hAnsi="宋体" w:eastAsia="宋体" w:cs="宋体"/>
                <w:b/>
                <w:spacing w:val="-8"/>
                <w:sz w:val="24"/>
                <w:szCs w:val="24"/>
                <w:highlight w:val="none"/>
              </w:rPr>
            </w:pPr>
            <w:r>
              <w:rPr>
                <w:rFonts w:hint="eastAsia" w:ascii="宋体" w:hAnsi="宋体" w:eastAsia="宋体" w:cs="宋体"/>
                <w:b/>
                <w:spacing w:val="-8"/>
                <w:sz w:val="24"/>
                <w:szCs w:val="24"/>
                <w:highlight w:val="none"/>
              </w:rPr>
              <w:t>职称</w:t>
            </w:r>
          </w:p>
        </w:tc>
        <w:tc>
          <w:tcPr>
            <w:tcW w:w="2642" w:type="dxa"/>
            <w:tcBorders>
              <w:top w:val="single" w:color="auto" w:sz="12" w:space="0"/>
              <w:left w:val="single" w:color="auto" w:sz="6" w:space="0"/>
              <w:bottom w:val="single" w:color="auto" w:sz="6" w:space="0"/>
              <w:right w:val="single" w:color="auto" w:sz="6" w:space="0"/>
            </w:tcBorders>
            <w:noWrap w:val="0"/>
            <w:tcMar>
              <w:top w:w="28" w:type="dxa"/>
              <w:left w:w="28" w:type="dxa"/>
              <w:bottom w:w="28" w:type="dxa"/>
              <w:right w:w="28" w:type="dxa"/>
            </w:tcMar>
            <w:vAlign w:val="center"/>
          </w:tcPr>
          <w:p>
            <w:pPr>
              <w:pStyle w:val="44"/>
              <w:spacing w:line="320" w:lineRule="exact"/>
              <w:jc w:val="center"/>
              <w:rPr>
                <w:rFonts w:hint="eastAsia" w:ascii="宋体" w:hAnsi="宋体" w:eastAsia="宋体" w:cs="宋体"/>
                <w:b/>
                <w:spacing w:val="-8"/>
                <w:sz w:val="24"/>
                <w:szCs w:val="24"/>
                <w:highlight w:val="none"/>
              </w:rPr>
            </w:pPr>
            <w:r>
              <w:rPr>
                <w:rFonts w:hint="eastAsia" w:ascii="宋体" w:hAnsi="宋体" w:eastAsia="宋体" w:cs="宋体"/>
                <w:b/>
                <w:spacing w:val="-8"/>
                <w:sz w:val="24"/>
                <w:szCs w:val="24"/>
                <w:highlight w:val="none"/>
              </w:rPr>
              <w:t>监理资格</w:t>
            </w:r>
          </w:p>
        </w:tc>
        <w:tc>
          <w:tcPr>
            <w:tcW w:w="860" w:type="dxa"/>
            <w:tcBorders>
              <w:top w:val="single" w:color="auto" w:sz="12" w:space="0"/>
              <w:left w:val="single" w:color="auto" w:sz="6" w:space="0"/>
              <w:bottom w:val="single" w:color="auto" w:sz="6" w:space="0"/>
              <w:right w:val="single" w:color="auto" w:sz="6" w:space="0"/>
            </w:tcBorders>
            <w:noWrap w:val="0"/>
            <w:tcMar>
              <w:top w:w="28" w:type="dxa"/>
              <w:left w:w="28" w:type="dxa"/>
              <w:bottom w:w="28" w:type="dxa"/>
              <w:right w:w="28" w:type="dxa"/>
            </w:tcMar>
            <w:vAlign w:val="center"/>
          </w:tcPr>
          <w:p>
            <w:pPr>
              <w:pStyle w:val="44"/>
              <w:spacing w:line="320" w:lineRule="exact"/>
              <w:jc w:val="center"/>
              <w:rPr>
                <w:rFonts w:hint="eastAsia" w:ascii="宋体" w:hAnsi="宋体" w:eastAsia="宋体" w:cs="宋体"/>
                <w:b/>
                <w:spacing w:val="-8"/>
                <w:sz w:val="24"/>
                <w:szCs w:val="24"/>
                <w:highlight w:val="none"/>
              </w:rPr>
            </w:pPr>
            <w:r>
              <w:rPr>
                <w:rFonts w:hint="eastAsia" w:ascii="宋体" w:hAnsi="宋体" w:eastAsia="宋体" w:cs="宋体"/>
                <w:b/>
                <w:spacing w:val="-8"/>
                <w:sz w:val="24"/>
                <w:szCs w:val="24"/>
                <w:highlight w:val="none"/>
              </w:rPr>
              <w:t>年龄</w:t>
            </w:r>
          </w:p>
          <w:p>
            <w:pPr>
              <w:pStyle w:val="44"/>
              <w:spacing w:line="320" w:lineRule="exact"/>
              <w:jc w:val="center"/>
              <w:rPr>
                <w:rFonts w:hint="eastAsia" w:ascii="宋体" w:hAnsi="宋体" w:eastAsia="宋体" w:cs="宋体"/>
                <w:b/>
                <w:spacing w:val="-8"/>
                <w:sz w:val="24"/>
                <w:szCs w:val="24"/>
                <w:highlight w:val="none"/>
              </w:rPr>
            </w:pPr>
            <w:r>
              <w:rPr>
                <w:rFonts w:hint="eastAsia" w:ascii="宋体" w:hAnsi="宋体" w:eastAsia="宋体" w:cs="宋体"/>
                <w:b/>
                <w:spacing w:val="-8"/>
                <w:sz w:val="24"/>
                <w:szCs w:val="24"/>
                <w:highlight w:val="none"/>
              </w:rPr>
              <w:t>要求</w:t>
            </w:r>
          </w:p>
        </w:tc>
        <w:tc>
          <w:tcPr>
            <w:tcW w:w="1297" w:type="dxa"/>
            <w:tcBorders>
              <w:top w:val="single" w:color="auto" w:sz="12" w:space="0"/>
              <w:left w:val="single" w:color="auto" w:sz="6" w:space="0"/>
              <w:bottom w:val="single" w:color="auto" w:sz="6" w:space="0"/>
              <w:right w:val="single" w:color="auto" w:sz="12" w:space="0"/>
            </w:tcBorders>
            <w:noWrap w:val="0"/>
            <w:tcMar>
              <w:top w:w="28" w:type="dxa"/>
              <w:left w:w="28" w:type="dxa"/>
              <w:bottom w:w="28" w:type="dxa"/>
              <w:right w:w="28" w:type="dxa"/>
            </w:tcMar>
            <w:vAlign w:val="center"/>
          </w:tcPr>
          <w:p>
            <w:pPr>
              <w:pStyle w:val="44"/>
              <w:spacing w:line="320" w:lineRule="exact"/>
              <w:jc w:val="center"/>
              <w:rPr>
                <w:rFonts w:hint="eastAsia" w:ascii="宋体" w:hAnsi="宋体" w:eastAsia="宋体" w:cs="宋体"/>
                <w:b/>
                <w:spacing w:val="-8"/>
                <w:sz w:val="24"/>
                <w:szCs w:val="24"/>
                <w:highlight w:val="none"/>
              </w:rPr>
            </w:pPr>
            <w:r>
              <w:rPr>
                <w:rFonts w:hint="eastAsia" w:ascii="宋体" w:hAnsi="宋体" w:eastAsia="宋体" w:cs="宋体"/>
                <w:b/>
                <w:spacing w:val="-8"/>
                <w:sz w:val="24"/>
                <w:szCs w:val="24"/>
                <w:highlight w:val="none"/>
              </w:rPr>
              <w:t>评价周期内</w:t>
            </w:r>
          </w:p>
          <w:p>
            <w:pPr>
              <w:pStyle w:val="44"/>
              <w:spacing w:line="320" w:lineRule="exact"/>
              <w:jc w:val="center"/>
              <w:rPr>
                <w:rFonts w:hint="eastAsia" w:ascii="宋体" w:hAnsi="宋体" w:eastAsia="宋体" w:cs="宋体"/>
                <w:b/>
                <w:spacing w:val="-8"/>
                <w:sz w:val="24"/>
                <w:szCs w:val="24"/>
                <w:highlight w:val="none"/>
              </w:rPr>
            </w:pPr>
            <w:r>
              <w:rPr>
                <w:rFonts w:hint="eastAsia" w:ascii="宋体" w:hAnsi="宋体" w:eastAsia="宋体" w:cs="宋体"/>
                <w:b/>
                <w:spacing w:val="-8"/>
                <w:sz w:val="24"/>
                <w:szCs w:val="24"/>
                <w:highlight w:val="none"/>
              </w:rPr>
              <w:t>监理人员信用评价累计扣分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98" w:hRule="atLeast"/>
          <w:jc w:val="center"/>
        </w:trPr>
        <w:tc>
          <w:tcPr>
            <w:tcW w:w="1882" w:type="dxa"/>
            <w:tcBorders>
              <w:top w:val="single" w:color="auto" w:sz="6" w:space="0"/>
              <w:left w:val="single" w:color="auto" w:sz="12" w:space="0"/>
              <w:bottom w:val="single" w:color="auto" w:sz="6" w:space="0"/>
              <w:right w:val="single" w:color="auto" w:sz="6" w:space="0"/>
            </w:tcBorders>
            <w:noWrap w:val="0"/>
            <w:vAlign w:val="center"/>
          </w:tcPr>
          <w:p>
            <w:pPr>
              <w:pStyle w:val="44"/>
              <w:spacing w:line="320" w:lineRule="exact"/>
              <w:jc w:val="center"/>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总监理工程师</w:t>
            </w:r>
          </w:p>
        </w:tc>
        <w:tc>
          <w:tcPr>
            <w:tcW w:w="7209" w:type="dxa"/>
            <w:gridSpan w:val="5"/>
            <w:tcBorders>
              <w:top w:val="single" w:color="auto" w:sz="6" w:space="0"/>
              <w:left w:val="single" w:color="auto" w:sz="6" w:space="0"/>
              <w:bottom w:val="single" w:color="auto" w:sz="6" w:space="0"/>
              <w:right w:val="single" w:color="auto" w:sz="12" w:space="0"/>
            </w:tcBorders>
            <w:noWrap w:val="0"/>
            <w:vAlign w:val="center"/>
          </w:tcPr>
          <w:p>
            <w:pPr>
              <w:pStyle w:val="44"/>
              <w:spacing w:line="320" w:lineRule="exact"/>
              <w:jc w:val="center"/>
              <w:rPr>
                <w:rFonts w:hint="eastAsia" w:ascii="宋体" w:hAnsi="宋体" w:eastAsia="宋体" w:cs="宋体"/>
                <w:spacing w:val="-16"/>
                <w:sz w:val="24"/>
                <w:szCs w:val="24"/>
                <w:highlight w:val="none"/>
              </w:rPr>
            </w:pPr>
            <w:r>
              <w:rPr>
                <w:rFonts w:hint="eastAsia" w:ascii="宋体" w:hAnsi="宋体" w:eastAsia="宋体" w:cs="宋体"/>
                <w:spacing w:val="-16"/>
                <w:sz w:val="24"/>
                <w:szCs w:val="24"/>
                <w:highlight w:val="none"/>
              </w:rPr>
              <w:t>见资格审查条件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35" w:hRule="atLeast"/>
          <w:jc w:val="center"/>
        </w:trPr>
        <w:tc>
          <w:tcPr>
            <w:tcW w:w="1882" w:type="dxa"/>
            <w:tcBorders>
              <w:top w:val="single" w:color="auto" w:sz="6" w:space="0"/>
              <w:left w:val="single" w:color="auto" w:sz="12" w:space="0"/>
              <w:bottom w:val="single" w:color="auto" w:sz="6" w:space="0"/>
              <w:right w:val="single" w:color="auto" w:sz="6" w:space="0"/>
            </w:tcBorders>
            <w:noWrap w:val="0"/>
            <w:vAlign w:val="center"/>
          </w:tcPr>
          <w:p>
            <w:pPr>
              <w:pStyle w:val="44"/>
              <w:spacing w:line="320" w:lineRule="exact"/>
              <w:jc w:val="center"/>
              <w:rPr>
                <w:rFonts w:hint="eastAsia" w:ascii="宋体" w:hAnsi="宋体" w:eastAsia="宋体" w:cs="宋体"/>
                <w:spacing w:val="-16"/>
                <w:sz w:val="24"/>
                <w:szCs w:val="24"/>
                <w:highlight w:val="none"/>
              </w:rPr>
            </w:pPr>
            <w:r>
              <w:rPr>
                <w:rFonts w:hint="eastAsia" w:ascii="宋体" w:hAnsi="宋体" w:eastAsia="宋体" w:cs="宋体"/>
                <w:spacing w:val="-16"/>
                <w:sz w:val="24"/>
                <w:szCs w:val="24"/>
                <w:highlight w:val="none"/>
              </w:rPr>
              <w:t>专业监理工程师</w:t>
            </w:r>
          </w:p>
        </w:tc>
        <w:tc>
          <w:tcPr>
            <w:tcW w:w="7209" w:type="dxa"/>
            <w:gridSpan w:val="5"/>
            <w:tcBorders>
              <w:top w:val="single" w:color="auto" w:sz="6" w:space="0"/>
              <w:left w:val="single" w:color="auto" w:sz="6" w:space="0"/>
              <w:bottom w:val="single" w:color="auto" w:sz="6" w:space="0"/>
              <w:right w:val="single" w:color="auto" w:sz="12" w:space="0"/>
            </w:tcBorders>
            <w:noWrap w:val="0"/>
            <w:vAlign w:val="center"/>
          </w:tcPr>
          <w:p>
            <w:pPr>
              <w:pStyle w:val="44"/>
              <w:spacing w:line="320" w:lineRule="exact"/>
              <w:jc w:val="center"/>
              <w:rPr>
                <w:rFonts w:hint="eastAsia" w:ascii="宋体" w:hAnsi="宋体" w:eastAsia="宋体" w:cs="宋体"/>
                <w:spacing w:val="-16"/>
                <w:sz w:val="24"/>
                <w:szCs w:val="24"/>
                <w:highlight w:val="none"/>
              </w:rPr>
            </w:pPr>
            <w:r>
              <w:rPr>
                <w:rFonts w:hint="eastAsia" w:ascii="宋体" w:hAnsi="宋体" w:eastAsia="宋体" w:cs="宋体"/>
                <w:spacing w:val="-16"/>
                <w:sz w:val="24"/>
                <w:szCs w:val="24"/>
                <w:highlight w:val="none"/>
              </w:rPr>
              <w:t>见资格审查条件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043" w:hRule="atLeast"/>
          <w:jc w:val="center"/>
        </w:trPr>
        <w:tc>
          <w:tcPr>
            <w:tcW w:w="1882" w:type="dxa"/>
            <w:tcBorders>
              <w:top w:val="single" w:color="auto" w:sz="4" w:space="0"/>
              <w:left w:val="single" w:color="auto" w:sz="12" w:space="0"/>
              <w:bottom w:val="single" w:color="auto" w:sz="12" w:space="0"/>
              <w:right w:val="single" w:color="auto" w:sz="6" w:space="0"/>
            </w:tcBorders>
            <w:noWrap w:val="0"/>
            <w:vAlign w:val="center"/>
          </w:tcPr>
          <w:p>
            <w:pPr>
              <w:pStyle w:val="44"/>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监理员</w:t>
            </w:r>
          </w:p>
        </w:tc>
        <w:tc>
          <w:tcPr>
            <w:tcW w:w="1276" w:type="dxa"/>
            <w:tcBorders>
              <w:top w:val="single" w:color="auto" w:sz="8" w:space="0"/>
              <w:left w:val="single" w:color="auto" w:sz="6" w:space="0"/>
              <w:right w:val="single" w:color="auto" w:sz="6" w:space="0"/>
            </w:tcBorders>
            <w:noWrap w:val="0"/>
            <w:vAlign w:val="center"/>
          </w:tcPr>
          <w:p>
            <w:pPr>
              <w:pStyle w:val="44"/>
              <w:spacing w:line="32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自行安排</w:t>
            </w:r>
          </w:p>
        </w:tc>
        <w:tc>
          <w:tcPr>
            <w:tcW w:w="1134" w:type="dxa"/>
            <w:tcBorders>
              <w:top w:val="single" w:color="auto" w:sz="8" w:space="0"/>
              <w:left w:val="single" w:color="auto" w:sz="6" w:space="0"/>
              <w:right w:val="single" w:color="auto" w:sz="6" w:space="0"/>
            </w:tcBorders>
            <w:noWrap w:val="0"/>
            <w:tcMar>
              <w:top w:w="28" w:type="dxa"/>
              <w:left w:w="28" w:type="dxa"/>
              <w:bottom w:w="28" w:type="dxa"/>
              <w:right w:w="28" w:type="dxa"/>
            </w:tcMar>
            <w:vAlign w:val="center"/>
          </w:tcPr>
          <w:p>
            <w:pPr>
              <w:pStyle w:val="44"/>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初级及以上技术职称</w:t>
            </w:r>
          </w:p>
        </w:tc>
        <w:tc>
          <w:tcPr>
            <w:tcW w:w="2642" w:type="dxa"/>
            <w:tcBorders>
              <w:top w:val="single" w:color="auto" w:sz="8" w:space="0"/>
              <w:left w:val="single" w:color="auto" w:sz="6" w:space="0"/>
              <w:right w:val="single" w:color="auto" w:sz="6" w:space="0"/>
            </w:tcBorders>
            <w:noWrap w:val="0"/>
            <w:tcMar>
              <w:top w:w="28" w:type="dxa"/>
              <w:left w:w="28" w:type="dxa"/>
              <w:bottom w:w="28" w:type="dxa"/>
              <w:right w:w="28" w:type="dxa"/>
            </w:tcMar>
            <w:vAlign w:val="center"/>
          </w:tcPr>
          <w:p>
            <w:pPr>
              <w:pStyle w:val="44"/>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具有交通运输主管部门核发的监理员或培训证书</w:t>
            </w:r>
          </w:p>
        </w:tc>
        <w:tc>
          <w:tcPr>
            <w:tcW w:w="860" w:type="dxa"/>
            <w:tcBorders>
              <w:top w:val="single" w:color="auto" w:sz="8" w:space="0"/>
              <w:left w:val="single" w:color="auto" w:sz="6" w:space="0"/>
              <w:right w:val="single" w:color="auto" w:sz="6" w:space="0"/>
            </w:tcBorders>
            <w:noWrap w:val="0"/>
            <w:tcMar>
              <w:top w:w="28" w:type="dxa"/>
              <w:left w:w="28" w:type="dxa"/>
              <w:bottom w:w="28" w:type="dxa"/>
              <w:right w:w="28" w:type="dxa"/>
            </w:tcMar>
            <w:vAlign w:val="center"/>
          </w:tcPr>
          <w:p>
            <w:pPr>
              <w:pStyle w:val="44"/>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≤60</w:t>
            </w:r>
          </w:p>
        </w:tc>
        <w:tc>
          <w:tcPr>
            <w:tcW w:w="1297" w:type="dxa"/>
            <w:tcBorders>
              <w:top w:val="single" w:color="auto" w:sz="8" w:space="0"/>
              <w:left w:val="single" w:color="auto" w:sz="6" w:space="0"/>
              <w:right w:val="single" w:color="auto" w:sz="12" w:space="0"/>
            </w:tcBorders>
            <w:noWrap w:val="0"/>
            <w:tcMar>
              <w:top w:w="28" w:type="dxa"/>
              <w:left w:w="28" w:type="dxa"/>
              <w:bottom w:w="28" w:type="dxa"/>
              <w:right w:w="28" w:type="dxa"/>
            </w:tcMar>
            <w:vAlign w:val="center"/>
          </w:tcPr>
          <w:p>
            <w:pPr>
              <w:pStyle w:val="44"/>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小于24分</w:t>
            </w:r>
          </w:p>
        </w:tc>
      </w:tr>
    </w:tbl>
    <w:p>
      <w:pPr>
        <w:pStyle w:val="44"/>
        <w:spacing w:line="320" w:lineRule="exact"/>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上述要求的监理人员中，总监、专业监理工程师等主要人员的人数原则上保持不变，因部分工程施工开始或结束时间不同，部分专业监理工程师的进、退场可有先有后，监理员的人数应根据工程进展情况作出调整。监理人员的进、退场情况应事先取得发包人的书面同意。</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napToGrid w:val="0"/>
          <w:kern w:val="0"/>
          <w:sz w:val="24"/>
          <w:szCs w:val="24"/>
          <w:highlight w:val="none"/>
        </w:rPr>
        <w:t>4.1.2监理办的文秘、驾驶、后勤等辅助人员，由监理人按需要自行聘用，其费用由监理人自行考虑并</w:t>
      </w:r>
      <w:r>
        <w:rPr>
          <w:rFonts w:hint="eastAsia" w:ascii="宋体" w:hAnsi="宋体" w:eastAsia="宋体" w:cs="宋体"/>
          <w:sz w:val="24"/>
          <w:szCs w:val="24"/>
          <w:highlight w:val="none"/>
        </w:rPr>
        <w:t>计入监理服务费报价中。</w:t>
      </w:r>
    </w:p>
    <w:p>
      <w:pPr>
        <w:pStyle w:val="44"/>
        <w:spacing w:line="320" w:lineRule="exact"/>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4.1.3为了进行监理服务，监理人应在投标文件中授权总监理工程师代表监理人全面履行监理合同，并与发包人的授权代表建立工作联系。更换或变更其授权时，必须在变更前7日通知发包人，并得到发包人的同意。</w:t>
      </w:r>
    </w:p>
    <w:p>
      <w:pPr>
        <w:pStyle w:val="44"/>
        <w:spacing w:line="320" w:lineRule="exact"/>
        <w:outlineLvl w:val="2"/>
        <w:rPr>
          <w:rFonts w:hint="eastAsia" w:ascii="宋体" w:hAnsi="宋体" w:eastAsia="宋体" w:cs="宋体"/>
          <w:sz w:val="24"/>
          <w:szCs w:val="24"/>
          <w:highlight w:val="none"/>
        </w:rPr>
      </w:pPr>
      <w:bookmarkStart w:id="197" w:name="_Toc28265969"/>
      <w:bookmarkStart w:id="198" w:name="_Toc434067634"/>
      <w:bookmarkStart w:id="199" w:name="_Toc436317275"/>
      <w:bookmarkStart w:id="200" w:name="_Toc441399911"/>
      <w:bookmarkStart w:id="201" w:name="_Toc433918131"/>
      <w:bookmarkStart w:id="202" w:name="_Toc448775912"/>
      <w:bookmarkStart w:id="203" w:name="_Toc433919447"/>
      <w:bookmarkStart w:id="204" w:name="_Toc28266213"/>
      <w:bookmarkStart w:id="205" w:name="_Toc440231005"/>
      <w:bookmarkStart w:id="206" w:name="_Toc436317810"/>
      <w:bookmarkStart w:id="207" w:name="_Toc440232082"/>
      <w:bookmarkStart w:id="208" w:name="_Toc436320562"/>
      <w:bookmarkStart w:id="209" w:name="_Toc26106933"/>
      <w:r>
        <w:rPr>
          <w:rFonts w:hint="eastAsia" w:ascii="宋体" w:hAnsi="宋体" w:eastAsia="宋体" w:cs="宋体"/>
          <w:sz w:val="24"/>
          <w:szCs w:val="24"/>
          <w:highlight w:val="none"/>
        </w:rPr>
        <w:t>4.2  监理服务范围</w:t>
      </w:r>
      <w:bookmarkEnd w:id="197"/>
      <w:bookmarkEnd w:id="198"/>
      <w:bookmarkEnd w:id="199"/>
      <w:bookmarkEnd w:id="200"/>
      <w:bookmarkEnd w:id="201"/>
      <w:bookmarkEnd w:id="202"/>
      <w:bookmarkEnd w:id="203"/>
      <w:bookmarkEnd w:id="204"/>
      <w:bookmarkEnd w:id="205"/>
      <w:bookmarkEnd w:id="206"/>
      <w:bookmarkEnd w:id="207"/>
      <w:bookmarkEnd w:id="208"/>
      <w:bookmarkEnd w:id="209"/>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4.2.1 监理服务的工程范围：</w:t>
      </w:r>
      <w:r>
        <w:rPr>
          <w:rFonts w:hint="eastAsia" w:ascii="宋体" w:hAnsi="宋体" w:eastAsia="宋体" w:cs="宋体"/>
          <w:sz w:val="24"/>
          <w:szCs w:val="24"/>
          <w:highlight w:val="none"/>
          <w:u w:val="single"/>
          <w:lang w:eastAsia="zh-CN"/>
        </w:rPr>
        <w:t>本工程主要包括海堤生态化；盐沼湿地修复，塘埂拆除，养殖塘回填整平，互花米草清除，盐沼植被种植；木栈道、照明等工程的施工、设计及缺陷责任期监理</w:t>
      </w:r>
      <w:r>
        <w:rPr>
          <w:rFonts w:hint="eastAsia" w:ascii="宋体" w:hAnsi="宋体" w:eastAsia="宋体" w:cs="宋体"/>
          <w:sz w:val="24"/>
          <w:szCs w:val="24"/>
          <w:highlight w:val="none"/>
        </w:rPr>
        <w:t>。</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4.2.2 监理服务的工作范围：</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（1）正常监理服务的范围：</w:t>
      </w:r>
      <w:r>
        <w:rPr>
          <w:rFonts w:hint="eastAsia" w:ascii="宋体" w:hAnsi="宋体" w:eastAsia="宋体" w:cs="宋体"/>
          <w:sz w:val="24"/>
          <w:szCs w:val="24"/>
          <w:highlight w:val="none"/>
          <w:u w:val="single"/>
        </w:rPr>
        <w:t>正常监理服务的范围是指在合同约定的工程范围内及约定的正常监理服务期限内，对工程施工质量监理、安全监理、环境保护监理、进度监理、费用监理、合同和其他事项管理及有关协调等。</w:t>
      </w:r>
    </w:p>
    <w:p>
      <w:pPr>
        <w:pStyle w:val="44"/>
        <w:spacing w:line="320" w:lineRule="exact"/>
        <w:outlineLvl w:val="2"/>
        <w:rPr>
          <w:rFonts w:hint="eastAsia" w:ascii="宋体" w:hAnsi="宋体" w:eastAsia="宋体" w:cs="宋体"/>
          <w:sz w:val="24"/>
          <w:szCs w:val="24"/>
          <w:highlight w:val="none"/>
        </w:rPr>
      </w:pPr>
      <w:bookmarkStart w:id="210" w:name="_Toc441399912"/>
      <w:bookmarkStart w:id="211" w:name="_Toc28265970"/>
      <w:bookmarkStart w:id="212" w:name="_Toc448775913"/>
      <w:bookmarkStart w:id="213" w:name="_Toc436317276"/>
      <w:bookmarkStart w:id="214" w:name="_Toc440231006"/>
      <w:bookmarkStart w:id="215" w:name="_Toc26106934"/>
      <w:bookmarkStart w:id="216" w:name="_Toc436320563"/>
      <w:bookmarkStart w:id="217" w:name="_Toc440232083"/>
      <w:bookmarkStart w:id="218" w:name="_Toc436317811"/>
      <w:bookmarkStart w:id="219" w:name="_Toc28266214"/>
      <w:bookmarkStart w:id="220" w:name="_Toc433918132"/>
      <w:bookmarkStart w:id="221" w:name="_Toc433919448"/>
      <w:bookmarkStart w:id="222" w:name="_Toc434067635"/>
      <w:r>
        <w:rPr>
          <w:rFonts w:hint="eastAsia" w:ascii="宋体" w:hAnsi="宋体" w:eastAsia="宋体" w:cs="宋体"/>
          <w:sz w:val="24"/>
          <w:szCs w:val="24"/>
          <w:highlight w:val="none"/>
        </w:rPr>
        <w:t>4.3  服务要求</w:t>
      </w:r>
      <w:bookmarkEnd w:id="210"/>
      <w:bookmarkEnd w:id="211"/>
      <w:bookmarkEnd w:id="212"/>
      <w:bookmarkEnd w:id="213"/>
      <w:bookmarkEnd w:id="214"/>
      <w:bookmarkEnd w:id="215"/>
      <w:bookmarkEnd w:id="216"/>
      <w:bookmarkEnd w:id="217"/>
      <w:bookmarkEnd w:id="218"/>
      <w:bookmarkEnd w:id="219"/>
      <w:bookmarkEnd w:id="220"/>
      <w:bookmarkEnd w:id="221"/>
      <w:bookmarkEnd w:id="222"/>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4.3.2对第三方履约管理的服务目标：</w:t>
      </w:r>
      <w:r>
        <w:rPr>
          <w:rFonts w:hint="eastAsia" w:ascii="宋体" w:hAnsi="宋体" w:eastAsia="宋体" w:cs="宋体"/>
          <w:b/>
          <w:bCs/>
          <w:sz w:val="24"/>
          <w:szCs w:val="24"/>
          <w:highlight w:val="none"/>
          <w:u w:val="single"/>
        </w:rPr>
        <w:t>所辖施工标段交工验收的质量评定为合格</w:t>
      </w:r>
      <w:r>
        <w:rPr>
          <w:rFonts w:hint="eastAsia" w:ascii="宋体" w:hAnsi="宋体" w:eastAsia="宋体" w:cs="宋体"/>
          <w:sz w:val="24"/>
          <w:szCs w:val="24"/>
          <w:highlight w:val="none"/>
        </w:rPr>
        <w:t>；</w:t>
      </w:r>
    </w:p>
    <w:p>
      <w:pPr>
        <w:pStyle w:val="44"/>
        <w:spacing w:line="320" w:lineRule="exact"/>
        <w:outlineLvl w:val="2"/>
        <w:rPr>
          <w:rFonts w:hint="eastAsia" w:ascii="宋体" w:hAnsi="宋体" w:eastAsia="宋体" w:cs="宋体"/>
          <w:sz w:val="24"/>
          <w:szCs w:val="24"/>
          <w:highlight w:val="none"/>
        </w:rPr>
      </w:pPr>
      <w:bookmarkStart w:id="223" w:name="_Toc26106935"/>
      <w:bookmarkStart w:id="224" w:name="_Toc354007328"/>
      <w:bookmarkStart w:id="225" w:name="_Toc28266215"/>
      <w:bookmarkStart w:id="226" w:name="_Toc28265971"/>
      <w:bookmarkStart w:id="227" w:name="_Toc391288912"/>
      <w:r>
        <w:rPr>
          <w:rFonts w:hint="eastAsia" w:ascii="宋体" w:hAnsi="宋体" w:eastAsia="宋体" w:cs="宋体"/>
          <w:sz w:val="24"/>
          <w:szCs w:val="24"/>
          <w:highlight w:val="none"/>
        </w:rPr>
        <w:t>4.4  服务内容</w:t>
      </w:r>
      <w:bookmarkEnd w:id="223"/>
      <w:bookmarkEnd w:id="224"/>
      <w:bookmarkEnd w:id="225"/>
      <w:bookmarkEnd w:id="226"/>
      <w:bookmarkEnd w:id="227"/>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服务内容：</w:t>
      </w:r>
      <w:r>
        <w:rPr>
          <w:rFonts w:hint="eastAsia" w:ascii="宋体" w:hAnsi="宋体" w:eastAsia="宋体" w:cs="宋体"/>
          <w:sz w:val="24"/>
          <w:szCs w:val="24"/>
          <w:highlight w:val="none"/>
          <w:u w:val="single"/>
        </w:rPr>
        <w:t>监理人应按照现行《水运工程施工监理规范》及相关法律、法规有关要求开展监理服务</w:t>
      </w:r>
      <w:r>
        <w:rPr>
          <w:rFonts w:hint="eastAsia" w:ascii="宋体" w:hAnsi="宋体" w:eastAsia="宋体" w:cs="宋体"/>
          <w:sz w:val="24"/>
          <w:szCs w:val="24"/>
          <w:highlight w:val="none"/>
        </w:rPr>
        <w:t>。</w:t>
      </w:r>
    </w:p>
    <w:p>
      <w:pPr>
        <w:pStyle w:val="44"/>
        <w:spacing w:line="320" w:lineRule="exact"/>
        <w:outlineLvl w:val="2"/>
        <w:rPr>
          <w:rFonts w:hint="eastAsia" w:ascii="宋体" w:hAnsi="宋体" w:eastAsia="宋体" w:cs="宋体"/>
          <w:sz w:val="24"/>
          <w:szCs w:val="24"/>
          <w:highlight w:val="none"/>
        </w:rPr>
      </w:pPr>
      <w:bookmarkStart w:id="228" w:name="_Toc448775915"/>
      <w:bookmarkStart w:id="229" w:name="_Toc436320565"/>
      <w:bookmarkStart w:id="230" w:name="_Toc28266216"/>
      <w:bookmarkStart w:id="231" w:name="_Toc26106936"/>
      <w:bookmarkStart w:id="232" w:name="_Toc28265972"/>
      <w:bookmarkStart w:id="233" w:name="_Toc441399914"/>
      <w:bookmarkStart w:id="234" w:name="_Toc433919450"/>
      <w:bookmarkStart w:id="235" w:name="_Toc436317813"/>
      <w:bookmarkStart w:id="236" w:name="_Toc436317278"/>
      <w:bookmarkStart w:id="237" w:name="_Toc433918134"/>
      <w:bookmarkStart w:id="238" w:name="_Toc434067637"/>
      <w:bookmarkStart w:id="239" w:name="_Toc440231008"/>
      <w:bookmarkStart w:id="240" w:name="_Toc440232085"/>
      <w:r>
        <w:rPr>
          <w:rFonts w:hint="eastAsia" w:ascii="宋体" w:hAnsi="宋体" w:eastAsia="宋体" w:cs="宋体"/>
          <w:sz w:val="24"/>
          <w:szCs w:val="24"/>
          <w:highlight w:val="none"/>
        </w:rPr>
        <w:t>4.7  发包人对监理人的授权</w:t>
      </w:r>
      <w:bookmarkEnd w:id="228"/>
      <w:bookmarkEnd w:id="229"/>
      <w:bookmarkEnd w:id="230"/>
      <w:bookmarkEnd w:id="231"/>
      <w:bookmarkEnd w:id="232"/>
      <w:bookmarkEnd w:id="233"/>
      <w:bookmarkEnd w:id="234"/>
      <w:bookmarkEnd w:id="235"/>
      <w:bookmarkEnd w:id="236"/>
      <w:bookmarkEnd w:id="237"/>
      <w:bookmarkEnd w:id="238"/>
      <w:bookmarkEnd w:id="239"/>
      <w:bookmarkEnd w:id="240"/>
    </w:p>
    <w:p>
      <w:pPr>
        <w:pStyle w:val="44"/>
        <w:spacing w:line="32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发包人对监理人的授权：</w:t>
      </w:r>
      <w:r>
        <w:rPr>
          <w:rFonts w:hint="eastAsia" w:ascii="宋体" w:hAnsi="宋体" w:eastAsia="宋体" w:cs="宋体"/>
          <w:sz w:val="24"/>
          <w:szCs w:val="24"/>
          <w:highlight w:val="none"/>
          <w:u w:val="single"/>
        </w:rPr>
        <w:t>监理人根据监理合同以及发包人与第三方签订的合同等有关规定，有权独立履行监理服务内容的职责和权限，根据本工程的特点授予监理人的下列权力</w:t>
      </w:r>
      <w:r>
        <w:rPr>
          <w:rFonts w:hint="eastAsia" w:ascii="宋体" w:hAnsi="宋体" w:eastAsia="宋体" w:cs="宋体"/>
          <w:sz w:val="24"/>
          <w:szCs w:val="24"/>
          <w:highlight w:val="none"/>
        </w:rPr>
        <w:t>：</w:t>
      </w:r>
    </w:p>
    <w:p>
      <w:pPr>
        <w:pStyle w:val="44"/>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（1）对承包人不称职的、不符合合同要求的人员和拒不执行监理指令的人员，总监理工程师有权责令承包人限期撤换；</w:t>
      </w:r>
    </w:p>
    <w:p>
      <w:pPr>
        <w:pStyle w:val="44"/>
        <w:spacing w:line="320" w:lineRule="exact"/>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z w:val="24"/>
          <w:szCs w:val="24"/>
          <w:highlight w:val="none"/>
        </w:rPr>
        <w:t>（2）根据工程需要，总监理工程师有权要求承包人增加人员、设备或资金投入的权力。对承包人的违约情形，总监理工程师可向发包人提出追究承包人违约责任的建议（包括解除合同的建议）；</w:t>
      </w:r>
    </w:p>
    <w:p>
      <w:pPr>
        <w:pStyle w:val="44"/>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（3）总监理工程师有参加承包人为实施合同工程而组织的有关会议的权力；有召开协调各承包人（含指定分包人）联席会议的权力；并有随时召集某一承包人或所有承包人就某一问题举行会议的权力；</w:t>
      </w:r>
    </w:p>
    <w:p>
      <w:pPr>
        <w:pStyle w:val="44"/>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（4）发包人认为必要的其它权限。</w:t>
      </w:r>
    </w:p>
    <w:p>
      <w:pPr>
        <w:pStyle w:val="44"/>
        <w:spacing w:line="320" w:lineRule="exact"/>
        <w:jc w:val="left"/>
        <w:outlineLvl w:val="1"/>
        <w:rPr>
          <w:rFonts w:hint="eastAsia" w:ascii="宋体" w:hAnsi="宋体" w:eastAsia="宋体" w:cs="宋体"/>
          <w:b/>
          <w:sz w:val="24"/>
          <w:szCs w:val="24"/>
          <w:highlight w:val="none"/>
        </w:rPr>
      </w:pPr>
      <w:bookmarkStart w:id="241" w:name="_Toc433918135"/>
      <w:bookmarkStart w:id="242" w:name="_Toc433919451"/>
      <w:bookmarkStart w:id="243" w:name="_Toc28266217"/>
      <w:bookmarkStart w:id="244" w:name="_Toc28265973"/>
      <w:bookmarkStart w:id="245" w:name="_Toc26106937"/>
      <w:bookmarkStart w:id="246" w:name="_Toc434067638"/>
      <w:bookmarkStart w:id="247" w:name="_Toc436320566"/>
      <w:bookmarkStart w:id="248" w:name="_Toc436317279"/>
      <w:bookmarkStart w:id="249" w:name="_Toc441399915"/>
      <w:bookmarkStart w:id="250" w:name="_Toc440231009"/>
      <w:bookmarkStart w:id="251" w:name="_Toc436317814"/>
      <w:bookmarkStart w:id="252" w:name="_Toc440232086"/>
      <w:bookmarkStart w:id="253" w:name="_Toc448775916"/>
      <w:r>
        <w:rPr>
          <w:rFonts w:hint="eastAsia" w:ascii="宋体" w:hAnsi="宋体" w:eastAsia="宋体" w:cs="宋体"/>
          <w:b/>
          <w:sz w:val="24"/>
          <w:szCs w:val="24"/>
          <w:highlight w:val="none"/>
        </w:rPr>
        <w:t>5. 合同的生效、终止、服务时间和期限、变更、暂停与解除</w:t>
      </w:r>
      <w:bookmarkEnd w:id="241"/>
      <w:bookmarkEnd w:id="242"/>
      <w:bookmarkEnd w:id="243"/>
      <w:bookmarkEnd w:id="244"/>
      <w:bookmarkEnd w:id="245"/>
      <w:bookmarkEnd w:id="246"/>
      <w:bookmarkEnd w:id="247"/>
      <w:bookmarkEnd w:id="248"/>
      <w:bookmarkEnd w:id="249"/>
      <w:bookmarkEnd w:id="250"/>
      <w:bookmarkEnd w:id="251"/>
      <w:bookmarkEnd w:id="252"/>
      <w:bookmarkEnd w:id="253"/>
    </w:p>
    <w:p>
      <w:pPr>
        <w:pStyle w:val="44"/>
        <w:spacing w:line="320" w:lineRule="exact"/>
        <w:outlineLvl w:val="2"/>
        <w:rPr>
          <w:rFonts w:hint="eastAsia" w:ascii="宋体" w:hAnsi="宋体" w:eastAsia="宋体" w:cs="宋体"/>
          <w:sz w:val="24"/>
          <w:szCs w:val="24"/>
          <w:highlight w:val="none"/>
        </w:rPr>
      </w:pPr>
      <w:bookmarkStart w:id="254" w:name="_Toc28265974"/>
      <w:bookmarkStart w:id="255" w:name="_Toc440231010"/>
      <w:bookmarkStart w:id="256" w:name="_Toc433919452"/>
      <w:bookmarkStart w:id="257" w:name="_Toc436320567"/>
      <w:bookmarkStart w:id="258" w:name="_Toc436317815"/>
      <w:bookmarkStart w:id="259" w:name="_Toc448775917"/>
      <w:bookmarkStart w:id="260" w:name="_Toc433918136"/>
      <w:bookmarkStart w:id="261" w:name="_Toc441399916"/>
      <w:bookmarkStart w:id="262" w:name="_Toc28266218"/>
      <w:bookmarkStart w:id="263" w:name="_Toc26106938"/>
      <w:bookmarkStart w:id="264" w:name="_Toc434067639"/>
      <w:bookmarkStart w:id="265" w:name="_Toc436317280"/>
      <w:bookmarkStart w:id="266" w:name="_Toc440232087"/>
      <w:r>
        <w:rPr>
          <w:rFonts w:hint="eastAsia" w:ascii="宋体" w:hAnsi="宋体" w:eastAsia="宋体" w:cs="宋体"/>
          <w:sz w:val="24"/>
          <w:szCs w:val="24"/>
          <w:highlight w:val="none"/>
        </w:rPr>
        <w:t>5.3  监理服务的时间和期限</w:t>
      </w:r>
      <w:bookmarkEnd w:id="254"/>
      <w:bookmarkEnd w:id="255"/>
      <w:bookmarkEnd w:id="256"/>
      <w:bookmarkEnd w:id="257"/>
      <w:bookmarkEnd w:id="258"/>
      <w:bookmarkEnd w:id="259"/>
      <w:bookmarkEnd w:id="260"/>
      <w:bookmarkEnd w:id="261"/>
      <w:bookmarkEnd w:id="262"/>
      <w:bookmarkEnd w:id="263"/>
      <w:bookmarkEnd w:id="264"/>
      <w:bookmarkEnd w:id="265"/>
      <w:bookmarkEnd w:id="266"/>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进场时间：</w:t>
      </w:r>
      <w:r>
        <w:rPr>
          <w:rFonts w:hint="eastAsia" w:ascii="宋体" w:hAnsi="宋体" w:eastAsia="宋体" w:cs="宋体"/>
          <w:sz w:val="24"/>
          <w:szCs w:val="24"/>
          <w:highlight w:val="none"/>
          <w:u w:val="single"/>
        </w:rPr>
        <w:t>与监理人签订合同协议书时确定</w:t>
      </w:r>
      <w:r>
        <w:rPr>
          <w:rFonts w:hint="eastAsia" w:ascii="宋体" w:hAnsi="宋体" w:eastAsia="宋体" w:cs="宋体"/>
          <w:sz w:val="24"/>
          <w:szCs w:val="24"/>
          <w:highlight w:val="none"/>
        </w:rPr>
        <w:t>。</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施工准备期监理服务时间：</w:t>
      </w:r>
      <w:r>
        <w:rPr>
          <w:rFonts w:hint="eastAsia" w:ascii="宋体" w:hAnsi="宋体" w:eastAsia="宋体" w:cs="宋体"/>
          <w:sz w:val="24"/>
          <w:szCs w:val="24"/>
          <w:highlight w:val="none"/>
          <w:u w:val="single"/>
        </w:rPr>
        <w:t>监理合同签订之日至合同工程开工令确定的开工之日</w:t>
      </w:r>
      <w:r>
        <w:rPr>
          <w:rFonts w:hint="eastAsia" w:ascii="宋体" w:hAnsi="宋体" w:eastAsia="宋体" w:cs="宋体"/>
          <w:sz w:val="24"/>
          <w:szCs w:val="24"/>
          <w:highlight w:val="none"/>
        </w:rPr>
        <w:t>。</w:t>
      </w:r>
    </w:p>
    <w:p>
      <w:pPr>
        <w:pStyle w:val="44"/>
        <w:tabs>
          <w:tab w:val="left" w:pos="420"/>
        </w:tabs>
        <w:spacing w:line="32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施工及交工验收期监理服务时间：</w:t>
      </w:r>
      <w:r>
        <w:rPr>
          <w:rFonts w:hint="eastAsia" w:ascii="宋体" w:hAnsi="宋体" w:eastAsia="宋体" w:cs="宋体"/>
          <w:sz w:val="24"/>
          <w:szCs w:val="24"/>
          <w:highlight w:val="none"/>
          <w:u w:val="single"/>
        </w:rPr>
        <w:t>合同工程开工之日至签发合同工程交工验收证书之日。</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退场时间：</w:t>
      </w:r>
      <w:r>
        <w:rPr>
          <w:rFonts w:hint="eastAsia" w:ascii="宋体" w:hAnsi="宋体" w:eastAsia="宋体" w:cs="宋体"/>
          <w:sz w:val="24"/>
          <w:szCs w:val="24"/>
          <w:highlight w:val="none"/>
          <w:u w:val="single"/>
        </w:rPr>
        <w:t>与监理人签订合同协议书时确定</w:t>
      </w:r>
      <w:r>
        <w:rPr>
          <w:rFonts w:hint="eastAsia" w:ascii="宋体" w:hAnsi="宋体" w:eastAsia="宋体" w:cs="宋体"/>
          <w:sz w:val="24"/>
          <w:szCs w:val="24"/>
          <w:highlight w:val="none"/>
        </w:rPr>
        <w:t>。</w:t>
      </w:r>
    </w:p>
    <w:p>
      <w:pPr>
        <w:pStyle w:val="44"/>
        <w:spacing w:line="320" w:lineRule="exact"/>
        <w:outlineLvl w:val="2"/>
        <w:rPr>
          <w:rFonts w:hint="eastAsia" w:ascii="宋体" w:hAnsi="宋体" w:eastAsia="宋体" w:cs="宋体"/>
          <w:sz w:val="24"/>
          <w:szCs w:val="24"/>
          <w:highlight w:val="none"/>
        </w:rPr>
      </w:pPr>
      <w:bookmarkStart w:id="267" w:name="_Toc440231011"/>
      <w:bookmarkStart w:id="268" w:name="_Toc448775918"/>
      <w:bookmarkStart w:id="269" w:name="_Toc440232088"/>
      <w:bookmarkStart w:id="270" w:name="_Toc434067640"/>
      <w:bookmarkStart w:id="271" w:name="_Toc433919453"/>
      <w:bookmarkStart w:id="272" w:name="_Toc28265975"/>
      <w:bookmarkStart w:id="273" w:name="_Toc441399917"/>
      <w:bookmarkStart w:id="274" w:name="_Toc436317816"/>
      <w:bookmarkStart w:id="275" w:name="_Toc28266219"/>
      <w:bookmarkStart w:id="276" w:name="_Toc436317281"/>
      <w:bookmarkStart w:id="277" w:name="_Toc436320568"/>
      <w:bookmarkStart w:id="278" w:name="_Toc433918137"/>
      <w:bookmarkStart w:id="279" w:name="_Toc26106939"/>
      <w:r>
        <w:rPr>
          <w:rFonts w:hint="eastAsia" w:ascii="宋体" w:hAnsi="宋体" w:eastAsia="宋体" w:cs="宋体"/>
          <w:sz w:val="24"/>
          <w:szCs w:val="24"/>
          <w:highlight w:val="none"/>
        </w:rPr>
        <w:t>5.4  合同的变更</w:t>
      </w:r>
      <w:bookmarkEnd w:id="267"/>
      <w:bookmarkEnd w:id="268"/>
      <w:bookmarkEnd w:id="269"/>
      <w:bookmarkEnd w:id="270"/>
      <w:bookmarkEnd w:id="271"/>
      <w:bookmarkEnd w:id="272"/>
      <w:bookmarkEnd w:id="273"/>
      <w:bookmarkEnd w:id="274"/>
      <w:bookmarkEnd w:id="275"/>
      <w:bookmarkEnd w:id="276"/>
      <w:bookmarkEnd w:id="277"/>
      <w:bookmarkEnd w:id="278"/>
      <w:bookmarkEnd w:id="279"/>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本款第5.4.4项、5.4.5项及5.4.6项修改为： </w:t>
      </w:r>
    </w:p>
    <w:p>
      <w:pPr>
        <w:pStyle w:val="44"/>
        <w:tabs>
          <w:tab w:val="left" w:pos="420"/>
        </w:tabs>
        <w:spacing w:line="320" w:lineRule="exact"/>
        <w:ind w:firstLine="480" w:firstLineChars="200"/>
        <w:rPr>
          <w:rFonts w:hint="eastAsia" w:ascii="宋体" w:hAnsi="宋体" w:eastAsia="宋体" w:cs="宋体"/>
          <w:b/>
          <w:sz w:val="24"/>
          <w:szCs w:val="24"/>
          <w:highlight w:val="none"/>
          <w:u w:val="single"/>
        </w:rPr>
      </w:pPr>
      <w:r>
        <w:rPr>
          <w:rFonts w:hint="eastAsia" w:ascii="宋体" w:hAnsi="宋体" w:eastAsia="宋体" w:cs="宋体"/>
          <w:sz w:val="24"/>
          <w:szCs w:val="24"/>
          <w:highlight w:val="none"/>
        </w:rPr>
        <w:t>5.4.4项目开工时间推迟导致施工准备期延长的，或非监理人因素导致监理服务期限超过约定期限的，监理服务费用调整方法：</w:t>
      </w:r>
      <w:r>
        <w:rPr>
          <w:rFonts w:hint="eastAsia" w:ascii="宋体" w:hAnsi="宋体" w:eastAsia="宋体" w:cs="宋体"/>
          <w:b/>
          <w:sz w:val="24"/>
          <w:szCs w:val="24"/>
          <w:highlight w:val="none"/>
          <w:u w:val="single"/>
        </w:rPr>
        <w:t>附加服务工作日数×监理人数 ×中标时施工阶段监理服务人月平均费用与法规规定每月工作日数的比值</w:t>
      </w:r>
      <w:r>
        <w:rPr>
          <w:rFonts w:hint="eastAsia" w:ascii="宋体" w:hAnsi="宋体" w:eastAsia="宋体" w:cs="宋体"/>
          <w:b/>
          <w:sz w:val="24"/>
          <w:szCs w:val="24"/>
          <w:highlight w:val="none"/>
        </w:rPr>
        <w:t>。</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5.4.5 因物价变动等因素而引起监理服务费用的变化的调整办法：</w:t>
      </w:r>
      <w:r>
        <w:rPr>
          <w:rFonts w:hint="eastAsia" w:ascii="宋体" w:hAnsi="宋体" w:eastAsia="宋体" w:cs="宋体"/>
          <w:b/>
          <w:sz w:val="24"/>
          <w:szCs w:val="24"/>
          <w:highlight w:val="none"/>
          <w:u w:val="single"/>
        </w:rPr>
        <w:t>不予考虑</w:t>
      </w:r>
      <w:r>
        <w:rPr>
          <w:rFonts w:hint="eastAsia" w:ascii="宋体" w:hAnsi="宋体" w:eastAsia="宋体" w:cs="宋体"/>
          <w:sz w:val="24"/>
          <w:szCs w:val="24"/>
          <w:highlight w:val="none"/>
        </w:rPr>
        <w:t>。</w:t>
      </w:r>
    </w:p>
    <w:p>
      <w:pPr>
        <w:pStyle w:val="44"/>
        <w:tabs>
          <w:tab w:val="left" w:pos="420"/>
        </w:tabs>
        <w:spacing w:line="320" w:lineRule="exact"/>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5.4.6 因国家或地方政府的法律、法规变动而引起监理服务费用的增加或服务时间的延长，应进行调整，具体调整方法：</w:t>
      </w:r>
      <w:r>
        <w:rPr>
          <w:rFonts w:hint="eastAsia" w:ascii="宋体" w:hAnsi="宋体" w:eastAsia="宋体" w:cs="宋体"/>
          <w:b/>
          <w:sz w:val="24"/>
          <w:szCs w:val="24"/>
          <w:highlight w:val="none"/>
          <w:u w:val="single"/>
        </w:rPr>
        <w:t>不予考虑</w:t>
      </w:r>
      <w:r>
        <w:rPr>
          <w:rFonts w:hint="eastAsia" w:ascii="宋体" w:hAnsi="宋体" w:eastAsia="宋体" w:cs="宋体"/>
          <w:sz w:val="24"/>
          <w:szCs w:val="24"/>
          <w:highlight w:val="none"/>
        </w:rPr>
        <w:t>。</w:t>
      </w:r>
    </w:p>
    <w:p>
      <w:pPr>
        <w:pStyle w:val="44"/>
        <w:spacing w:line="320" w:lineRule="exact"/>
        <w:outlineLvl w:val="2"/>
        <w:rPr>
          <w:rFonts w:hint="eastAsia" w:ascii="宋体" w:hAnsi="宋体" w:eastAsia="宋体" w:cs="宋体"/>
          <w:sz w:val="24"/>
          <w:szCs w:val="24"/>
          <w:highlight w:val="none"/>
        </w:rPr>
      </w:pPr>
      <w:bookmarkStart w:id="280" w:name="_Toc433918138"/>
      <w:bookmarkStart w:id="281" w:name="_Toc440231012"/>
      <w:bookmarkStart w:id="282" w:name="_Toc434067641"/>
      <w:bookmarkStart w:id="283" w:name="_Toc433919454"/>
      <w:bookmarkStart w:id="284" w:name="_Toc26106940"/>
      <w:bookmarkStart w:id="285" w:name="_Toc436317282"/>
      <w:bookmarkStart w:id="286" w:name="_Toc436320569"/>
      <w:bookmarkStart w:id="287" w:name="_Toc448775919"/>
      <w:bookmarkStart w:id="288" w:name="_Toc441399918"/>
      <w:bookmarkStart w:id="289" w:name="_Toc440232089"/>
      <w:bookmarkStart w:id="290" w:name="_Toc28266220"/>
      <w:bookmarkStart w:id="291" w:name="_Toc28265976"/>
      <w:bookmarkStart w:id="292" w:name="_Toc436317817"/>
      <w:r>
        <w:rPr>
          <w:rFonts w:hint="eastAsia" w:ascii="宋体" w:hAnsi="宋体" w:eastAsia="宋体" w:cs="宋体"/>
          <w:sz w:val="24"/>
          <w:szCs w:val="24"/>
          <w:highlight w:val="none"/>
        </w:rPr>
        <w:t>5.5  合同的暂停与解除</w:t>
      </w:r>
      <w:bookmarkEnd w:id="280"/>
      <w:bookmarkEnd w:id="281"/>
      <w:bookmarkEnd w:id="282"/>
      <w:bookmarkEnd w:id="283"/>
      <w:bookmarkEnd w:id="284"/>
      <w:bookmarkEnd w:id="285"/>
      <w:bookmarkEnd w:id="286"/>
      <w:bookmarkEnd w:id="287"/>
      <w:bookmarkEnd w:id="288"/>
      <w:bookmarkEnd w:id="289"/>
      <w:bookmarkEnd w:id="290"/>
      <w:bookmarkEnd w:id="291"/>
      <w:bookmarkEnd w:id="292"/>
    </w:p>
    <w:p>
      <w:pPr>
        <w:pStyle w:val="44"/>
        <w:tabs>
          <w:tab w:val="left" w:pos="420"/>
        </w:tabs>
        <w:spacing w:line="320" w:lineRule="exact"/>
        <w:ind w:firstLine="480" w:firstLineChars="200"/>
        <w:rPr>
          <w:rFonts w:hint="eastAsia" w:ascii="宋体" w:hAnsi="宋体" w:eastAsia="宋体" w:cs="宋体"/>
          <w:b/>
          <w:sz w:val="24"/>
          <w:szCs w:val="24"/>
          <w:highlight w:val="none"/>
          <w:u w:val="single"/>
        </w:rPr>
      </w:pPr>
      <w:r>
        <w:rPr>
          <w:rFonts w:hint="eastAsia" w:ascii="宋体" w:hAnsi="宋体" w:eastAsia="宋体" w:cs="宋体"/>
          <w:sz w:val="24"/>
          <w:szCs w:val="24"/>
          <w:highlight w:val="none"/>
        </w:rPr>
        <w:t>5.5.1（3）本合同约定的不可抗力其他情形：</w:t>
      </w:r>
      <w:r>
        <w:rPr>
          <w:rFonts w:hint="eastAsia" w:ascii="宋体" w:hAnsi="宋体" w:eastAsia="宋体" w:cs="宋体"/>
          <w:b/>
          <w:sz w:val="24"/>
          <w:szCs w:val="24"/>
          <w:highlight w:val="none"/>
          <w:u w:val="single"/>
        </w:rPr>
        <w:t>无</w:t>
      </w:r>
    </w:p>
    <w:p>
      <w:pPr>
        <w:pStyle w:val="44"/>
        <w:spacing w:line="320" w:lineRule="exact"/>
        <w:jc w:val="left"/>
        <w:outlineLvl w:val="1"/>
        <w:rPr>
          <w:rFonts w:hint="eastAsia" w:ascii="宋体" w:hAnsi="宋体" w:eastAsia="宋体" w:cs="宋体"/>
          <w:b/>
          <w:sz w:val="24"/>
          <w:szCs w:val="24"/>
          <w:highlight w:val="none"/>
        </w:rPr>
      </w:pPr>
      <w:bookmarkStart w:id="293" w:name="_Toc434067642"/>
      <w:bookmarkStart w:id="294" w:name="_Toc440231013"/>
      <w:bookmarkStart w:id="295" w:name="_Toc28265977"/>
      <w:bookmarkStart w:id="296" w:name="_Toc433919455"/>
      <w:bookmarkStart w:id="297" w:name="_Toc433918139"/>
      <w:bookmarkStart w:id="298" w:name="_Toc28266221"/>
      <w:bookmarkStart w:id="299" w:name="_Toc436317283"/>
      <w:bookmarkStart w:id="300" w:name="_Toc436317818"/>
      <w:bookmarkStart w:id="301" w:name="_Toc448775920"/>
      <w:bookmarkStart w:id="302" w:name="_Toc441399919"/>
      <w:bookmarkStart w:id="303" w:name="_Toc440232090"/>
      <w:bookmarkStart w:id="304" w:name="_Toc26106941"/>
      <w:bookmarkStart w:id="305" w:name="_Toc436320570"/>
      <w:r>
        <w:rPr>
          <w:rFonts w:hint="eastAsia" w:ascii="宋体" w:hAnsi="宋体" w:eastAsia="宋体" w:cs="宋体"/>
          <w:b/>
          <w:sz w:val="24"/>
          <w:szCs w:val="24"/>
          <w:highlight w:val="none"/>
        </w:rPr>
        <w:t>6. 监理服务费计量与支付</w:t>
      </w:r>
      <w:bookmarkEnd w:id="293"/>
      <w:bookmarkEnd w:id="294"/>
      <w:bookmarkEnd w:id="295"/>
      <w:bookmarkEnd w:id="296"/>
      <w:bookmarkEnd w:id="297"/>
      <w:bookmarkEnd w:id="298"/>
      <w:bookmarkEnd w:id="299"/>
      <w:bookmarkEnd w:id="300"/>
      <w:bookmarkEnd w:id="301"/>
      <w:bookmarkEnd w:id="302"/>
      <w:bookmarkEnd w:id="303"/>
      <w:bookmarkEnd w:id="304"/>
      <w:bookmarkEnd w:id="305"/>
    </w:p>
    <w:p>
      <w:pPr>
        <w:pStyle w:val="44"/>
        <w:spacing w:line="320" w:lineRule="exact"/>
        <w:outlineLvl w:val="2"/>
        <w:rPr>
          <w:rFonts w:hint="eastAsia" w:ascii="宋体" w:hAnsi="宋体" w:eastAsia="宋体" w:cs="宋体"/>
          <w:sz w:val="24"/>
          <w:szCs w:val="24"/>
          <w:highlight w:val="none"/>
        </w:rPr>
      </w:pPr>
      <w:bookmarkStart w:id="306" w:name="_Toc28265978"/>
      <w:bookmarkStart w:id="307" w:name="_Toc436320571"/>
      <w:bookmarkStart w:id="308" w:name="_Toc448775921"/>
      <w:bookmarkStart w:id="309" w:name="_Toc436317819"/>
      <w:bookmarkStart w:id="310" w:name="_Toc433918140"/>
      <w:bookmarkStart w:id="311" w:name="_Toc26106942"/>
      <w:bookmarkStart w:id="312" w:name="_Toc440231014"/>
      <w:bookmarkStart w:id="313" w:name="_Toc433919456"/>
      <w:bookmarkStart w:id="314" w:name="_Toc441399920"/>
      <w:bookmarkStart w:id="315" w:name="_Toc28266222"/>
      <w:bookmarkStart w:id="316" w:name="_Toc434067643"/>
      <w:bookmarkStart w:id="317" w:name="_Toc440232091"/>
      <w:bookmarkStart w:id="318" w:name="_Toc436317284"/>
      <w:r>
        <w:rPr>
          <w:rFonts w:hint="eastAsia" w:ascii="宋体" w:hAnsi="宋体" w:eastAsia="宋体" w:cs="宋体"/>
          <w:sz w:val="24"/>
          <w:szCs w:val="24"/>
          <w:highlight w:val="none"/>
        </w:rPr>
        <w:t>6.1  计算方法</w:t>
      </w:r>
      <w:bookmarkEnd w:id="306"/>
      <w:bookmarkEnd w:id="307"/>
      <w:bookmarkEnd w:id="308"/>
      <w:bookmarkEnd w:id="309"/>
      <w:bookmarkEnd w:id="310"/>
      <w:bookmarkEnd w:id="311"/>
      <w:bookmarkEnd w:id="312"/>
      <w:bookmarkEnd w:id="313"/>
      <w:bookmarkEnd w:id="314"/>
      <w:bookmarkEnd w:id="315"/>
      <w:bookmarkEnd w:id="316"/>
      <w:bookmarkEnd w:id="317"/>
      <w:bookmarkEnd w:id="318"/>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6.1.1正常监理服务的费用</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删除原内容，改为：</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监理服务费采用总价承包，一次包干，与工程实施中造价的调整无关。</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6.1.2 附加监理服务的费用</w:t>
      </w:r>
    </w:p>
    <w:p>
      <w:pPr>
        <w:pStyle w:val="44"/>
        <w:tabs>
          <w:tab w:val="left" w:pos="420"/>
        </w:tabs>
        <w:spacing w:line="320" w:lineRule="exact"/>
        <w:ind w:firstLine="480" w:firstLineChars="200"/>
        <w:rPr>
          <w:rFonts w:hint="eastAsia" w:ascii="宋体" w:hAnsi="宋体" w:eastAsia="宋体" w:cs="宋体"/>
          <w:b/>
          <w:sz w:val="24"/>
          <w:szCs w:val="24"/>
          <w:highlight w:val="none"/>
          <w:u w:val="single"/>
        </w:rPr>
      </w:pPr>
      <w:r>
        <w:rPr>
          <w:rFonts w:hint="eastAsia" w:ascii="宋体" w:hAnsi="宋体" w:eastAsia="宋体" w:cs="宋体"/>
          <w:sz w:val="24"/>
          <w:szCs w:val="24"/>
          <w:highlight w:val="none"/>
        </w:rPr>
        <w:t>6.1.2 附加监理服务费用计算方法：</w:t>
      </w:r>
      <w:r>
        <w:rPr>
          <w:rFonts w:hint="eastAsia" w:ascii="宋体" w:hAnsi="宋体" w:eastAsia="宋体" w:cs="宋体"/>
          <w:b/>
          <w:sz w:val="24"/>
          <w:szCs w:val="24"/>
          <w:highlight w:val="none"/>
          <w:u w:val="single"/>
        </w:rPr>
        <w:t>附加服务工作日数×监理人数 ×中标时施工阶段监理服务人月平均费用与法规规定每月工作日数的比值。</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6.1.3 额外服务的费用</w:t>
      </w:r>
    </w:p>
    <w:p>
      <w:pPr>
        <w:pStyle w:val="44"/>
        <w:tabs>
          <w:tab w:val="left" w:pos="420"/>
        </w:tabs>
        <w:spacing w:line="320" w:lineRule="exact"/>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6.1.3 额外监理服务费用计算方法：</w:t>
      </w:r>
      <w:r>
        <w:rPr>
          <w:rFonts w:hint="eastAsia" w:ascii="宋体" w:hAnsi="宋体" w:eastAsia="宋体" w:cs="宋体"/>
          <w:b/>
          <w:sz w:val="24"/>
          <w:szCs w:val="24"/>
          <w:highlight w:val="none"/>
          <w:u w:val="single"/>
        </w:rPr>
        <w:t>额外服务工作日数×监理人数×中标时施工阶段监理服务人月平均费用与法规规定每月工作日数的比值。</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6.1.4 监理服务费的调整</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本项修改为：</w:t>
      </w:r>
    </w:p>
    <w:p>
      <w:pPr>
        <w:pStyle w:val="44"/>
        <w:tabs>
          <w:tab w:val="left" w:pos="420"/>
        </w:tabs>
        <w:spacing w:line="320" w:lineRule="exact"/>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监理服务费用不予调整。</w:t>
      </w:r>
    </w:p>
    <w:p>
      <w:pPr>
        <w:pStyle w:val="44"/>
        <w:spacing w:line="320" w:lineRule="exact"/>
        <w:ind w:firstLine="480" w:firstLineChars="200"/>
        <w:outlineLvl w:val="2"/>
        <w:rPr>
          <w:rFonts w:hint="eastAsia" w:ascii="宋体" w:hAnsi="宋体" w:eastAsia="宋体" w:cs="宋体"/>
          <w:sz w:val="24"/>
          <w:szCs w:val="24"/>
          <w:highlight w:val="none"/>
        </w:rPr>
      </w:pPr>
      <w:bookmarkStart w:id="319" w:name="_Toc26106943"/>
      <w:bookmarkStart w:id="320" w:name="_Toc436320572"/>
      <w:bookmarkStart w:id="321" w:name="_Toc436317285"/>
      <w:bookmarkStart w:id="322" w:name="_Toc440232092"/>
      <w:bookmarkStart w:id="323" w:name="_Toc28265979"/>
      <w:bookmarkStart w:id="324" w:name="_Toc448775922"/>
      <w:bookmarkStart w:id="325" w:name="_Toc433919457"/>
      <w:bookmarkStart w:id="326" w:name="_Toc440231015"/>
      <w:bookmarkStart w:id="327" w:name="_Toc433918141"/>
      <w:bookmarkStart w:id="328" w:name="_Toc434067644"/>
      <w:bookmarkStart w:id="329" w:name="_Toc436317820"/>
      <w:bookmarkStart w:id="330" w:name="_Toc28266223"/>
      <w:bookmarkStart w:id="331" w:name="_Toc441399921"/>
      <w:r>
        <w:rPr>
          <w:rFonts w:hint="eastAsia" w:ascii="宋体" w:hAnsi="宋体" w:eastAsia="宋体" w:cs="宋体"/>
          <w:sz w:val="24"/>
          <w:szCs w:val="24"/>
          <w:highlight w:val="none"/>
        </w:rPr>
        <w:t>6.2  暂列金额</w:t>
      </w:r>
      <w:bookmarkEnd w:id="319"/>
      <w:bookmarkEnd w:id="320"/>
      <w:bookmarkEnd w:id="321"/>
      <w:bookmarkEnd w:id="322"/>
      <w:bookmarkEnd w:id="323"/>
      <w:bookmarkEnd w:id="324"/>
      <w:bookmarkEnd w:id="325"/>
      <w:bookmarkEnd w:id="326"/>
      <w:bookmarkEnd w:id="327"/>
      <w:bookmarkEnd w:id="328"/>
      <w:bookmarkEnd w:id="329"/>
      <w:bookmarkEnd w:id="330"/>
      <w:bookmarkEnd w:id="331"/>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6.2 暂列金额额度：</w:t>
      </w:r>
      <w:r>
        <w:rPr>
          <w:rFonts w:hint="eastAsia" w:ascii="宋体" w:hAnsi="宋体" w:eastAsia="宋体" w:cs="宋体"/>
          <w:b/>
          <w:snapToGrid w:val="0"/>
          <w:kern w:val="0"/>
          <w:sz w:val="24"/>
          <w:szCs w:val="24"/>
          <w:highlight w:val="none"/>
          <w:u w:val="single"/>
        </w:rPr>
        <w:t>本项目不适用</w:t>
      </w:r>
      <w:r>
        <w:rPr>
          <w:rFonts w:hint="eastAsia" w:ascii="宋体" w:hAnsi="宋体" w:eastAsia="宋体" w:cs="宋体"/>
          <w:sz w:val="24"/>
          <w:szCs w:val="24"/>
          <w:highlight w:val="none"/>
        </w:rPr>
        <w:t>。</w:t>
      </w:r>
    </w:p>
    <w:p>
      <w:pPr>
        <w:pStyle w:val="44"/>
        <w:spacing w:line="320" w:lineRule="exact"/>
        <w:outlineLvl w:val="2"/>
        <w:rPr>
          <w:rFonts w:hint="eastAsia" w:ascii="宋体" w:hAnsi="宋体" w:eastAsia="宋体" w:cs="宋体"/>
          <w:sz w:val="24"/>
          <w:szCs w:val="24"/>
          <w:highlight w:val="none"/>
        </w:rPr>
      </w:pPr>
      <w:bookmarkStart w:id="332" w:name="_Toc436317821"/>
      <w:bookmarkStart w:id="333" w:name="_Toc433919458"/>
      <w:bookmarkStart w:id="334" w:name="_Toc436317286"/>
      <w:bookmarkStart w:id="335" w:name="_Toc441399922"/>
      <w:bookmarkStart w:id="336" w:name="_Toc448775923"/>
      <w:bookmarkStart w:id="337" w:name="_Toc440232093"/>
      <w:bookmarkStart w:id="338" w:name="_Toc28266224"/>
      <w:bookmarkStart w:id="339" w:name="_Toc440231016"/>
      <w:bookmarkStart w:id="340" w:name="_Toc434067645"/>
      <w:bookmarkStart w:id="341" w:name="_Toc436320573"/>
      <w:bookmarkStart w:id="342" w:name="_Toc28265980"/>
      <w:bookmarkStart w:id="343" w:name="_Toc433918142"/>
      <w:bookmarkStart w:id="344" w:name="_Toc26106944"/>
      <w:r>
        <w:rPr>
          <w:rFonts w:hint="eastAsia" w:ascii="宋体" w:hAnsi="宋体" w:eastAsia="宋体" w:cs="宋体"/>
          <w:sz w:val="24"/>
          <w:szCs w:val="24"/>
          <w:highlight w:val="none"/>
        </w:rPr>
        <w:t>6.3  支付</w:t>
      </w:r>
      <w:bookmarkEnd w:id="332"/>
      <w:bookmarkEnd w:id="333"/>
      <w:bookmarkEnd w:id="334"/>
      <w:bookmarkEnd w:id="335"/>
      <w:bookmarkEnd w:id="336"/>
      <w:bookmarkEnd w:id="337"/>
      <w:bookmarkEnd w:id="338"/>
      <w:bookmarkEnd w:id="339"/>
      <w:bookmarkEnd w:id="340"/>
      <w:bookmarkEnd w:id="341"/>
      <w:bookmarkEnd w:id="342"/>
      <w:bookmarkEnd w:id="343"/>
      <w:bookmarkEnd w:id="344"/>
    </w:p>
    <w:p>
      <w:pPr>
        <w:pStyle w:val="44"/>
        <w:spacing w:line="32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监理范围内的项目开工后14天内，</w:t>
      </w:r>
      <w:r>
        <w:rPr>
          <w:rFonts w:hint="eastAsia" w:ascii="宋体" w:hAnsi="宋体" w:cs="宋体"/>
          <w:b/>
          <w:bCs/>
          <w:sz w:val="24"/>
          <w:szCs w:val="24"/>
          <w:highlight w:val="none"/>
          <w:lang w:eastAsia="zh-CN"/>
        </w:rPr>
        <w:t>支付</w:t>
      </w:r>
      <w:r>
        <w:rPr>
          <w:rFonts w:hint="eastAsia" w:ascii="宋体" w:hAnsi="宋体" w:eastAsia="宋体" w:cs="宋体"/>
          <w:b/>
          <w:bCs/>
          <w:sz w:val="24"/>
          <w:szCs w:val="24"/>
          <w:highlight w:val="none"/>
        </w:rPr>
        <w:t>预付款为合同价的</w:t>
      </w:r>
      <w:r>
        <w:rPr>
          <w:rFonts w:hint="eastAsia" w:ascii="宋体" w:hAnsi="宋体" w:cs="宋体"/>
          <w:b/>
          <w:bCs/>
          <w:sz w:val="24"/>
          <w:szCs w:val="24"/>
          <w:highlight w:val="none"/>
          <w:lang w:val="en-US" w:eastAsia="zh-CN"/>
        </w:rPr>
        <w:t>10</w:t>
      </w:r>
      <w:r>
        <w:rPr>
          <w:rFonts w:hint="eastAsia" w:ascii="宋体" w:hAnsi="宋体" w:eastAsia="宋体" w:cs="宋体"/>
          <w:b/>
          <w:bCs/>
          <w:sz w:val="24"/>
          <w:szCs w:val="24"/>
          <w:highlight w:val="none"/>
        </w:rPr>
        <w:t>%，在工程进展顺利的前提下，以后每</w:t>
      </w:r>
      <w:r>
        <w:rPr>
          <w:rFonts w:hint="eastAsia" w:ascii="宋体" w:hAnsi="宋体" w:cs="宋体"/>
          <w:b/>
          <w:bCs/>
          <w:sz w:val="24"/>
          <w:szCs w:val="24"/>
          <w:highlight w:val="none"/>
          <w:lang w:val="en-US" w:eastAsia="zh-CN"/>
        </w:rPr>
        <w:t>3</w:t>
      </w:r>
      <w:r>
        <w:rPr>
          <w:rFonts w:hint="eastAsia" w:ascii="宋体" w:hAnsi="宋体" w:eastAsia="宋体" w:cs="宋体"/>
          <w:b/>
          <w:bCs/>
          <w:sz w:val="24"/>
          <w:szCs w:val="24"/>
          <w:highlight w:val="none"/>
        </w:rPr>
        <w:t>个月末根据施工进度支付一次监理服务酬金</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rPr>
        <w:t>合同价的</w:t>
      </w:r>
      <w:r>
        <w:rPr>
          <w:rFonts w:hint="eastAsia" w:ascii="宋体" w:hAnsi="宋体" w:cs="宋体"/>
          <w:b/>
          <w:bCs/>
          <w:sz w:val="24"/>
          <w:szCs w:val="24"/>
          <w:highlight w:val="none"/>
          <w:lang w:val="en-US" w:eastAsia="zh-CN"/>
        </w:rPr>
        <w:t>30</w:t>
      </w:r>
      <w:r>
        <w:rPr>
          <w:rFonts w:hint="eastAsia" w:ascii="宋体" w:hAnsi="宋体" w:eastAsia="宋体" w:cs="宋体"/>
          <w:b/>
          <w:bCs/>
          <w:sz w:val="24"/>
          <w:szCs w:val="24"/>
          <w:highlight w:val="none"/>
        </w:rPr>
        <w:t>%</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rPr>
        <w:t>，</w:t>
      </w:r>
      <w:r>
        <w:rPr>
          <w:rFonts w:hint="eastAsia" w:ascii="宋体" w:hAnsi="宋体" w:cs="宋体"/>
          <w:b/>
          <w:bCs/>
          <w:sz w:val="24"/>
          <w:szCs w:val="24"/>
          <w:highlight w:val="none"/>
          <w:lang w:eastAsia="zh-CN"/>
        </w:rPr>
        <w:t>在工程竣工验收后</w:t>
      </w:r>
      <w:r>
        <w:rPr>
          <w:rFonts w:hint="eastAsia" w:ascii="宋体" w:hAnsi="宋体" w:eastAsia="宋体" w:cs="宋体"/>
          <w:b/>
          <w:bCs/>
          <w:sz w:val="24"/>
          <w:szCs w:val="24"/>
          <w:highlight w:val="none"/>
        </w:rPr>
        <w:t>支付</w:t>
      </w:r>
      <w:r>
        <w:rPr>
          <w:rFonts w:hint="eastAsia" w:ascii="宋体" w:hAnsi="宋体" w:cs="宋体"/>
          <w:b/>
          <w:bCs/>
          <w:sz w:val="24"/>
          <w:szCs w:val="24"/>
          <w:highlight w:val="none"/>
          <w:lang w:eastAsia="zh-CN"/>
        </w:rPr>
        <w:t>至合同价的</w:t>
      </w:r>
      <w:r>
        <w:rPr>
          <w:rFonts w:hint="eastAsia" w:ascii="宋体" w:hAnsi="宋体" w:cs="宋体"/>
          <w:b/>
          <w:bCs/>
          <w:sz w:val="24"/>
          <w:szCs w:val="24"/>
          <w:highlight w:val="none"/>
          <w:lang w:val="en-US" w:eastAsia="zh-CN"/>
        </w:rPr>
        <w:t>95%</w:t>
      </w:r>
      <w:r>
        <w:rPr>
          <w:rFonts w:hint="eastAsia" w:ascii="宋体" w:hAnsi="宋体" w:eastAsia="宋体" w:cs="宋体"/>
          <w:b/>
          <w:bCs/>
          <w:sz w:val="24"/>
          <w:szCs w:val="24"/>
          <w:highlight w:val="none"/>
        </w:rPr>
        <w:t>。</w:t>
      </w:r>
      <w:r>
        <w:rPr>
          <w:rFonts w:hint="eastAsia" w:ascii="宋体" w:hAnsi="宋体" w:cs="宋体"/>
          <w:b/>
          <w:bCs/>
          <w:sz w:val="24"/>
          <w:szCs w:val="24"/>
          <w:highlight w:val="none"/>
          <w:lang w:eastAsia="zh-CN"/>
        </w:rPr>
        <w:t>剩余</w:t>
      </w:r>
      <w:r>
        <w:rPr>
          <w:rFonts w:hint="eastAsia" w:ascii="宋体" w:hAnsi="宋体" w:eastAsia="宋体" w:cs="宋体"/>
          <w:b/>
          <w:bCs/>
          <w:sz w:val="24"/>
          <w:szCs w:val="24"/>
          <w:highlight w:val="none"/>
        </w:rPr>
        <w:t>5%，在工程缺陷责任期满后14天内</w:t>
      </w:r>
      <w:r>
        <w:rPr>
          <w:rFonts w:hint="eastAsia" w:ascii="宋体" w:hAnsi="宋体" w:cs="宋体"/>
          <w:b/>
          <w:bCs/>
          <w:sz w:val="24"/>
          <w:szCs w:val="24"/>
          <w:highlight w:val="none"/>
          <w:lang w:eastAsia="zh-CN"/>
        </w:rPr>
        <w:t>付清</w:t>
      </w:r>
      <w:r>
        <w:rPr>
          <w:rFonts w:hint="eastAsia" w:ascii="宋体" w:hAnsi="宋体" w:eastAsia="宋体" w:cs="宋体"/>
          <w:b/>
          <w:bCs/>
          <w:sz w:val="24"/>
          <w:szCs w:val="24"/>
          <w:highlight w:val="none"/>
        </w:rPr>
        <w:t>。</w:t>
      </w:r>
    </w:p>
    <w:p>
      <w:pPr>
        <w:pStyle w:val="44"/>
        <w:tabs>
          <w:tab w:val="left" w:pos="420"/>
        </w:tabs>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6.3.5  结算</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（1）内容修改为：</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在施工阶段监理服务工作结束后7日内，监理人应将至交工证书签发之日前实际发生的监理服务费用，扣减监理人赔偿金后余额的支付申请上报至发包人，发包人应在收到该支付申请后7日内予以审批，在批复后14日内向监理人支付费用。</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补充（3）目，内容为：</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（3）若本工程提前完成，导致工期缩短，发包人应按施工阶段监理服务费原费用支付给监理人。如另有奖励的，按专用合同条款10.2款约定的执行。</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6.3.6 支付期限</w:t>
      </w:r>
    </w:p>
    <w:p>
      <w:pPr>
        <w:pStyle w:val="44"/>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按照全国银行业间同业拆借中心公布的同期市场贷款利率（一年期）计算相应的利息。</w:t>
      </w:r>
    </w:p>
    <w:p>
      <w:pPr>
        <w:pStyle w:val="44"/>
        <w:spacing w:line="320" w:lineRule="exact"/>
        <w:jc w:val="left"/>
        <w:outlineLvl w:val="1"/>
        <w:rPr>
          <w:rFonts w:hint="eastAsia" w:ascii="宋体" w:hAnsi="宋体" w:eastAsia="宋体" w:cs="宋体"/>
          <w:b/>
          <w:sz w:val="24"/>
          <w:szCs w:val="24"/>
          <w:highlight w:val="none"/>
        </w:rPr>
      </w:pPr>
      <w:bookmarkStart w:id="345" w:name="_Toc436320574"/>
      <w:bookmarkStart w:id="346" w:name="_Toc448775924"/>
      <w:bookmarkStart w:id="347" w:name="_Toc28265981"/>
      <w:bookmarkStart w:id="348" w:name="_Toc440231017"/>
      <w:bookmarkStart w:id="349" w:name="_Toc436317287"/>
      <w:bookmarkStart w:id="350" w:name="_Toc440232094"/>
      <w:bookmarkStart w:id="351" w:name="_Toc28266225"/>
      <w:bookmarkStart w:id="352" w:name="_Toc434067646"/>
      <w:bookmarkStart w:id="353" w:name="_Toc26106945"/>
      <w:bookmarkStart w:id="354" w:name="_Toc433919459"/>
      <w:bookmarkStart w:id="355" w:name="_Toc436317822"/>
      <w:bookmarkStart w:id="356" w:name="_Toc441399923"/>
      <w:bookmarkStart w:id="357" w:name="_Toc433918143"/>
    </w:p>
    <w:p>
      <w:pPr>
        <w:pStyle w:val="44"/>
        <w:spacing w:line="320" w:lineRule="exact"/>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7. 违约</w:t>
      </w:r>
      <w:bookmarkEnd w:id="345"/>
      <w:bookmarkEnd w:id="346"/>
      <w:bookmarkEnd w:id="347"/>
      <w:bookmarkEnd w:id="348"/>
      <w:bookmarkEnd w:id="349"/>
      <w:bookmarkEnd w:id="350"/>
      <w:bookmarkEnd w:id="351"/>
      <w:bookmarkEnd w:id="352"/>
      <w:bookmarkEnd w:id="353"/>
      <w:bookmarkEnd w:id="354"/>
      <w:bookmarkEnd w:id="355"/>
      <w:bookmarkEnd w:id="356"/>
      <w:bookmarkEnd w:id="357"/>
    </w:p>
    <w:p>
      <w:pPr>
        <w:pStyle w:val="44"/>
        <w:spacing w:line="320" w:lineRule="exact"/>
        <w:outlineLvl w:val="2"/>
        <w:rPr>
          <w:rFonts w:hint="eastAsia" w:ascii="宋体" w:hAnsi="宋体" w:eastAsia="宋体" w:cs="宋体"/>
          <w:sz w:val="24"/>
          <w:szCs w:val="24"/>
          <w:highlight w:val="none"/>
        </w:rPr>
      </w:pPr>
      <w:bookmarkStart w:id="358" w:name="_Toc28266226"/>
      <w:bookmarkStart w:id="359" w:name="_Toc433918144"/>
      <w:bookmarkStart w:id="360" w:name="_Toc448775925"/>
      <w:bookmarkStart w:id="361" w:name="_Toc28265982"/>
      <w:bookmarkStart w:id="362" w:name="_Toc441399924"/>
      <w:bookmarkStart w:id="363" w:name="_Toc436317823"/>
      <w:bookmarkStart w:id="364" w:name="_Toc440232095"/>
      <w:bookmarkStart w:id="365" w:name="_Toc440231018"/>
      <w:bookmarkStart w:id="366" w:name="_Toc26106946"/>
      <w:bookmarkStart w:id="367" w:name="_Toc434067647"/>
      <w:bookmarkStart w:id="368" w:name="_Toc433919460"/>
      <w:bookmarkStart w:id="369" w:name="_Toc436317288"/>
      <w:bookmarkStart w:id="370" w:name="_Toc436320575"/>
      <w:r>
        <w:rPr>
          <w:rFonts w:hint="eastAsia" w:ascii="宋体" w:hAnsi="宋体" w:eastAsia="宋体" w:cs="宋体"/>
          <w:sz w:val="24"/>
          <w:szCs w:val="24"/>
          <w:highlight w:val="none"/>
        </w:rPr>
        <w:t>7.1  监理人的违约及赔偿责任</w:t>
      </w:r>
      <w:bookmarkEnd w:id="358"/>
      <w:bookmarkEnd w:id="359"/>
      <w:bookmarkEnd w:id="360"/>
      <w:bookmarkEnd w:id="361"/>
      <w:bookmarkEnd w:id="362"/>
      <w:bookmarkEnd w:id="363"/>
      <w:bookmarkEnd w:id="364"/>
      <w:bookmarkEnd w:id="365"/>
      <w:bookmarkEnd w:id="366"/>
      <w:bookmarkEnd w:id="367"/>
      <w:bookmarkEnd w:id="368"/>
      <w:bookmarkEnd w:id="369"/>
      <w:bookmarkEnd w:id="370"/>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7.1.1 监理人的违约</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第（2）目修改为：</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（2）由于监理人不履行监理职责，造成工程质量、安全责任事故，具体包括：</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① 监理人在接到承包人书面申请检查约定时间后的24小时内未到现场，且过后又没有进行复检而造成质量问题的；</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② 原材料、构配件、设备及已完工程实体质量的抽检频率不足的而造成质量问题的；</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③ 将不合格的工程、工序、材料、构配件和设备按合格签字的；</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④ 监理人员严重失职导致质量、安全或环保事故发生的；</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⑤ 因监理人原因未达到合同约定的对第三方履约管理的服务目标的。</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第（3）目修改为：</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（3）监理人向承包人索贿、谋取私利，或与承包人串通损害发包人利益，给发包人造成损失，具体包括：</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① 监理人员有吃拿卡要或其它不良行为的；</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② 监理人员徇私舞弊、弄虚作假或与承包人串通欺瞒发包人或质监部门的。</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第（6）目修改为：</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（6）监理人不按合同约定履行义务的其他情况，具体包括：</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① 自中标开始至施工阶段结束，监理人违约调换总监理工程师、专业监理工程师、监理员的；</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② 监理人员不能胜任本职工作，而监理人又不能按发包人要求及时更换的；</w:t>
      </w:r>
    </w:p>
    <w:p>
      <w:pPr>
        <w:pStyle w:val="44"/>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③ 总监理工程师的休假未经发包人书面同意，其它监理人员休假未经总监批准而影响监理工作的；</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④ 无正当理由监理人员每个月驻工地的时间少于当月法定工作日的；</w:t>
      </w:r>
    </w:p>
    <w:p>
      <w:pPr>
        <w:pStyle w:val="44"/>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⑤ 监理人员未按规定巡视、旁站的；</w:t>
      </w:r>
    </w:p>
    <w:p>
      <w:pPr>
        <w:pStyle w:val="44"/>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⑥ 监理人不按时提交完整的交竣工资料的；</w:t>
      </w:r>
    </w:p>
    <w:p>
      <w:pPr>
        <w:pStyle w:val="44"/>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⑦ 在合同实施过程中，监理办建设不满足招标文件专用合同条款3.6款要求的；</w:t>
      </w:r>
    </w:p>
    <w:p>
      <w:pPr>
        <w:pStyle w:val="44"/>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⑧ 投标文件中承诺的监理人员信用评价周期内累计扣分大于等于12分的。</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7.1.2 监理人违约的处理</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本项补充：</w:t>
      </w:r>
    </w:p>
    <w:p>
      <w:pPr>
        <w:tabs>
          <w:tab w:val="left" w:pos="420"/>
        </w:tabs>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因监理人违约，除执行上述条款外，发包人对监理人课以违约金的计算方法：</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监理人未按投标文件承诺的人员到位的且有7.1.1（6）项①目情形，</w:t>
      </w:r>
      <w:r>
        <w:rPr>
          <w:rFonts w:hint="eastAsia" w:ascii="宋体" w:hAnsi="宋体" w:eastAsia="宋体" w:cs="宋体"/>
          <w:spacing w:val="6"/>
          <w:sz w:val="24"/>
          <w:szCs w:val="24"/>
          <w:highlight w:val="none"/>
        </w:rPr>
        <w:t>监理人违约更换总监理工程师，每人次课以</w:t>
      </w:r>
      <w:r>
        <w:rPr>
          <w:rFonts w:hint="eastAsia" w:ascii="宋体" w:hAnsi="宋体" w:eastAsia="宋体" w:cs="宋体"/>
          <w:spacing w:val="6"/>
          <w:sz w:val="24"/>
          <w:szCs w:val="24"/>
          <w:highlight w:val="none"/>
          <w:u w:val="single"/>
          <w:lang w:val="en-US" w:eastAsia="zh-CN"/>
        </w:rPr>
        <w:t>20000</w:t>
      </w:r>
      <w:r>
        <w:rPr>
          <w:rFonts w:hint="eastAsia" w:ascii="宋体" w:hAnsi="宋体" w:eastAsia="宋体" w:cs="宋体"/>
          <w:spacing w:val="6"/>
          <w:sz w:val="24"/>
          <w:szCs w:val="24"/>
          <w:highlight w:val="none"/>
        </w:rPr>
        <w:t>元</w:t>
      </w:r>
      <w:r>
        <w:rPr>
          <w:rFonts w:hint="eastAsia" w:ascii="宋体" w:hAnsi="宋体" w:eastAsia="宋体" w:cs="宋体"/>
          <w:sz w:val="24"/>
          <w:szCs w:val="24"/>
          <w:highlight w:val="none"/>
        </w:rPr>
        <w:t>的违约金；监理人违约更换专业监理工程师，每人次课以</w:t>
      </w:r>
      <w:r>
        <w:rPr>
          <w:rFonts w:hint="eastAsia" w:ascii="宋体" w:hAnsi="宋体" w:eastAsia="宋体" w:cs="宋体"/>
          <w:spacing w:val="6"/>
          <w:sz w:val="24"/>
          <w:szCs w:val="24"/>
          <w:highlight w:val="none"/>
          <w:u w:val="single"/>
          <w:lang w:val="en-US" w:eastAsia="zh-CN"/>
        </w:rPr>
        <w:t>10000</w:t>
      </w:r>
      <w:r>
        <w:rPr>
          <w:rFonts w:hint="eastAsia" w:ascii="宋体" w:hAnsi="宋体" w:eastAsia="宋体" w:cs="宋体"/>
          <w:sz w:val="24"/>
          <w:szCs w:val="24"/>
          <w:highlight w:val="none"/>
        </w:rPr>
        <w:t>元的</w:t>
      </w:r>
      <w:r>
        <w:rPr>
          <w:rFonts w:hint="eastAsia" w:ascii="宋体" w:hAnsi="宋体" w:eastAsia="宋体" w:cs="宋体"/>
          <w:spacing w:val="6"/>
          <w:sz w:val="24"/>
          <w:szCs w:val="24"/>
          <w:highlight w:val="none"/>
        </w:rPr>
        <w:t>违约金；</w:t>
      </w:r>
      <w:r>
        <w:rPr>
          <w:rFonts w:hint="eastAsia" w:ascii="宋体" w:hAnsi="宋体" w:eastAsia="宋体" w:cs="宋体"/>
          <w:sz w:val="24"/>
          <w:szCs w:val="24"/>
          <w:highlight w:val="none"/>
        </w:rPr>
        <w:t>监理人违约更换监理员，每人次课以</w:t>
      </w:r>
      <w:r>
        <w:rPr>
          <w:rFonts w:hint="eastAsia" w:ascii="宋体" w:hAnsi="宋体" w:eastAsia="宋体" w:cs="宋体"/>
          <w:spacing w:val="6"/>
          <w:sz w:val="24"/>
          <w:szCs w:val="24"/>
          <w:highlight w:val="none"/>
          <w:u w:val="single"/>
          <w:lang w:val="en-US" w:eastAsia="zh-CN"/>
        </w:rPr>
        <w:t>5000</w:t>
      </w:r>
      <w:r>
        <w:rPr>
          <w:rFonts w:hint="eastAsia" w:ascii="宋体" w:hAnsi="宋体" w:eastAsia="宋体" w:cs="宋体"/>
          <w:sz w:val="24"/>
          <w:szCs w:val="24"/>
          <w:highlight w:val="none"/>
        </w:rPr>
        <w:t>元的</w:t>
      </w:r>
      <w:r>
        <w:rPr>
          <w:rFonts w:hint="eastAsia" w:ascii="宋体" w:hAnsi="宋体" w:eastAsia="宋体" w:cs="宋体"/>
          <w:spacing w:val="6"/>
          <w:sz w:val="24"/>
          <w:szCs w:val="24"/>
          <w:highlight w:val="none"/>
        </w:rPr>
        <w:t>违约金；</w:t>
      </w:r>
      <w:r>
        <w:rPr>
          <w:rFonts w:hint="eastAsia" w:ascii="宋体" w:hAnsi="宋体" w:eastAsia="宋体" w:cs="宋体"/>
          <w:sz w:val="24"/>
          <w:szCs w:val="24"/>
          <w:highlight w:val="none"/>
        </w:rPr>
        <w:t xml:space="preserve"> </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（2）有7.1.1（6）项②目情形，每人次课以</w:t>
      </w:r>
      <w:r>
        <w:rPr>
          <w:rFonts w:hint="eastAsia" w:ascii="宋体" w:hAnsi="宋体" w:eastAsia="宋体" w:cs="宋体"/>
          <w:sz w:val="24"/>
          <w:szCs w:val="24"/>
          <w:highlight w:val="none"/>
          <w:u w:val="single"/>
          <w:lang w:val="en-US" w:eastAsia="zh-CN"/>
        </w:rPr>
        <w:t>5000</w:t>
      </w:r>
      <w:r>
        <w:rPr>
          <w:rFonts w:hint="eastAsia" w:ascii="宋体" w:hAnsi="宋体" w:eastAsia="宋体" w:cs="宋体"/>
          <w:sz w:val="24"/>
          <w:szCs w:val="24"/>
          <w:highlight w:val="none"/>
        </w:rPr>
        <w:t>元的违约金；</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（3）有7.1.1（6）项③目情形，每人次课以</w:t>
      </w:r>
      <w:r>
        <w:rPr>
          <w:rFonts w:hint="eastAsia" w:ascii="宋体" w:hAnsi="宋体" w:eastAsia="宋体" w:cs="宋体"/>
          <w:sz w:val="24"/>
          <w:szCs w:val="24"/>
          <w:highlight w:val="none"/>
          <w:u w:val="single"/>
          <w:lang w:val="en-US" w:eastAsia="zh-CN"/>
        </w:rPr>
        <w:t>1000</w:t>
      </w:r>
      <w:r>
        <w:rPr>
          <w:rFonts w:hint="eastAsia" w:ascii="宋体" w:hAnsi="宋体" w:eastAsia="宋体" w:cs="宋体"/>
          <w:sz w:val="24"/>
          <w:szCs w:val="24"/>
          <w:highlight w:val="none"/>
        </w:rPr>
        <w:t>元的违约金；</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（4）有7.1.1（6）项④目情形，每人每天课以</w:t>
      </w:r>
      <w:r>
        <w:rPr>
          <w:rFonts w:hint="eastAsia" w:ascii="宋体" w:hAnsi="宋体" w:eastAsia="宋体" w:cs="宋体"/>
          <w:spacing w:val="6"/>
          <w:sz w:val="24"/>
          <w:szCs w:val="24"/>
          <w:highlight w:val="none"/>
          <w:u w:val="single"/>
          <w:lang w:val="en-US" w:eastAsia="zh-CN"/>
        </w:rPr>
        <w:t>500</w:t>
      </w:r>
      <w:r>
        <w:rPr>
          <w:rFonts w:hint="eastAsia" w:ascii="宋体" w:hAnsi="宋体" w:eastAsia="宋体" w:cs="宋体"/>
          <w:sz w:val="24"/>
          <w:szCs w:val="24"/>
          <w:highlight w:val="none"/>
        </w:rPr>
        <w:t>元的违约金；</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（5）有7.1.1（6）项⑤目情形，每次课以</w:t>
      </w:r>
      <w:r>
        <w:rPr>
          <w:rFonts w:hint="eastAsia" w:ascii="宋体" w:hAnsi="宋体" w:eastAsia="宋体" w:cs="宋体"/>
          <w:spacing w:val="6"/>
          <w:sz w:val="24"/>
          <w:szCs w:val="24"/>
          <w:highlight w:val="none"/>
          <w:u w:val="single"/>
          <w:lang w:val="en-US" w:eastAsia="zh-CN"/>
        </w:rPr>
        <w:t>500</w:t>
      </w:r>
      <w:r>
        <w:rPr>
          <w:rFonts w:hint="eastAsia" w:ascii="宋体" w:hAnsi="宋体" w:eastAsia="宋体" w:cs="宋体"/>
          <w:sz w:val="24"/>
          <w:szCs w:val="24"/>
          <w:highlight w:val="none"/>
        </w:rPr>
        <w:t>元的违约金；</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（6）有7.1.1（6）项⑥目情形，每次课以</w:t>
      </w:r>
      <w:r>
        <w:rPr>
          <w:rFonts w:hint="eastAsia" w:ascii="宋体" w:hAnsi="宋体" w:eastAsia="宋体" w:cs="宋体"/>
          <w:spacing w:val="6"/>
          <w:sz w:val="24"/>
          <w:szCs w:val="24"/>
          <w:highlight w:val="none"/>
          <w:u w:val="single"/>
          <w:lang w:val="en-US" w:eastAsia="zh-CN"/>
        </w:rPr>
        <w:t>5000</w:t>
      </w:r>
      <w:r>
        <w:rPr>
          <w:rFonts w:hint="eastAsia" w:ascii="宋体" w:hAnsi="宋体" w:eastAsia="宋体" w:cs="宋体"/>
          <w:sz w:val="24"/>
          <w:szCs w:val="24"/>
          <w:highlight w:val="none"/>
        </w:rPr>
        <w:t>元的违约金；</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（7）有7.1.1（6）项⑦目情形，每次课以监理办建设完成及配套辅助人员费用总额的2%；</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（8）有7.1.1（6）项⑧目情形，补充监理人员（含专业监理工程师、监理员）</w:t>
      </w:r>
      <w:r>
        <w:rPr>
          <w:rFonts w:hint="eastAsia" w:ascii="宋体" w:hAnsi="宋体" w:eastAsia="宋体" w:cs="宋体"/>
          <w:spacing w:val="-10"/>
          <w:sz w:val="24"/>
          <w:szCs w:val="24"/>
          <w:highlight w:val="none"/>
        </w:rPr>
        <w:t>信用评价周期内累计扣分大于等于12分的且小于18分的，专业监理工程师每人课以</w:t>
      </w:r>
      <w:r>
        <w:rPr>
          <w:rFonts w:hint="eastAsia" w:ascii="宋体" w:hAnsi="宋体" w:eastAsia="宋体" w:cs="宋体"/>
          <w:spacing w:val="-10"/>
          <w:sz w:val="24"/>
          <w:szCs w:val="24"/>
          <w:highlight w:val="none"/>
          <w:u w:val="single"/>
          <w:lang w:val="en-US" w:eastAsia="zh-CN"/>
        </w:rPr>
        <w:t>5000</w:t>
      </w:r>
      <w:r>
        <w:rPr>
          <w:rFonts w:hint="eastAsia" w:ascii="宋体" w:hAnsi="宋体" w:eastAsia="宋体" w:cs="宋体"/>
          <w:spacing w:val="-10"/>
          <w:sz w:val="24"/>
          <w:szCs w:val="24"/>
          <w:highlight w:val="none"/>
        </w:rPr>
        <w:t>元的违约金</w:t>
      </w:r>
      <w:r>
        <w:rPr>
          <w:rFonts w:hint="eastAsia" w:ascii="宋体" w:hAnsi="宋体" w:eastAsia="宋体" w:cs="宋体"/>
          <w:sz w:val="24"/>
          <w:szCs w:val="24"/>
          <w:highlight w:val="none"/>
        </w:rPr>
        <w:t>，监理员每人课以</w:t>
      </w:r>
      <w:r>
        <w:rPr>
          <w:rFonts w:hint="eastAsia" w:ascii="宋体" w:hAnsi="宋体" w:eastAsia="宋体" w:cs="宋体"/>
          <w:sz w:val="24"/>
          <w:szCs w:val="24"/>
          <w:highlight w:val="none"/>
          <w:u w:val="single"/>
          <w:lang w:val="en-US" w:eastAsia="zh-CN"/>
        </w:rPr>
        <w:t>2000</w:t>
      </w:r>
      <w:r>
        <w:rPr>
          <w:rFonts w:hint="eastAsia" w:ascii="宋体" w:hAnsi="宋体" w:eastAsia="宋体" w:cs="宋体"/>
          <w:sz w:val="24"/>
          <w:szCs w:val="24"/>
          <w:highlight w:val="none"/>
        </w:rPr>
        <w:t>元的违约金；</w:t>
      </w:r>
      <w:r>
        <w:rPr>
          <w:rFonts w:hint="eastAsia" w:ascii="宋体" w:hAnsi="宋体" w:eastAsia="宋体" w:cs="宋体"/>
          <w:spacing w:val="-10"/>
          <w:sz w:val="24"/>
          <w:szCs w:val="24"/>
          <w:highlight w:val="none"/>
        </w:rPr>
        <w:t>信用评价周期内累计扣分大于等于18分的且小于24分的，专业监理工程师每人课以</w:t>
      </w:r>
      <w:r>
        <w:rPr>
          <w:rFonts w:hint="eastAsia" w:ascii="宋体" w:hAnsi="宋体" w:eastAsia="宋体" w:cs="宋体"/>
          <w:spacing w:val="-10"/>
          <w:sz w:val="24"/>
          <w:szCs w:val="24"/>
          <w:highlight w:val="none"/>
          <w:u w:val="single"/>
          <w:lang w:val="en-US" w:eastAsia="zh-CN"/>
        </w:rPr>
        <w:t>10000</w:t>
      </w:r>
      <w:r>
        <w:rPr>
          <w:rFonts w:hint="eastAsia" w:ascii="宋体" w:hAnsi="宋体" w:eastAsia="宋体" w:cs="宋体"/>
          <w:spacing w:val="-10"/>
          <w:sz w:val="24"/>
          <w:szCs w:val="24"/>
          <w:highlight w:val="none"/>
        </w:rPr>
        <w:t>元的违约金</w:t>
      </w:r>
      <w:r>
        <w:rPr>
          <w:rFonts w:hint="eastAsia" w:ascii="宋体" w:hAnsi="宋体" w:eastAsia="宋体" w:cs="宋体"/>
          <w:sz w:val="24"/>
          <w:szCs w:val="24"/>
          <w:highlight w:val="none"/>
        </w:rPr>
        <w:t>，监理员每人课以</w:t>
      </w:r>
      <w:r>
        <w:rPr>
          <w:rFonts w:hint="eastAsia" w:ascii="宋体" w:hAnsi="宋体" w:eastAsia="宋体" w:cs="宋体"/>
          <w:sz w:val="24"/>
          <w:szCs w:val="24"/>
          <w:highlight w:val="none"/>
          <w:u w:val="single"/>
          <w:lang w:val="en-US" w:eastAsia="zh-CN"/>
        </w:rPr>
        <w:t>5000</w:t>
      </w:r>
      <w:r>
        <w:rPr>
          <w:rFonts w:hint="eastAsia" w:ascii="宋体" w:hAnsi="宋体" w:eastAsia="宋体" w:cs="宋体"/>
          <w:sz w:val="24"/>
          <w:szCs w:val="24"/>
          <w:highlight w:val="none"/>
        </w:rPr>
        <w:t>元的违约金；</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（9）有7.1.1（2）项①目情形，每次课以</w:t>
      </w:r>
      <w:r>
        <w:rPr>
          <w:rFonts w:hint="eastAsia" w:ascii="宋体" w:hAnsi="宋体" w:eastAsia="宋体" w:cs="宋体"/>
          <w:spacing w:val="6"/>
          <w:sz w:val="24"/>
          <w:szCs w:val="24"/>
          <w:highlight w:val="none"/>
          <w:u w:val="single"/>
          <w:lang w:val="en-US" w:eastAsia="zh-CN"/>
        </w:rPr>
        <w:t>1000</w:t>
      </w:r>
      <w:r>
        <w:rPr>
          <w:rFonts w:hint="eastAsia" w:ascii="宋体" w:hAnsi="宋体" w:eastAsia="宋体" w:cs="宋体"/>
          <w:sz w:val="24"/>
          <w:szCs w:val="24"/>
          <w:highlight w:val="none"/>
        </w:rPr>
        <w:t>元的违约金；</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（10）有7.1.1（2）项②目情形，每次课以</w:t>
      </w:r>
      <w:r>
        <w:rPr>
          <w:rFonts w:hint="eastAsia" w:ascii="宋体" w:hAnsi="宋体" w:eastAsia="宋体" w:cs="宋体"/>
          <w:spacing w:val="6"/>
          <w:sz w:val="24"/>
          <w:szCs w:val="24"/>
          <w:highlight w:val="none"/>
          <w:u w:val="single"/>
          <w:lang w:val="en-US" w:eastAsia="zh-CN"/>
        </w:rPr>
        <w:t>5000</w:t>
      </w:r>
      <w:r>
        <w:rPr>
          <w:rFonts w:hint="eastAsia" w:ascii="宋体" w:hAnsi="宋体" w:eastAsia="宋体" w:cs="宋体"/>
          <w:sz w:val="24"/>
          <w:szCs w:val="24"/>
          <w:highlight w:val="none"/>
        </w:rPr>
        <w:t>元的违约金；</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（11）有7.1.1（2）项③目情形，每次课以</w:t>
      </w:r>
      <w:r>
        <w:rPr>
          <w:rFonts w:hint="eastAsia" w:ascii="宋体" w:hAnsi="宋体" w:eastAsia="宋体" w:cs="宋体"/>
          <w:sz w:val="24"/>
          <w:szCs w:val="24"/>
          <w:highlight w:val="none"/>
          <w:u w:val="single"/>
          <w:lang w:val="en-US" w:eastAsia="zh-CN"/>
        </w:rPr>
        <w:t>5000</w:t>
      </w:r>
      <w:r>
        <w:rPr>
          <w:rFonts w:hint="eastAsia" w:ascii="宋体" w:hAnsi="宋体" w:eastAsia="宋体" w:cs="宋体"/>
          <w:sz w:val="24"/>
          <w:szCs w:val="24"/>
          <w:highlight w:val="none"/>
        </w:rPr>
        <w:t>元的违约金；</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（12）有7.1.1（2）项④目情形，发包人按事故大小、造成损失程度向监理人课以违约金和赔偿金，直至终止合同；</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（13）有7.1.1（2）项⑤目情形，每次课以</w:t>
      </w:r>
      <w:r>
        <w:rPr>
          <w:rFonts w:hint="eastAsia" w:ascii="宋体" w:hAnsi="宋体" w:eastAsia="宋体" w:cs="宋体"/>
          <w:sz w:val="24"/>
          <w:szCs w:val="24"/>
          <w:highlight w:val="none"/>
          <w:u w:val="single"/>
          <w:lang w:val="en-US" w:eastAsia="zh-CN"/>
        </w:rPr>
        <w:t>20000</w:t>
      </w:r>
      <w:r>
        <w:rPr>
          <w:rFonts w:hint="eastAsia" w:ascii="宋体" w:hAnsi="宋体" w:eastAsia="宋体" w:cs="宋体"/>
          <w:sz w:val="24"/>
          <w:szCs w:val="24"/>
          <w:highlight w:val="none"/>
        </w:rPr>
        <w:t>的违约金；</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（14）有7.1.1（3）项①或②目情形，发包人可直接发出书面通知立即终止合同。</w:t>
      </w:r>
    </w:p>
    <w:p>
      <w:pPr>
        <w:pStyle w:val="44"/>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违约金在履约担保或支付的监理服务费中扣除（给发包人造成经济损失的，按通用合同条款7.1.4项规定另行承担赔偿责任）。 </w:t>
      </w:r>
    </w:p>
    <w:p>
      <w:pPr>
        <w:pStyle w:val="44"/>
        <w:tabs>
          <w:tab w:val="left" w:pos="420"/>
        </w:tabs>
        <w:spacing w:line="320" w:lineRule="exact"/>
        <w:ind w:firstLine="480" w:firstLineChars="200"/>
        <w:rPr>
          <w:rFonts w:hint="eastAsia" w:ascii="宋体" w:hAnsi="宋体" w:eastAsia="宋体" w:cs="宋体"/>
          <w:sz w:val="24"/>
          <w:szCs w:val="24"/>
          <w:highlight w:val="none"/>
        </w:rPr>
      </w:pPr>
    </w:p>
    <w:p>
      <w:pPr>
        <w:pStyle w:val="44"/>
        <w:spacing w:line="320" w:lineRule="exact"/>
        <w:jc w:val="left"/>
        <w:outlineLvl w:val="1"/>
        <w:rPr>
          <w:rFonts w:hint="eastAsia" w:ascii="宋体" w:hAnsi="宋体" w:eastAsia="宋体" w:cs="宋体"/>
          <w:b/>
          <w:sz w:val="24"/>
          <w:szCs w:val="24"/>
          <w:highlight w:val="none"/>
        </w:rPr>
      </w:pPr>
      <w:bookmarkStart w:id="371" w:name="_Toc28266227"/>
      <w:bookmarkStart w:id="372" w:name="_Toc440232096"/>
      <w:bookmarkStart w:id="373" w:name="_Toc441399925"/>
      <w:bookmarkStart w:id="374" w:name="_Toc434067648"/>
      <w:bookmarkStart w:id="375" w:name="_Toc448775926"/>
      <w:bookmarkStart w:id="376" w:name="_Toc28265983"/>
      <w:bookmarkStart w:id="377" w:name="_Toc436317289"/>
      <w:bookmarkStart w:id="378" w:name="_Toc436317824"/>
      <w:bookmarkStart w:id="379" w:name="_Toc436320576"/>
      <w:bookmarkStart w:id="380" w:name="_Toc26106947"/>
      <w:bookmarkStart w:id="381" w:name="_Toc433918145"/>
      <w:bookmarkStart w:id="382" w:name="_Toc433919461"/>
      <w:bookmarkStart w:id="383" w:name="_Toc440231019"/>
      <w:r>
        <w:rPr>
          <w:rFonts w:hint="eastAsia" w:ascii="宋体" w:hAnsi="宋体" w:eastAsia="宋体" w:cs="宋体"/>
          <w:b/>
          <w:sz w:val="24"/>
          <w:szCs w:val="24"/>
          <w:highlight w:val="none"/>
        </w:rPr>
        <w:t>9. 争议的解决</w:t>
      </w:r>
      <w:bookmarkEnd w:id="371"/>
      <w:bookmarkEnd w:id="372"/>
      <w:bookmarkEnd w:id="373"/>
      <w:bookmarkEnd w:id="374"/>
      <w:bookmarkEnd w:id="375"/>
      <w:bookmarkEnd w:id="376"/>
      <w:bookmarkEnd w:id="377"/>
      <w:bookmarkEnd w:id="378"/>
      <w:bookmarkEnd w:id="379"/>
      <w:bookmarkEnd w:id="380"/>
      <w:bookmarkEnd w:id="381"/>
      <w:bookmarkEnd w:id="382"/>
      <w:bookmarkEnd w:id="383"/>
    </w:p>
    <w:p>
      <w:pPr>
        <w:pStyle w:val="44"/>
        <w:spacing w:line="320" w:lineRule="exact"/>
        <w:outlineLvl w:val="2"/>
        <w:rPr>
          <w:rFonts w:hint="eastAsia" w:ascii="宋体" w:hAnsi="宋体" w:eastAsia="宋体" w:cs="宋体"/>
          <w:sz w:val="24"/>
          <w:szCs w:val="24"/>
          <w:highlight w:val="none"/>
        </w:rPr>
      </w:pPr>
      <w:bookmarkStart w:id="384" w:name="_Toc436317785"/>
      <w:bookmarkStart w:id="385" w:name="_Toc448775887"/>
      <w:bookmarkStart w:id="386" w:name="_Toc440232057"/>
      <w:bookmarkStart w:id="387" w:name="_Toc433919423"/>
      <w:bookmarkStart w:id="388" w:name="_Toc440230980"/>
      <w:bookmarkStart w:id="389" w:name="_Toc436317250"/>
      <w:bookmarkStart w:id="390" w:name="_Toc433918107"/>
      <w:bookmarkStart w:id="391" w:name="_Toc434067609"/>
      <w:bookmarkStart w:id="392" w:name="_Toc28265944"/>
      <w:bookmarkStart w:id="393" w:name="_Toc436320537"/>
      <w:bookmarkStart w:id="394" w:name="_Toc26106908"/>
      <w:bookmarkStart w:id="395" w:name="_Toc28266188"/>
      <w:r>
        <w:rPr>
          <w:rFonts w:hint="eastAsia" w:ascii="宋体" w:hAnsi="宋体" w:eastAsia="宋体" w:cs="宋体"/>
          <w:sz w:val="24"/>
          <w:szCs w:val="24"/>
          <w:highlight w:val="none"/>
        </w:rPr>
        <w:t>9.1 争议的解决方式</w:t>
      </w:r>
      <w:bookmarkEnd w:id="384"/>
      <w:bookmarkEnd w:id="385"/>
      <w:bookmarkEnd w:id="386"/>
      <w:bookmarkEnd w:id="387"/>
      <w:bookmarkEnd w:id="388"/>
      <w:bookmarkEnd w:id="389"/>
      <w:bookmarkEnd w:id="390"/>
      <w:bookmarkEnd w:id="391"/>
      <w:bookmarkEnd w:id="392"/>
      <w:bookmarkEnd w:id="393"/>
      <w:bookmarkEnd w:id="394"/>
      <w:bookmarkEnd w:id="395"/>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发包人和监理人在履行合同中发生争议的，可以友好协商解决，合同当事人无法协商一致，约定第（1）种方式解决。</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（1）向约定的仲裁委员会申请仲裁；</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（2）向</w:t>
      </w:r>
      <w:r>
        <w:rPr>
          <w:rFonts w:hint="eastAsia" w:ascii="宋体" w:hAnsi="宋体" w:eastAsia="宋体" w:cs="宋体"/>
          <w:sz w:val="24"/>
          <w:szCs w:val="24"/>
          <w:highlight w:val="none"/>
          <w:lang w:eastAsia="zh-CN"/>
        </w:rPr>
        <w:t>三门县</w:t>
      </w:r>
      <w:r>
        <w:rPr>
          <w:rFonts w:hint="eastAsia" w:ascii="宋体" w:hAnsi="宋体" w:eastAsia="宋体" w:cs="宋体"/>
          <w:sz w:val="24"/>
          <w:szCs w:val="24"/>
          <w:highlight w:val="none"/>
        </w:rPr>
        <w:t>人民法院提起诉讼。</w:t>
      </w:r>
    </w:p>
    <w:p>
      <w:pPr>
        <w:pStyle w:val="44"/>
        <w:tabs>
          <w:tab w:val="left" w:pos="420"/>
        </w:tabs>
        <w:spacing w:line="320" w:lineRule="exact"/>
        <w:ind w:firstLine="480" w:firstLineChars="200"/>
        <w:rPr>
          <w:rFonts w:hint="eastAsia" w:ascii="宋体" w:hAnsi="宋体" w:eastAsia="宋体" w:cs="宋体"/>
          <w:sz w:val="24"/>
          <w:szCs w:val="24"/>
          <w:highlight w:val="none"/>
        </w:rPr>
      </w:pPr>
    </w:p>
    <w:p>
      <w:pPr>
        <w:pStyle w:val="44"/>
        <w:spacing w:line="320" w:lineRule="exact"/>
        <w:jc w:val="left"/>
        <w:outlineLvl w:val="1"/>
        <w:rPr>
          <w:rFonts w:hint="eastAsia" w:ascii="宋体" w:hAnsi="宋体" w:eastAsia="宋体" w:cs="宋体"/>
          <w:b/>
          <w:sz w:val="24"/>
          <w:szCs w:val="24"/>
          <w:highlight w:val="none"/>
        </w:rPr>
      </w:pPr>
      <w:bookmarkStart w:id="396" w:name="_Toc433918147"/>
      <w:bookmarkStart w:id="397" w:name="_Toc440232098"/>
      <w:bookmarkStart w:id="398" w:name="_Toc26106949"/>
      <w:bookmarkStart w:id="399" w:name="_Toc440231021"/>
      <w:bookmarkStart w:id="400" w:name="_Toc433919463"/>
      <w:bookmarkStart w:id="401" w:name="_Toc441399927"/>
      <w:bookmarkStart w:id="402" w:name="_Toc434067650"/>
      <w:bookmarkStart w:id="403" w:name="_Toc436320578"/>
      <w:bookmarkStart w:id="404" w:name="_Toc28265985"/>
      <w:bookmarkStart w:id="405" w:name="_Toc28266229"/>
      <w:bookmarkStart w:id="406" w:name="_Toc448775928"/>
      <w:bookmarkStart w:id="407" w:name="_Toc436317826"/>
      <w:bookmarkStart w:id="408" w:name="_Toc436317291"/>
      <w:r>
        <w:rPr>
          <w:rFonts w:hint="eastAsia" w:ascii="宋体" w:hAnsi="宋体" w:eastAsia="宋体" w:cs="宋体"/>
          <w:b/>
          <w:sz w:val="24"/>
          <w:szCs w:val="24"/>
          <w:highlight w:val="none"/>
        </w:rPr>
        <w:t>10. 其他</w:t>
      </w:r>
      <w:bookmarkEnd w:id="396"/>
      <w:bookmarkEnd w:id="397"/>
      <w:bookmarkEnd w:id="398"/>
      <w:bookmarkEnd w:id="399"/>
      <w:bookmarkEnd w:id="400"/>
      <w:bookmarkEnd w:id="401"/>
      <w:bookmarkEnd w:id="402"/>
      <w:bookmarkEnd w:id="403"/>
      <w:bookmarkEnd w:id="404"/>
      <w:bookmarkEnd w:id="405"/>
      <w:bookmarkEnd w:id="406"/>
      <w:bookmarkEnd w:id="407"/>
      <w:bookmarkEnd w:id="408"/>
    </w:p>
    <w:p>
      <w:pPr>
        <w:pStyle w:val="44"/>
        <w:spacing w:line="320" w:lineRule="exact"/>
        <w:outlineLvl w:val="2"/>
        <w:rPr>
          <w:rFonts w:hint="eastAsia" w:ascii="宋体" w:hAnsi="宋体" w:eastAsia="宋体" w:cs="宋体"/>
          <w:sz w:val="24"/>
          <w:szCs w:val="24"/>
          <w:highlight w:val="none"/>
        </w:rPr>
      </w:pPr>
      <w:bookmarkStart w:id="409" w:name="_Toc436320580"/>
      <w:bookmarkStart w:id="410" w:name="_Toc448775930"/>
      <w:bookmarkStart w:id="411" w:name="_Toc440231023"/>
      <w:bookmarkStart w:id="412" w:name="_Toc440232100"/>
      <w:bookmarkStart w:id="413" w:name="_Toc436317293"/>
      <w:bookmarkStart w:id="414" w:name="_Toc436317828"/>
      <w:bookmarkStart w:id="415" w:name="_Toc26106950"/>
      <w:bookmarkStart w:id="416" w:name="_Toc441399929"/>
      <w:bookmarkStart w:id="417" w:name="_Toc28265986"/>
      <w:bookmarkStart w:id="418" w:name="_Toc433919465"/>
      <w:bookmarkStart w:id="419" w:name="_Toc434067652"/>
      <w:bookmarkStart w:id="420" w:name="_Toc28266230"/>
      <w:bookmarkStart w:id="421" w:name="_Toc433918149"/>
      <w:r>
        <w:rPr>
          <w:rFonts w:hint="eastAsia" w:ascii="宋体" w:hAnsi="宋体" w:eastAsia="宋体" w:cs="宋体"/>
          <w:sz w:val="24"/>
          <w:szCs w:val="24"/>
          <w:highlight w:val="none"/>
        </w:rPr>
        <w:t>10.3 竣工资料</w:t>
      </w:r>
      <w:bookmarkEnd w:id="409"/>
      <w:bookmarkEnd w:id="410"/>
      <w:bookmarkEnd w:id="411"/>
      <w:bookmarkEnd w:id="412"/>
      <w:bookmarkEnd w:id="413"/>
      <w:bookmarkEnd w:id="414"/>
      <w:bookmarkEnd w:id="415"/>
      <w:bookmarkEnd w:id="416"/>
      <w:bookmarkEnd w:id="417"/>
      <w:bookmarkEnd w:id="418"/>
      <w:bookmarkEnd w:id="419"/>
      <w:bookmarkEnd w:id="420"/>
      <w:bookmarkEnd w:id="421"/>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竣工资料：</w:t>
      </w:r>
      <w:r>
        <w:rPr>
          <w:rFonts w:hint="eastAsia" w:ascii="宋体" w:hAnsi="宋体" w:eastAsia="宋体" w:cs="宋体"/>
          <w:sz w:val="24"/>
          <w:szCs w:val="24"/>
          <w:highlight w:val="none"/>
          <w:u w:val="single"/>
        </w:rPr>
        <w:t>执行《浙江省水运工程项目竣工文件编制办法》的相关规定</w:t>
      </w:r>
      <w:r>
        <w:rPr>
          <w:rFonts w:hint="eastAsia" w:ascii="宋体" w:hAnsi="宋体" w:eastAsia="宋体" w:cs="宋体"/>
          <w:sz w:val="24"/>
          <w:szCs w:val="24"/>
          <w:highlight w:val="none"/>
        </w:rPr>
        <w:t>。</w:t>
      </w:r>
    </w:p>
    <w:p>
      <w:pPr>
        <w:pStyle w:val="44"/>
        <w:spacing w:line="320" w:lineRule="exact"/>
        <w:ind w:firstLine="480" w:firstLineChars="200"/>
        <w:rPr>
          <w:rFonts w:hint="eastAsia" w:ascii="宋体" w:hAnsi="宋体" w:eastAsia="宋体" w:cs="宋体"/>
          <w:sz w:val="24"/>
          <w:szCs w:val="24"/>
          <w:highlight w:val="none"/>
        </w:rPr>
      </w:pPr>
    </w:p>
    <w:p>
      <w:pPr>
        <w:pStyle w:val="44"/>
        <w:spacing w:line="4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pStyle w:val="44"/>
        <w:spacing w:line="360" w:lineRule="auto"/>
        <w:jc w:val="center"/>
        <w:outlineLvl w:val="1"/>
        <w:rPr>
          <w:rFonts w:hint="eastAsia" w:ascii="宋体" w:hAnsi="宋体" w:eastAsia="宋体" w:cs="宋体"/>
          <w:b/>
          <w:sz w:val="24"/>
          <w:szCs w:val="24"/>
          <w:highlight w:val="none"/>
        </w:rPr>
      </w:pPr>
      <w:bookmarkStart w:id="422" w:name="_Toc441077044"/>
      <w:bookmarkStart w:id="423" w:name="_Toc28265987"/>
      <w:bookmarkStart w:id="424" w:name="_Toc26106951"/>
      <w:bookmarkStart w:id="425" w:name="_Toc454259524"/>
      <w:bookmarkStart w:id="426" w:name="_Toc28266231"/>
      <w:bookmarkStart w:id="427" w:name="_Toc454259693"/>
      <w:r>
        <w:rPr>
          <w:rFonts w:hint="eastAsia" w:ascii="宋体" w:hAnsi="宋体" w:eastAsia="宋体" w:cs="宋体"/>
          <w:b/>
          <w:sz w:val="24"/>
          <w:szCs w:val="24"/>
          <w:highlight w:val="none"/>
        </w:rPr>
        <w:t>监理合同附件格式</w:t>
      </w:r>
      <w:bookmarkEnd w:id="422"/>
      <w:bookmarkEnd w:id="423"/>
      <w:bookmarkEnd w:id="424"/>
      <w:bookmarkEnd w:id="425"/>
      <w:bookmarkEnd w:id="426"/>
      <w:bookmarkEnd w:id="427"/>
    </w:p>
    <w:p>
      <w:pPr>
        <w:pStyle w:val="44"/>
        <w:spacing w:line="360" w:lineRule="auto"/>
        <w:outlineLvl w:val="2"/>
        <w:rPr>
          <w:rFonts w:hint="eastAsia" w:ascii="宋体" w:hAnsi="宋体" w:eastAsia="宋体" w:cs="宋体"/>
          <w:sz w:val="24"/>
          <w:szCs w:val="24"/>
          <w:highlight w:val="none"/>
        </w:rPr>
      </w:pPr>
      <w:bookmarkStart w:id="428" w:name="_Toc441077045"/>
      <w:bookmarkStart w:id="429" w:name="_Toc28266232"/>
      <w:bookmarkStart w:id="430" w:name="_Toc454259694"/>
      <w:bookmarkStart w:id="431" w:name="_Toc454259525"/>
      <w:bookmarkStart w:id="432" w:name="_Toc26106952"/>
      <w:bookmarkStart w:id="433" w:name="_Toc28265988"/>
      <w:r>
        <w:rPr>
          <w:rFonts w:hint="eastAsia" w:ascii="宋体" w:hAnsi="宋体" w:eastAsia="宋体" w:cs="宋体"/>
          <w:sz w:val="24"/>
          <w:szCs w:val="24"/>
          <w:highlight w:val="none"/>
        </w:rPr>
        <w:t>附件一：合同协议书格式</w:t>
      </w:r>
      <w:bookmarkEnd w:id="428"/>
      <w:bookmarkEnd w:id="429"/>
      <w:bookmarkEnd w:id="430"/>
      <w:bookmarkEnd w:id="431"/>
      <w:bookmarkEnd w:id="432"/>
      <w:bookmarkEnd w:id="433"/>
    </w:p>
    <w:p>
      <w:pPr>
        <w:pStyle w:val="44"/>
        <w:spacing w:after="156" w:afterLines="50" w:line="360" w:lineRule="auto"/>
        <w:ind w:firstLine="482" w:firstLineChars="20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合同协议书</w:t>
      </w:r>
    </w:p>
    <w:p>
      <w:pPr>
        <w:pStyle w:val="44"/>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（发包人名称，以下简称“发包人”）为实施</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（项目名称、施工监理标段），已接受</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（监理人名称，以下简称“监理人”）的施工监理投标文件。发包人和监理人共同达成如下协议。</w:t>
      </w:r>
    </w:p>
    <w:p>
      <w:pPr>
        <w:pStyle w:val="44"/>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1、本协议书与下列文件一起构成合同文件：</w:t>
      </w:r>
    </w:p>
    <w:p>
      <w:pPr>
        <w:pStyle w:val="44"/>
        <w:spacing w:line="360" w:lineRule="auto"/>
        <w:ind w:firstLine="437"/>
        <w:rPr>
          <w:rFonts w:hint="eastAsia" w:ascii="宋体" w:hAnsi="宋体" w:eastAsia="宋体" w:cs="宋体"/>
          <w:sz w:val="24"/>
          <w:szCs w:val="24"/>
          <w:highlight w:val="none"/>
        </w:rPr>
      </w:pPr>
      <w:r>
        <w:rPr>
          <w:rFonts w:hint="eastAsia" w:ascii="宋体" w:hAnsi="宋体" w:eastAsia="宋体" w:cs="宋体"/>
          <w:sz w:val="24"/>
          <w:szCs w:val="24"/>
          <w:highlight w:val="none"/>
        </w:rPr>
        <w:t>（1）在合同履行过程中双方共同签署的补充文件（含评标期间和合同谈判过程中的澄清文件和补充资料）；</w:t>
      </w:r>
    </w:p>
    <w:p>
      <w:pPr>
        <w:pStyle w:val="44"/>
        <w:spacing w:line="360" w:lineRule="auto"/>
        <w:ind w:firstLine="437"/>
        <w:rPr>
          <w:rFonts w:hint="eastAsia" w:ascii="宋体" w:hAnsi="宋体" w:eastAsia="宋体" w:cs="宋体"/>
          <w:sz w:val="24"/>
          <w:szCs w:val="24"/>
          <w:highlight w:val="none"/>
        </w:rPr>
      </w:pPr>
      <w:r>
        <w:rPr>
          <w:rFonts w:hint="eastAsia" w:ascii="宋体" w:hAnsi="宋体" w:eastAsia="宋体" w:cs="宋体"/>
          <w:sz w:val="24"/>
          <w:szCs w:val="24"/>
          <w:highlight w:val="none"/>
        </w:rPr>
        <w:t>（2）监理合同协议书（含廉政合同、工程质量责任合同、安全监理责任合同、环境保护监理责任合同及评标期间和合同谈判中的澄清文件和补充资料）；</w:t>
      </w:r>
    </w:p>
    <w:p>
      <w:pPr>
        <w:pStyle w:val="44"/>
        <w:spacing w:line="360" w:lineRule="auto"/>
        <w:ind w:firstLine="437"/>
        <w:rPr>
          <w:rFonts w:hint="eastAsia" w:ascii="宋体" w:hAnsi="宋体" w:eastAsia="宋体" w:cs="宋体"/>
          <w:sz w:val="24"/>
          <w:szCs w:val="24"/>
          <w:highlight w:val="none"/>
        </w:rPr>
      </w:pPr>
      <w:r>
        <w:rPr>
          <w:rFonts w:hint="eastAsia" w:ascii="宋体" w:hAnsi="宋体" w:eastAsia="宋体" w:cs="宋体"/>
          <w:sz w:val="24"/>
          <w:szCs w:val="24"/>
          <w:highlight w:val="none"/>
        </w:rPr>
        <w:t>（3）中标通知书；</w:t>
      </w:r>
    </w:p>
    <w:p>
      <w:pPr>
        <w:pStyle w:val="44"/>
        <w:spacing w:line="360" w:lineRule="auto"/>
        <w:ind w:firstLine="437"/>
        <w:rPr>
          <w:rFonts w:hint="eastAsia" w:ascii="宋体" w:hAnsi="宋体" w:eastAsia="宋体" w:cs="宋体"/>
          <w:sz w:val="24"/>
          <w:szCs w:val="24"/>
          <w:highlight w:val="none"/>
        </w:rPr>
      </w:pPr>
      <w:r>
        <w:rPr>
          <w:rFonts w:hint="eastAsia" w:ascii="宋体" w:hAnsi="宋体" w:eastAsia="宋体" w:cs="宋体"/>
          <w:sz w:val="24"/>
          <w:szCs w:val="24"/>
          <w:highlight w:val="none"/>
        </w:rPr>
        <w:t>（4）投标函；</w:t>
      </w:r>
    </w:p>
    <w:p>
      <w:pPr>
        <w:pStyle w:val="44"/>
        <w:spacing w:line="360" w:lineRule="auto"/>
        <w:ind w:firstLine="437"/>
        <w:rPr>
          <w:rFonts w:hint="eastAsia" w:ascii="宋体" w:hAnsi="宋体" w:eastAsia="宋体" w:cs="宋体"/>
          <w:sz w:val="24"/>
          <w:szCs w:val="24"/>
          <w:highlight w:val="none"/>
        </w:rPr>
      </w:pPr>
      <w:r>
        <w:rPr>
          <w:rFonts w:hint="eastAsia" w:ascii="宋体" w:hAnsi="宋体" w:eastAsia="宋体" w:cs="宋体"/>
          <w:sz w:val="24"/>
          <w:szCs w:val="24"/>
          <w:highlight w:val="none"/>
        </w:rPr>
        <w:t>（5）报价函；</w:t>
      </w:r>
    </w:p>
    <w:p>
      <w:pPr>
        <w:pStyle w:val="44"/>
        <w:spacing w:line="360" w:lineRule="auto"/>
        <w:ind w:firstLine="437"/>
        <w:rPr>
          <w:rFonts w:hint="eastAsia" w:ascii="宋体" w:hAnsi="宋体" w:eastAsia="宋体" w:cs="宋体"/>
          <w:sz w:val="24"/>
          <w:szCs w:val="24"/>
          <w:highlight w:val="none"/>
        </w:rPr>
      </w:pPr>
      <w:r>
        <w:rPr>
          <w:rFonts w:hint="eastAsia" w:ascii="宋体" w:hAnsi="宋体" w:eastAsia="宋体" w:cs="宋体"/>
          <w:sz w:val="24"/>
          <w:szCs w:val="24"/>
          <w:highlight w:val="none"/>
        </w:rPr>
        <w:t>（6）专用合同条款；</w:t>
      </w:r>
    </w:p>
    <w:p>
      <w:pPr>
        <w:pStyle w:val="44"/>
        <w:spacing w:line="360" w:lineRule="auto"/>
        <w:ind w:firstLine="437"/>
        <w:rPr>
          <w:rFonts w:hint="eastAsia" w:ascii="宋体" w:hAnsi="宋体" w:eastAsia="宋体" w:cs="宋体"/>
          <w:sz w:val="24"/>
          <w:szCs w:val="24"/>
          <w:highlight w:val="none"/>
        </w:rPr>
      </w:pPr>
      <w:r>
        <w:rPr>
          <w:rFonts w:hint="eastAsia" w:ascii="宋体" w:hAnsi="宋体" w:eastAsia="宋体" w:cs="宋体"/>
          <w:sz w:val="24"/>
          <w:szCs w:val="24"/>
          <w:highlight w:val="none"/>
        </w:rPr>
        <w:t>（7）通用合同条款；</w:t>
      </w:r>
    </w:p>
    <w:p>
      <w:pPr>
        <w:pStyle w:val="44"/>
        <w:spacing w:line="360" w:lineRule="auto"/>
        <w:ind w:firstLine="437"/>
        <w:rPr>
          <w:rFonts w:hint="eastAsia" w:ascii="宋体" w:hAnsi="宋体" w:eastAsia="宋体" w:cs="宋体"/>
          <w:sz w:val="24"/>
          <w:szCs w:val="24"/>
          <w:highlight w:val="none"/>
        </w:rPr>
      </w:pPr>
      <w:r>
        <w:rPr>
          <w:rFonts w:hint="eastAsia" w:ascii="宋体" w:hAnsi="宋体" w:eastAsia="宋体" w:cs="宋体"/>
          <w:sz w:val="24"/>
          <w:szCs w:val="24"/>
          <w:highlight w:val="none"/>
        </w:rPr>
        <w:t>（8）工程专用施工监理规范；</w:t>
      </w:r>
    </w:p>
    <w:p>
      <w:pPr>
        <w:pStyle w:val="44"/>
        <w:spacing w:line="360" w:lineRule="auto"/>
        <w:ind w:firstLine="437"/>
        <w:rPr>
          <w:rFonts w:hint="eastAsia" w:ascii="宋体" w:hAnsi="宋体" w:eastAsia="宋体" w:cs="宋体"/>
          <w:sz w:val="24"/>
          <w:szCs w:val="24"/>
          <w:highlight w:val="none"/>
        </w:rPr>
      </w:pPr>
      <w:r>
        <w:rPr>
          <w:rFonts w:hint="eastAsia" w:ascii="宋体" w:hAnsi="宋体" w:eastAsia="宋体" w:cs="宋体"/>
          <w:sz w:val="24"/>
          <w:szCs w:val="24"/>
          <w:highlight w:val="none"/>
        </w:rPr>
        <w:t>（9）监理规范（含施工招标文件中补遗书与此有关的部分）；</w:t>
      </w:r>
    </w:p>
    <w:p>
      <w:pPr>
        <w:pStyle w:val="44"/>
        <w:spacing w:line="360" w:lineRule="auto"/>
        <w:ind w:firstLine="437"/>
        <w:rPr>
          <w:rFonts w:hint="eastAsia" w:ascii="宋体" w:hAnsi="宋体" w:eastAsia="宋体" w:cs="宋体"/>
          <w:sz w:val="24"/>
          <w:szCs w:val="24"/>
          <w:highlight w:val="none"/>
        </w:rPr>
      </w:pPr>
      <w:r>
        <w:rPr>
          <w:rFonts w:hint="eastAsia" w:ascii="宋体" w:hAnsi="宋体" w:eastAsia="宋体" w:cs="宋体"/>
          <w:sz w:val="24"/>
          <w:szCs w:val="24"/>
          <w:highlight w:val="none"/>
        </w:rPr>
        <w:t>（10）施工技术规范；</w:t>
      </w:r>
    </w:p>
    <w:p>
      <w:pPr>
        <w:pStyle w:val="44"/>
        <w:spacing w:line="360" w:lineRule="auto"/>
        <w:ind w:firstLine="437"/>
        <w:rPr>
          <w:rFonts w:hint="eastAsia" w:ascii="宋体" w:hAnsi="宋体" w:eastAsia="宋体" w:cs="宋体"/>
          <w:sz w:val="24"/>
          <w:szCs w:val="24"/>
          <w:highlight w:val="none"/>
        </w:rPr>
      </w:pPr>
      <w:r>
        <w:rPr>
          <w:rFonts w:hint="eastAsia" w:ascii="宋体" w:hAnsi="宋体" w:eastAsia="宋体" w:cs="宋体"/>
          <w:sz w:val="24"/>
          <w:szCs w:val="24"/>
          <w:highlight w:val="none"/>
        </w:rPr>
        <w:t>（11）其他合同文件。</w:t>
      </w:r>
    </w:p>
    <w:p>
      <w:pPr>
        <w:pStyle w:val="44"/>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2、上述文件互相补充和解释，如有不明确或不一致之处，以合同1.2.3项约定的优先次序在先者为准。</w:t>
      </w:r>
    </w:p>
    <w:p>
      <w:pPr>
        <w:pStyle w:val="44"/>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3、监理服务费总价：（大写）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元（￥</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pStyle w:val="44"/>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4、总监理工程师：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，监理资格证书编号：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pStyle w:val="44"/>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5、监理人承诺按合同约定提供监理服务。</w:t>
      </w:r>
    </w:p>
    <w:p>
      <w:pPr>
        <w:pStyle w:val="44"/>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6、发包人承诺按合同约定的时间、条件和方式向监理人支付其应支付的监理费用和提供监理工作条件。</w:t>
      </w:r>
    </w:p>
    <w:p>
      <w:pPr>
        <w:pStyle w:val="44"/>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7、监理服务期：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日至</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日共</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个日历天。</w:t>
      </w:r>
    </w:p>
    <w:p>
      <w:pPr>
        <w:pStyle w:val="44"/>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8、本协议书双方签字盖章后，监理人按约定提交履约保证金后生效，至双方按照监理合同的约定履行完各自的义务和责任后自然失效。</w:t>
      </w:r>
    </w:p>
    <w:p>
      <w:pPr>
        <w:pStyle w:val="44"/>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9、合同未尽事宜，双方另行签订补充协议。补充协议是合同的组成部分。</w:t>
      </w:r>
    </w:p>
    <w:p>
      <w:pPr>
        <w:pStyle w:val="44"/>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10、本监理合同协议书正本一式两份，双方各执一份，具有同等法律效力。协议书副本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份，双方各执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w:t>
      </w:r>
    </w:p>
    <w:p>
      <w:pPr>
        <w:pStyle w:val="44"/>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发包人（全称并盖章）：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监理人（全称并盖章）：</w:t>
      </w:r>
      <w:r>
        <w:rPr>
          <w:rFonts w:hint="eastAsia" w:ascii="宋体" w:hAnsi="宋体" w:eastAsia="宋体" w:cs="宋体"/>
          <w:sz w:val="24"/>
          <w:szCs w:val="24"/>
          <w:highlight w:val="none"/>
          <w:u w:val="single"/>
        </w:rPr>
        <w:t xml:space="preserve">             </w:t>
      </w:r>
    </w:p>
    <w:p>
      <w:pPr>
        <w:pStyle w:val="44"/>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                                 法定代表人</w:t>
      </w:r>
    </w:p>
    <w:p>
      <w:pPr>
        <w:pStyle w:val="44"/>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或其委托代理人（签字）</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或其委托代理人（签字）</w:t>
      </w:r>
      <w:r>
        <w:rPr>
          <w:rFonts w:hint="eastAsia" w:ascii="宋体" w:hAnsi="宋体" w:eastAsia="宋体" w:cs="宋体"/>
          <w:sz w:val="24"/>
          <w:szCs w:val="24"/>
          <w:highlight w:val="none"/>
          <w:u w:val="single"/>
        </w:rPr>
        <w:t xml:space="preserve">            </w:t>
      </w:r>
    </w:p>
    <w:p>
      <w:pPr>
        <w:pStyle w:val="44"/>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         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pStyle w:val="44"/>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单位地址：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单位地址：</w:t>
      </w:r>
      <w:r>
        <w:rPr>
          <w:rFonts w:hint="eastAsia" w:ascii="宋体" w:hAnsi="宋体" w:eastAsia="宋体" w:cs="宋体"/>
          <w:sz w:val="24"/>
          <w:szCs w:val="24"/>
          <w:highlight w:val="none"/>
          <w:u w:val="single"/>
        </w:rPr>
        <w:t xml:space="preserve">                        </w:t>
      </w:r>
    </w:p>
    <w:p>
      <w:pPr>
        <w:pStyle w:val="44"/>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邮    编：</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邮    编：</w:t>
      </w:r>
      <w:r>
        <w:rPr>
          <w:rFonts w:hint="eastAsia" w:ascii="宋体" w:hAnsi="宋体" w:eastAsia="宋体" w:cs="宋体"/>
          <w:sz w:val="24"/>
          <w:szCs w:val="24"/>
          <w:highlight w:val="none"/>
          <w:u w:val="single"/>
        </w:rPr>
        <w:t xml:space="preserve">                        </w:t>
      </w:r>
    </w:p>
    <w:p>
      <w:pPr>
        <w:pStyle w:val="44"/>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电子邮箱：</w:t>
      </w:r>
      <w:r>
        <w:rPr>
          <w:rFonts w:hint="eastAsia" w:ascii="宋体" w:hAnsi="宋体" w:eastAsia="宋体" w:cs="宋体"/>
          <w:sz w:val="24"/>
          <w:szCs w:val="24"/>
          <w:highlight w:val="none"/>
          <w:u w:val="single"/>
        </w:rPr>
        <w:t xml:space="preserve">                        </w:t>
      </w:r>
    </w:p>
    <w:p>
      <w:pPr>
        <w:pStyle w:val="44"/>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    话：</w:t>
      </w:r>
      <w:r>
        <w:rPr>
          <w:rFonts w:hint="eastAsia" w:ascii="宋体" w:hAnsi="宋体" w:eastAsia="宋体" w:cs="宋体"/>
          <w:sz w:val="24"/>
          <w:szCs w:val="24"/>
          <w:highlight w:val="none"/>
          <w:u w:val="single"/>
        </w:rPr>
        <w:t xml:space="preserve">                        </w:t>
      </w:r>
    </w:p>
    <w:p>
      <w:pPr>
        <w:pStyle w:val="44"/>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传    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传    真：</w:t>
      </w:r>
      <w:r>
        <w:rPr>
          <w:rFonts w:hint="eastAsia" w:ascii="宋体" w:hAnsi="宋体" w:eastAsia="宋体" w:cs="宋体"/>
          <w:sz w:val="24"/>
          <w:szCs w:val="24"/>
          <w:highlight w:val="none"/>
          <w:u w:val="single"/>
        </w:rPr>
        <w:t xml:space="preserve">                        </w:t>
      </w:r>
    </w:p>
    <w:p>
      <w:pPr>
        <w:pStyle w:val="44"/>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开户银行：</w:t>
      </w:r>
      <w:r>
        <w:rPr>
          <w:rFonts w:hint="eastAsia" w:ascii="宋体" w:hAnsi="宋体" w:eastAsia="宋体" w:cs="宋体"/>
          <w:sz w:val="24"/>
          <w:szCs w:val="24"/>
          <w:highlight w:val="none"/>
          <w:u w:val="single"/>
        </w:rPr>
        <w:t xml:space="preserve">                        </w:t>
      </w:r>
    </w:p>
    <w:p>
      <w:pPr>
        <w:pStyle w:val="44"/>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账    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账    号：</w:t>
      </w:r>
      <w:r>
        <w:rPr>
          <w:rFonts w:hint="eastAsia" w:ascii="宋体" w:hAnsi="宋体" w:eastAsia="宋体" w:cs="宋体"/>
          <w:sz w:val="24"/>
          <w:szCs w:val="24"/>
          <w:highlight w:val="none"/>
          <w:u w:val="single"/>
        </w:rPr>
        <w:t xml:space="preserve">                        </w:t>
      </w:r>
    </w:p>
    <w:p>
      <w:pPr>
        <w:pStyle w:val="44"/>
        <w:tabs>
          <w:tab w:val="left" w:pos="420"/>
        </w:tabs>
        <w:spacing w:line="360" w:lineRule="exact"/>
        <w:rPr>
          <w:rFonts w:hint="eastAsia" w:ascii="宋体" w:hAnsi="宋体" w:eastAsia="宋体" w:cs="宋体"/>
          <w:sz w:val="24"/>
          <w:szCs w:val="24"/>
          <w:highlight w:val="none"/>
        </w:rPr>
      </w:pPr>
    </w:p>
    <w:p>
      <w:pPr>
        <w:pStyle w:val="44"/>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pStyle w:val="44"/>
        <w:spacing w:line="360" w:lineRule="auto"/>
        <w:outlineLvl w:val="2"/>
        <w:rPr>
          <w:rFonts w:hint="eastAsia" w:ascii="宋体" w:hAnsi="宋体" w:eastAsia="宋体" w:cs="宋体"/>
          <w:sz w:val="24"/>
          <w:szCs w:val="24"/>
          <w:highlight w:val="none"/>
        </w:rPr>
      </w:pPr>
      <w:bookmarkStart w:id="434" w:name="_Toc28265989"/>
      <w:bookmarkStart w:id="435" w:name="_Toc26106953"/>
      <w:bookmarkStart w:id="436" w:name="_Toc454259526"/>
      <w:bookmarkStart w:id="437" w:name="_Toc454259695"/>
      <w:bookmarkStart w:id="438" w:name="_Toc28266233"/>
      <w:bookmarkStart w:id="439" w:name="_Toc441077046"/>
      <w:r>
        <w:rPr>
          <w:rFonts w:hint="eastAsia" w:ascii="宋体" w:hAnsi="宋体" w:eastAsia="宋体" w:cs="宋体"/>
          <w:sz w:val="24"/>
          <w:szCs w:val="24"/>
          <w:highlight w:val="none"/>
        </w:rPr>
        <w:t>附件二：履约保证金格式</w:t>
      </w:r>
      <w:bookmarkEnd w:id="434"/>
      <w:bookmarkEnd w:id="435"/>
      <w:bookmarkEnd w:id="436"/>
      <w:bookmarkEnd w:id="437"/>
      <w:bookmarkEnd w:id="438"/>
      <w:bookmarkEnd w:id="439"/>
    </w:p>
    <w:p>
      <w:pPr>
        <w:pStyle w:val="44"/>
        <w:tabs>
          <w:tab w:val="left" w:pos="420"/>
        </w:tabs>
        <w:spacing w:line="360" w:lineRule="exact"/>
        <w:ind w:firstLine="480" w:firstLineChars="200"/>
        <w:rPr>
          <w:rFonts w:hint="eastAsia" w:ascii="宋体" w:hAnsi="宋体" w:eastAsia="宋体" w:cs="宋体"/>
          <w:sz w:val="24"/>
          <w:szCs w:val="24"/>
          <w:highlight w:val="none"/>
        </w:rPr>
      </w:pPr>
    </w:p>
    <w:p>
      <w:pPr>
        <w:pStyle w:val="44"/>
        <w:spacing w:after="156" w:afterLines="50" w:line="360" w:lineRule="auto"/>
        <w:ind w:firstLine="482" w:firstLineChars="20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履约保证金</w:t>
      </w:r>
    </w:p>
    <w:p>
      <w:pPr>
        <w:pStyle w:val="44"/>
        <w:tabs>
          <w:tab w:val="left" w:pos="4680"/>
        </w:tabs>
        <w:spacing w:before="360" w:after="240"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（发包人全称）</w:t>
      </w:r>
    </w:p>
    <w:p>
      <w:pPr>
        <w:pStyle w:val="44"/>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鉴于______（发包人名称，以下简称“发包人”）接受__________ （监理人名称）（以下称“监理人”）于______年____月____日参加______（项目名称）_________标段监理的投标。我方愿意无条件地、不可撤销地就承包人履行与你方订立的合同，向你方提供担保。</w:t>
      </w:r>
    </w:p>
    <w:p>
      <w:pPr>
        <w:pStyle w:val="4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1.担保金额人民币（大写）____元（￥_____）。</w:t>
      </w:r>
    </w:p>
    <w:p>
      <w:pPr>
        <w:pStyle w:val="4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2.担保有效期自发包人与监理人签订的合同生效之日起至发包人签发交工验收证书之日止。</w:t>
      </w:r>
    </w:p>
    <w:p>
      <w:pPr>
        <w:pStyle w:val="4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3.在本担保有效期内，因监理人违反合同约定的义务给你方造成经济损失时，我方在收到你方以书面形式提出的在担保金额内的赔偿要求后，在7天内无条件支付，无须你方出具证明或陈述理由。</w:t>
      </w:r>
    </w:p>
    <w:p>
      <w:pPr>
        <w:pStyle w:val="4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4.发包人和监理人按合同条款第5.4款变更合同时，我方承担本担保规定的义务不变。</w:t>
      </w:r>
    </w:p>
    <w:p>
      <w:pPr>
        <w:pStyle w:val="4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pStyle w:val="44"/>
        <w:spacing w:line="400" w:lineRule="exact"/>
        <w:rPr>
          <w:rFonts w:hint="eastAsia" w:ascii="宋体" w:hAnsi="宋体" w:eastAsia="宋体" w:cs="宋体"/>
          <w:sz w:val="24"/>
          <w:szCs w:val="24"/>
          <w:highlight w:val="none"/>
        </w:rPr>
      </w:pPr>
    </w:p>
    <w:p>
      <w:pPr>
        <w:pStyle w:val="44"/>
        <w:spacing w:line="400" w:lineRule="exact"/>
        <w:rPr>
          <w:rFonts w:hint="eastAsia" w:ascii="宋体" w:hAnsi="宋体" w:eastAsia="宋体" w:cs="宋体"/>
          <w:sz w:val="24"/>
          <w:szCs w:val="24"/>
          <w:highlight w:val="none"/>
        </w:rPr>
      </w:pPr>
    </w:p>
    <w:p>
      <w:pPr>
        <w:pStyle w:val="44"/>
        <w:spacing w:line="400" w:lineRule="exact"/>
        <w:ind w:firstLine="5347" w:firstLineChars="2228"/>
        <w:rPr>
          <w:rFonts w:hint="eastAsia" w:ascii="宋体" w:hAnsi="宋体" w:eastAsia="宋体" w:cs="宋体"/>
          <w:sz w:val="24"/>
          <w:szCs w:val="24"/>
          <w:highlight w:val="none"/>
        </w:rPr>
      </w:pPr>
      <w:r>
        <w:rPr>
          <w:rFonts w:hint="eastAsia" w:ascii="宋体" w:hAnsi="宋体" w:eastAsia="宋体" w:cs="宋体"/>
          <w:sz w:val="24"/>
          <w:szCs w:val="24"/>
          <w:highlight w:val="none"/>
        </w:rPr>
        <w:t>担保人：___________ （盖单位章）</w:t>
      </w:r>
    </w:p>
    <w:p>
      <w:pPr>
        <w:pStyle w:val="44"/>
        <w:spacing w:line="400" w:lineRule="exact"/>
        <w:ind w:firstLine="5347" w:firstLineChars="2228"/>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法定代表人或其委托代理人：_________ （签字）</w:t>
      </w:r>
    </w:p>
    <w:p>
      <w:pPr>
        <w:pStyle w:val="44"/>
        <w:spacing w:line="400" w:lineRule="exact"/>
        <w:ind w:firstLine="5347" w:firstLineChars="2228"/>
        <w:rPr>
          <w:rFonts w:hint="eastAsia" w:ascii="宋体" w:hAnsi="宋体" w:eastAsia="宋体" w:cs="宋体"/>
          <w:sz w:val="24"/>
          <w:szCs w:val="24"/>
          <w:highlight w:val="none"/>
        </w:rPr>
      </w:pPr>
      <w:r>
        <w:rPr>
          <w:rFonts w:hint="eastAsia" w:ascii="宋体" w:hAnsi="宋体" w:eastAsia="宋体" w:cs="宋体"/>
          <w:sz w:val="24"/>
          <w:szCs w:val="24"/>
          <w:highlight w:val="none"/>
        </w:rPr>
        <w:t>地    址：____________</w:t>
      </w:r>
    </w:p>
    <w:p>
      <w:pPr>
        <w:pStyle w:val="44"/>
        <w:spacing w:line="400" w:lineRule="exact"/>
        <w:ind w:firstLine="5347" w:firstLineChars="2228"/>
        <w:rPr>
          <w:rFonts w:hint="eastAsia" w:ascii="宋体" w:hAnsi="宋体" w:eastAsia="宋体" w:cs="宋体"/>
          <w:sz w:val="24"/>
          <w:szCs w:val="24"/>
          <w:highlight w:val="none"/>
        </w:rPr>
      </w:pPr>
      <w:r>
        <w:rPr>
          <w:rFonts w:hint="eastAsia" w:ascii="宋体" w:hAnsi="宋体" w:eastAsia="宋体" w:cs="宋体"/>
          <w:sz w:val="24"/>
          <w:szCs w:val="24"/>
          <w:highlight w:val="none"/>
        </w:rPr>
        <w:t>邮政编码：___________</w:t>
      </w:r>
    </w:p>
    <w:p>
      <w:pPr>
        <w:pStyle w:val="44"/>
        <w:spacing w:line="400" w:lineRule="exact"/>
        <w:ind w:firstLine="5347" w:firstLineChars="2228"/>
        <w:rPr>
          <w:rFonts w:hint="eastAsia" w:ascii="宋体" w:hAnsi="宋体" w:eastAsia="宋体" w:cs="宋体"/>
          <w:sz w:val="24"/>
          <w:szCs w:val="24"/>
          <w:highlight w:val="none"/>
        </w:rPr>
      </w:pPr>
      <w:r>
        <w:rPr>
          <w:rFonts w:hint="eastAsia" w:ascii="宋体" w:hAnsi="宋体" w:eastAsia="宋体" w:cs="宋体"/>
          <w:sz w:val="24"/>
          <w:szCs w:val="24"/>
          <w:highlight w:val="none"/>
        </w:rPr>
        <w:t>电    话：_____________</w:t>
      </w:r>
    </w:p>
    <w:p>
      <w:pPr>
        <w:pStyle w:val="44"/>
        <w:spacing w:line="400" w:lineRule="exact"/>
        <w:ind w:firstLine="5347" w:firstLineChars="2228"/>
        <w:rPr>
          <w:rFonts w:hint="eastAsia" w:ascii="宋体" w:hAnsi="宋体" w:eastAsia="宋体" w:cs="宋体"/>
          <w:sz w:val="24"/>
          <w:szCs w:val="24"/>
          <w:highlight w:val="none"/>
        </w:rPr>
      </w:pPr>
      <w:r>
        <w:rPr>
          <w:rFonts w:hint="eastAsia" w:ascii="宋体" w:hAnsi="宋体" w:eastAsia="宋体" w:cs="宋体"/>
          <w:sz w:val="24"/>
          <w:szCs w:val="24"/>
          <w:highlight w:val="none"/>
        </w:rPr>
        <w:t>传    真：___________</w:t>
      </w:r>
    </w:p>
    <w:p>
      <w:pPr>
        <w:pStyle w:val="44"/>
        <w:spacing w:line="400" w:lineRule="exact"/>
        <w:ind w:right="840" w:firstLine="5347" w:firstLineChars="2228"/>
        <w:rPr>
          <w:rFonts w:hint="eastAsia" w:ascii="宋体" w:hAnsi="宋体" w:eastAsia="宋体" w:cs="宋体"/>
          <w:sz w:val="24"/>
          <w:szCs w:val="24"/>
          <w:highlight w:val="none"/>
        </w:rPr>
      </w:pPr>
      <w:r>
        <w:rPr>
          <w:rFonts w:hint="eastAsia" w:ascii="宋体" w:hAnsi="宋体" w:eastAsia="宋体" w:cs="宋体"/>
          <w:sz w:val="24"/>
          <w:szCs w:val="24"/>
          <w:highlight w:val="none"/>
        </w:rPr>
        <w:t>______年 _____月_____日</w:t>
      </w:r>
    </w:p>
    <w:p>
      <w:pPr>
        <w:pStyle w:val="44"/>
        <w:tabs>
          <w:tab w:val="left" w:pos="4680"/>
        </w:tabs>
        <w:spacing w:after="156" w:afterLines="50" w:line="360" w:lineRule="exact"/>
        <w:rPr>
          <w:rFonts w:hint="eastAsia" w:ascii="宋体" w:hAnsi="宋体" w:eastAsia="宋体" w:cs="宋体"/>
          <w:sz w:val="24"/>
          <w:szCs w:val="24"/>
          <w:highlight w:val="none"/>
        </w:rPr>
      </w:pPr>
    </w:p>
    <w:p>
      <w:pPr>
        <w:pStyle w:val="44"/>
        <w:tabs>
          <w:tab w:val="left" w:pos="4680"/>
        </w:tabs>
        <w:spacing w:after="156" w:afterLines="50"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注：监理人在获得发包人书面同意后，可采用银行提供的保函格式，其主要内容须与本保函内容原则一致。</w:t>
      </w:r>
    </w:p>
    <w:p>
      <w:pPr>
        <w:pStyle w:val="44"/>
        <w:spacing w:line="360" w:lineRule="auto"/>
        <w:outlineLvl w:val="2"/>
        <w:rPr>
          <w:rFonts w:hint="eastAsia" w:ascii="宋体" w:hAnsi="宋体" w:eastAsia="宋体" w:cs="宋体"/>
          <w:sz w:val="24"/>
          <w:szCs w:val="24"/>
          <w:highlight w:val="none"/>
        </w:rPr>
      </w:pPr>
      <w:bookmarkStart w:id="440" w:name="_Toc28266234"/>
      <w:bookmarkStart w:id="441" w:name="_Toc28265990"/>
      <w:bookmarkStart w:id="442" w:name="_Toc454259527"/>
      <w:bookmarkStart w:id="443" w:name="_Toc441077047"/>
      <w:bookmarkStart w:id="444" w:name="_Toc454259696"/>
      <w:bookmarkStart w:id="445" w:name="_Toc26106954"/>
      <w:r>
        <w:rPr>
          <w:rFonts w:hint="eastAsia" w:ascii="宋体" w:hAnsi="宋体" w:eastAsia="宋体" w:cs="宋体"/>
          <w:sz w:val="24"/>
          <w:szCs w:val="24"/>
          <w:highlight w:val="none"/>
        </w:rPr>
        <w:t>附件三：廉政合同格式</w:t>
      </w:r>
      <w:bookmarkEnd w:id="440"/>
      <w:bookmarkEnd w:id="441"/>
      <w:bookmarkEnd w:id="442"/>
      <w:bookmarkEnd w:id="443"/>
      <w:bookmarkEnd w:id="444"/>
      <w:bookmarkEnd w:id="445"/>
    </w:p>
    <w:p>
      <w:pPr>
        <w:pStyle w:val="44"/>
        <w:spacing w:after="156" w:afterLines="50" w:line="360" w:lineRule="auto"/>
        <w:ind w:firstLine="482" w:firstLineChars="200"/>
        <w:jc w:val="center"/>
        <w:rPr>
          <w:rFonts w:hint="eastAsia" w:ascii="宋体" w:hAnsi="宋体" w:eastAsia="宋体" w:cs="宋体"/>
          <w:b/>
          <w:bCs/>
          <w:sz w:val="24"/>
          <w:szCs w:val="24"/>
          <w:highlight w:val="none"/>
        </w:rPr>
      </w:pPr>
      <w:r>
        <w:rPr>
          <w:rFonts w:hint="eastAsia" w:ascii="宋体" w:hAnsi="宋体" w:eastAsia="宋体" w:cs="宋体"/>
          <w:b/>
          <w:sz w:val="24"/>
          <w:szCs w:val="24"/>
          <w:highlight w:val="none"/>
        </w:rPr>
        <w:t>廉 政 合 同</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根据交通运输部《关于在交通基础设施建设中加强廉政建设的若干意见》以及有关工程建设、廉政建设的规定，为做好</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工程建设中的党风廉政建设，保证工程建设高效优质，保证建设资金的安全和有效使用以及投资效益，</w:t>
      </w:r>
      <w:r>
        <w:rPr>
          <w:rFonts w:hint="eastAsia" w:ascii="宋体" w:hAnsi="宋体" w:eastAsia="宋体" w:cs="宋体"/>
          <w:sz w:val="24"/>
          <w:szCs w:val="24"/>
          <w:highlight w:val="none"/>
          <w:u w:val="single"/>
        </w:rPr>
        <w:t xml:space="preserve">     （发包人全称）    </w:t>
      </w:r>
      <w:r>
        <w:rPr>
          <w:rFonts w:hint="eastAsia" w:ascii="宋体" w:hAnsi="宋体" w:eastAsia="宋体" w:cs="宋体"/>
          <w:sz w:val="24"/>
          <w:szCs w:val="24"/>
          <w:highlight w:val="none"/>
        </w:rPr>
        <w:t>（以下称甲方）与</w:t>
      </w:r>
      <w:r>
        <w:rPr>
          <w:rFonts w:hint="eastAsia" w:ascii="宋体" w:hAnsi="宋体" w:eastAsia="宋体" w:cs="宋体"/>
          <w:sz w:val="24"/>
          <w:szCs w:val="24"/>
          <w:highlight w:val="none"/>
          <w:u w:val="single"/>
        </w:rPr>
        <w:t xml:space="preserve">  （监理人全称）    </w:t>
      </w:r>
      <w:r>
        <w:rPr>
          <w:rFonts w:hint="eastAsia" w:ascii="宋体" w:hAnsi="宋体" w:eastAsia="宋体" w:cs="宋体"/>
          <w:sz w:val="24"/>
          <w:szCs w:val="24"/>
          <w:highlight w:val="none"/>
        </w:rPr>
        <w:t>（以下称乙方），特订立如下合同。</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b/>
          <w:sz w:val="24"/>
          <w:szCs w:val="24"/>
          <w:highlight w:val="none"/>
        </w:rPr>
        <w:t>第一条</w:t>
      </w:r>
      <w:r>
        <w:rPr>
          <w:rFonts w:hint="eastAsia" w:ascii="宋体" w:hAnsi="宋体" w:eastAsia="宋体" w:cs="宋体"/>
          <w:sz w:val="24"/>
          <w:szCs w:val="24"/>
          <w:highlight w:val="none"/>
        </w:rPr>
        <w:t xml:space="preserve">  甲乙双方的权利和义务</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（一）严格遵守党和国家有关法律法规及交通运输部、浙江省交通运输厅的有关规定。</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（二）严格执行本工程监理服务合同协议书，自觉按协议书办事。</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（三）双方的业务活动坚持公开、公正、诚信、透明的原则（除法律认定的商业秘密和合同文件另有规定之外），不得损害国家和集体利益，违反工程建设管理规章制度。</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（四）建立健全廉政制度，开展廉政教育，设立廉政告示牌，公布举报电话，监督并认真查处违法违纪行为。</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（五）发现对方在业务活动中有违反廉政规定的行为，有及时提醒对方纠正的权利和义务。</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（六）发现对方严重违反本合同义务条款的行为，有向其上级有关部门举报、建议给予处理并要求告知处理结果的权利。</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b/>
          <w:sz w:val="24"/>
          <w:szCs w:val="24"/>
          <w:highlight w:val="none"/>
        </w:rPr>
        <w:t>第二条</w:t>
      </w:r>
      <w:r>
        <w:rPr>
          <w:rFonts w:hint="eastAsia" w:ascii="宋体" w:hAnsi="宋体" w:eastAsia="宋体" w:cs="宋体"/>
          <w:sz w:val="24"/>
          <w:szCs w:val="24"/>
          <w:highlight w:val="none"/>
        </w:rPr>
        <w:t xml:space="preserve">  甲方的义务</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（一）甲方及其工作人员不得索要或接受乙方的礼金、有价证券和物品，不得在乙方报销任何应由甲方或个人支付的费用等。</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（二）甲方工作人员不得参加乙方安排的宴请和娱乐活动；不得接受乙方提供的通讯工具、交通工具和办公用品等。</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（三）甲方及其工作人员不得要求或者接受乙方为其住房装修、婚丧嫁娶活动、配偶子女的工作安排以及出国出境、旅游等提供方便等。</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（四）甲方工作人员的配偶、子女不得从事与甲方工程有关的监理分包项目。</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b/>
          <w:sz w:val="24"/>
          <w:szCs w:val="24"/>
          <w:highlight w:val="none"/>
        </w:rPr>
        <w:t>第三条</w:t>
      </w:r>
      <w:r>
        <w:rPr>
          <w:rFonts w:hint="eastAsia" w:ascii="宋体" w:hAnsi="宋体" w:eastAsia="宋体" w:cs="宋体"/>
          <w:sz w:val="24"/>
          <w:szCs w:val="24"/>
          <w:highlight w:val="none"/>
        </w:rPr>
        <w:t xml:space="preserve">  乙方义务</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（一）乙方不得以任何理由向甲方及其工作人员行贿或馈赠礼金、有价证券、礼品。</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（二）乙方不得以任何名义为甲方及其工作人员报销应由甲方单位或个人支付的任何费用。</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（三）乙方不得以任何理由安排甲方工作人员参加宴请及娱乐活动。</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（四）乙方不得为甲方单位和个人购置或提供通讯工具、交通工具和办公用品等。</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（五）乙方及其工作人员不得索取或接受承包人的礼金、有价证券和物品，不得在承包人报销任何应由乙方或个人支付的费用。</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（六）乙方及其工作人员必须严格按照监理规程办事，不得与承包人串通，损害甲方利益。</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b/>
          <w:sz w:val="24"/>
          <w:szCs w:val="24"/>
          <w:highlight w:val="none"/>
        </w:rPr>
        <w:t>第四条</w:t>
      </w:r>
      <w:r>
        <w:rPr>
          <w:rFonts w:hint="eastAsia" w:ascii="宋体" w:hAnsi="宋体" w:eastAsia="宋体" w:cs="宋体"/>
          <w:sz w:val="24"/>
          <w:szCs w:val="24"/>
          <w:highlight w:val="none"/>
        </w:rPr>
        <w:t xml:space="preserve">  违约责任</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（一）甲方及其工作人员违反本合同第一、二条；按管理权限、依据有关规定，给予党纪、政纪或组织处理；涉嫌犯罪的，移交司法机关追究刑事责任；给乙方单位造成经济损失的，应予以赔偿。</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二）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b/>
          <w:sz w:val="24"/>
          <w:szCs w:val="24"/>
          <w:highlight w:val="none"/>
        </w:rPr>
        <w:t>第五条</w:t>
      </w:r>
      <w:r>
        <w:rPr>
          <w:rFonts w:hint="eastAsia" w:ascii="宋体" w:hAnsi="宋体" w:eastAsia="宋体" w:cs="宋体"/>
          <w:sz w:val="24"/>
          <w:szCs w:val="24"/>
          <w:highlight w:val="none"/>
        </w:rPr>
        <w:t xml:space="preserve">  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b/>
          <w:sz w:val="24"/>
          <w:szCs w:val="24"/>
          <w:highlight w:val="none"/>
        </w:rPr>
        <w:t>第六条</w:t>
      </w:r>
      <w:r>
        <w:rPr>
          <w:rFonts w:hint="eastAsia" w:ascii="宋体" w:hAnsi="宋体" w:eastAsia="宋体" w:cs="宋体"/>
          <w:sz w:val="24"/>
          <w:szCs w:val="24"/>
          <w:highlight w:val="none"/>
        </w:rPr>
        <w:t xml:space="preserve">  本合同有效期为甲乙双方签署之日起至该工程项目竣工验收后止。</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b/>
          <w:sz w:val="24"/>
          <w:szCs w:val="24"/>
          <w:highlight w:val="none"/>
        </w:rPr>
        <w:t>第七条</w:t>
      </w:r>
      <w:r>
        <w:rPr>
          <w:rFonts w:hint="eastAsia" w:ascii="宋体" w:hAnsi="宋体" w:eastAsia="宋体" w:cs="宋体"/>
          <w:sz w:val="24"/>
          <w:szCs w:val="24"/>
          <w:highlight w:val="none"/>
        </w:rPr>
        <w:t xml:space="preserve">  本合同作为本工程监理服务合同协议书的附件，与监理服务合同协议书具有同等的法律效力，经合同双方签署立即生效。</w:t>
      </w:r>
    </w:p>
    <w:p>
      <w:pPr>
        <w:pStyle w:val="44"/>
        <w:spacing w:line="360" w:lineRule="exact"/>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rPr>
        <w:t>第八条</w:t>
      </w:r>
      <w:r>
        <w:rPr>
          <w:rFonts w:hint="eastAsia" w:ascii="宋体" w:hAnsi="宋体" w:eastAsia="宋体" w:cs="宋体"/>
          <w:sz w:val="24"/>
          <w:szCs w:val="24"/>
          <w:highlight w:val="none"/>
        </w:rPr>
        <w:t xml:space="preserve">  本合同甲、乙双方各执一份，递交双方监督单位一份。</w:t>
      </w:r>
    </w:p>
    <w:p>
      <w:pPr>
        <w:pStyle w:val="44"/>
        <w:spacing w:line="360" w:lineRule="exact"/>
        <w:rPr>
          <w:rFonts w:hint="eastAsia" w:ascii="宋体" w:hAnsi="宋体" w:eastAsia="宋体" w:cs="宋体"/>
          <w:sz w:val="24"/>
          <w:szCs w:val="24"/>
          <w:highlight w:val="none"/>
        </w:rPr>
      </w:pPr>
    </w:p>
    <w:p>
      <w:pPr>
        <w:pStyle w:val="44"/>
        <w:spacing w:line="360" w:lineRule="exact"/>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w:t>
      </w:r>
      <w:r>
        <w:rPr>
          <w:rFonts w:hint="eastAsia" w:ascii="宋体" w:hAnsi="宋体" w:eastAsia="宋体" w:cs="宋体"/>
          <w:sz w:val="24"/>
          <w:szCs w:val="24"/>
          <w:highlight w:val="none"/>
          <w:u w:val="single"/>
        </w:rPr>
        <w:t xml:space="preserve">                       （盖章）</w:t>
      </w:r>
      <w:r>
        <w:rPr>
          <w:rFonts w:hint="eastAsia" w:ascii="宋体" w:hAnsi="宋体" w:eastAsia="宋体" w:cs="宋体"/>
          <w:sz w:val="24"/>
          <w:szCs w:val="24"/>
          <w:highlight w:val="none"/>
        </w:rPr>
        <w:t xml:space="preserve">   监理人：</w:t>
      </w:r>
      <w:r>
        <w:rPr>
          <w:rFonts w:hint="eastAsia" w:ascii="宋体" w:hAnsi="宋体" w:eastAsia="宋体" w:cs="宋体"/>
          <w:sz w:val="24"/>
          <w:szCs w:val="24"/>
          <w:highlight w:val="none"/>
          <w:u w:val="single"/>
        </w:rPr>
        <w:t xml:space="preserve">                       （盖章）</w:t>
      </w:r>
    </w:p>
    <w:p>
      <w:pPr>
        <w:pStyle w:val="44"/>
        <w:spacing w:line="360" w:lineRule="exact"/>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                              法定代表人或</w:t>
      </w:r>
    </w:p>
    <w:p>
      <w:pPr>
        <w:pStyle w:val="44"/>
        <w:spacing w:line="360" w:lineRule="exact"/>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其授权代理人：</w:t>
      </w:r>
      <w:r>
        <w:rPr>
          <w:rFonts w:hint="eastAsia" w:ascii="宋体" w:hAnsi="宋体" w:eastAsia="宋体" w:cs="宋体"/>
          <w:sz w:val="24"/>
          <w:szCs w:val="24"/>
          <w:highlight w:val="none"/>
          <w:u w:val="single"/>
        </w:rPr>
        <w:t xml:space="preserve">                 （签名）</w:t>
      </w:r>
      <w:r>
        <w:rPr>
          <w:rFonts w:hint="eastAsia" w:ascii="宋体" w:hAnsi="宋体" w:eastAsia="宋体" w:cs="宋体"/>
          <w:sz w:val="24"/>
          <w:szCs w:val="24"/>
          <w:highlight w:val="none"/>
        </w:rPr>
        <w:t xml:space="preserve">   其授权代理人：</w:t>
      </w:r>
      <w:r>
        <w:rPr>
          <w:rFonts w:hint="eastAsia" w:ascii="宋体" w:hAnsi="宋体" w:eastAsia="宋体" w:cs="宋体"/>
          <w:sz w:val="24"/>
          <w:szCs w:val="24"/>
          <w:highlight w:val="none"/>
          <w:u w:val="single"/>
        </w:rPr>
        <w:t xml:space="preserve">                 （签名）</w:t>
      </w:r>
    </w:p>
    <w:p>
      <w:pPr>
        <w:pStyle w:val="44"/>
        <w:spacing w:line="360" w:lineRule="exact"/>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地址：</w:t>
      </w:r>
      <w:r>
        <w:rPr>
          <w:rFonts w:hint="eastAsia" w:ascii="宋体" w:hAnsi="宋体" w:eastAsia="宋体" w:cs="宋体"/>
          <w:sz w:val="24"/>
          <w:szCs w:val="24"/>
          <w:highlight w:val="none"/>
          <w:u w:val="single"/>
        </w:rPr>
        <w:t xml:space="preserve">                                 </w:t>
      </w:r>
    </w:p>
    <w:p>
      <w:pPr>
        <w:pStyle w:val="44"/>
        <w:spacing w:line="360" w:lineRule="exact"/>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电话：</w:t>
      </w:r>
      <w:r>
        <w:rPr>
          <w:rFonts w:hint="eastAsia" w:ascii="宋体" w:hAnsi="宋体" w:eastAsia="宋体" w:cs="宋体"/>
          <w:sz w:val="24"/>
          <w:szCs w:val="24"/>
          <w:highlight w:val="none"/>
          <w:u w:val="single"/>
        </w:rPr>
        <w:t xml:space="preserve">                                 </w:t>
      </w:r>
    </w:p>
    <w:p>
      <w:pPr>
        <w:pStyle w:val="44"/>
        <w:spacing w:line="360" w:lineRule="exact"/>
        <w:ind w:left="420" w:leftChars="200" w:firstLine="1428" w:firstLineChars="595"/>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               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pStyle w:val="44"/>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bookmarkStart w:id="446" w:name="_Toc26106955"/>
      <w:bookmarkStart w:id="447" w:name="_Toc454259697"/>
      <w:bookmarkStart w:id="448" w:name="_Toc454259528"/>
      <w:bookmarkStart w:id="449" w:name="_Toc28265991"/>
      <w:bookmarkStart w:id="450" w:name="_Toc441077048"/>
      <w:bookmarkStart w:id="451" w:name="_Toc28266235"/>
      <w:r>
        <w:rPr>
          <w:rFonts w:hint="eastAsia" w:ascii="宋体" w:hAnsi="宋体" w:eastAsia="宋体" w:cs="宋体"/>
          <w:sz w:val="24"/>
          <w:szCs w:val="24"/>
          <w:highlight w:val="none"/>
        </w:rPr>
        <w:t>附件四：工程质量责任合同格式</w:t>
      </w:r>
      <w:bookmarkEnd w:id="446"/>
      <w:bookmarkEnd w:id="447"/>
      <w:bookmarkEnd w:id="448"/>
      <w:bookmarkEnd w:id="449"/>
      <w:bookmarkEnd w:id="450"/>
      <w:bookmarkEnd w:id="451"/>
    </w:p>
    <w:p>
      <w:pPr>
        <w:pStyle w:val="44"/>
        <w:spacing w:line="520" w:lineRule="exact"/>
        <w:jc w:val="center"/>
        <w:rPr>
          <w:rFonts w:hint="eastAsia" w:ascii="宋体" w:hAnsi="宋体" w:eastAsia="宋体" w:cs="宋体"/>
          <w:b/>
          <w:bCs/>
          <w:sz w:val="24"/>
          <w:szCs w:val="24"/>
          <w:highlight w:val="none"/>
        </w:rPr>
      </w:pPr>
      <w:r>
        <w:rPr>
          <w:rFonts w:hint="eastAsia" w:ascii="宋体" w:hAnsi="宋体" w:eastAsia="宋体" w:cs="宋体"/>
          <w:b/>
          <w:sz w:val="24"/>
          <w:szCs w:val="24"/>
          <w:highlight w:val="none"/>
        </w:rPr>
        <w:t>工程质量责任合同</w:t>
      </w:r>
    </w:p>
    <w:p>
      <w:pPr>
        <w:pStyle w:val="44"/>
        <w:spacing w:line="440" w:lineRule="exact"/>
        <w:ind w:firstLine="450"/>
        <w:rPr>
          <w:rFonts w:hint="eastAsia" w:ascii="宋体" w:hAnsi="宋体" w:eastAsia="宋体" w:cs="宋体"/>
          <w:sz w:val="24"/>
          <w:szCs w:val="24"/>
          <w:highlight w:val="none"/>
        </w:rPr>
      </w:pPr>
    </w:p>
    <w:p>
      <w:pPr>
        <w:pStyle w:val="44"/>
        <w:spacing w:line="440" w:lineRule="exact"/>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根据国务院《建设工程质量管理条例》，为保证在设计使用年限内建设工程质量，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工程</w:t>
      </w:r>
      <w:r>
        <w:rPr>
          <w:rFonts w:hint="eastAsia" w:ascii="宋体" w:hAnsi="宋体" w:eastAsia="宋体" w:cs="宋体"/>
          <w:spacing w:val="2"/>
          <w:sz w:val="24"/>
          <w:szCs w:val="24"/>
          <w:highlight w:val="none"/>
        </w:rPr>
        <w:t>的发包人</w:t>
      </w:r>
      <w:r>
        <w:rPr>
          <w:rFonts w:hint="eastAsia" w:ascii="宋体" w:hAnsi="宋体" w:eastAsia="宋体" w:cs="宋体"/>
          <w:spacing w:val="2"/>
          <w:sz w:val="24"/>
          <w:szCs w:val="24"/>
          <w:highlight w:val="none"/>
          <w:u w:val="single"/>
        </w:rPr>
        <w:t xml:space="preserve">                 </w:t>
      </w:r>
      <w:r>
        <w:rPr>
          <w:rFonts w:hint="eastAsia" w:ascii="宋体" w:hAnsi="宋体" w:eastAsia="宋体" w:cs="宋体"/>
          <w:spacing w:val="2"/>
          <w:sz w:val="24"/>
          <w:szCs w:val="24"/>
          <w:highlight w:val="none"/>
        </w:rPr>
        <w:t>（以下称甲方）与监理人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（以下称乙方），特订立如下质量责任合同。</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b/>
          <w:bCs/>
          <w:sz w:val="24"/>
          <w:szCs w:val="24"/>
          <w:highlight w:val="none"/>
        </w:rPr>
        <w:t>第一条</w:t>
      </w:r>
      <w:r>
        <w:rPr>
          <w:rFonts w:hint="eastAsia" w:ascii="宋体" w:hAnsi="宋体" w:eastAsia="宋体" w:cs="宋体"/>
          <w:sz w:val="24"/>
          <w:szCs w:val="24"/>
          <w:highlight w:val="none"/>
        </w:rPr>
        <w:t xml:space="preserve">  本建设项目的工程质量目标为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，监理人对本建设工程的监理质量在设计使用年限内依法终身负责。监理责任人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b/>
          <w:bCs/>
          <w:sz w:val="24"/>
          <w:szCs w:val="24"/>
          <w:highlight w:val="none"/>
        </w:rPr>
        <w:t>第二条</w:t>
      </w:r>
      <w:r>
        <w:rPr>
          <w:rFonts w:hint="eastAsia" w:ascii="宋体" w:hAnsi="宋体" w:eastAsia="宋体" w:cs="宋体"/>
          <w:sz w:val="24"/>
          <w:szCs w:val="24"/>
          <w:highlight w:val="none"/>
        </w:rPr>
        <w:t xml:space="preserve">  甲乙双方的权利和义务</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（一）严格遵守国家有关法律法规及交通运输部、浙江省交通运输厅的有关规定。</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（二）严格执行本工程监理服务合同协议书，自觉按协议书办事。</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（三）双方的施工监理业务活动坚持科学、公正、诚信、平等的原则，不得损害国家、集体的利益，不得违反工程建设管理规章制度。</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（四）发现对方在施工监理业务活动中，有违反有关规定的行为，有及时提醒对方纠正的权利和义务。</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（五）发现对方严重违反监理合同文件的行为，有向其上级有关部门举报，建议给予处理并要求告知处理结果的权利。</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b/>
          <w:bCs/>
          <w:sz w:val="24"/>
          <w:szCs w:val="24"/>
          <w:highlight w:val="none"/>
        </w:rPr>
        <w:t>第三条</w:t>
      </w:r>
      <w:r>
        <w:rPr>
          <w:rFonts w:hint="eastAsia" w:ascii="宋体" w:hAnsi="宋体" w:eastAsia="宋体" w:cs="宋体"/>
          <w:sz w:val="24"/>
          <w:szCs w:val="24"/>
          <w:highlight w:val="none"/>
        </w:rPr>
        <w:t xml:space="preserve">  甲方的义务</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（一）甲方向乙方及时提供与承包人签订的施工合同文件及有关资料（包括技术规范、工程量清单、施工图等）。</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（二）甲方不得指使乙方不按法律、法规、工程建设强制性标准和监理规范进行现场监理。</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（三）甲方应按施工监理合同的约定支付监理费，除施工监理合同的约定外，甲方不得以任何借口克扣监理费或拖延监理费的支付。</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（四）甲方不得明示或暗示向乙方推荐单位或个人承包或分包本工程的施工监理任务。</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（五）甲方不得以任何理由索取回扣或其它好处。</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b/>
          <w:bCs/>
          <w:sz w:val="24"/>
          <w:szCs w:val="24"/>
          <w:highlight w:val="none"/>
        </w:rPr>
        <w:t>第四条</w:t>
      </w:r>
      <w:r>
        <w:rPr>
          <w:rFonts w:hint="eastAsia" w:ascii="宋体" w:hAnsi="宋体" w:eastAsia="宋体" w:cs="宋体"/>
          <w:sz w:val="24"/>
          <w:szCs w:val="24"/>
          <w:highlight w:val="none"/>
        </w:rPr>
        <w:t xml:space="preserve">  乙方的义务</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（一）乙方应具备与本工程相应等级的监理资质证书。</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（二）乙方不得允许其它单位或个人以乙方的名义承揽本工程的施工监理任务，不得转包或违法分包所承揽的本工程的施工监理任务。</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（三）乙方必须严格履行施工监理合同，按投标承诺的监理人员及时到位。监理人员不能擅自调换，如有特殊原因确需调换的，须经发包人书面同意方能换人。</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四）乙方如建立工地临时试验室，按要求配备相应的试验检测人员和设备，并取得《工地试验室管理手册》。乙方如委托具有相应资质和试验检测能力的试验检测单位进行的，则该委托试验检测单位须经交通质量监督部门和发包人批准同意。按有关规定做好各类试验，试验资料应真实、完整，统一归档。</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五）乙方必须按照“严格监理、优质服务、公正科学、廉洁自律”的原则，认真贯彻执行有关施工监理的各项方针政策、法规，制定详细监理工作计划，明确监理岗位职责，严格监理检查制度。对工程的重要环节和关键部位，必须实施全过程的现场监理旁站，并有完整的监理旁站记录；严格计量支付；合理有效地控制进度。</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（六）乙方与甲方、承包人或指定分包人之间有关工程质量、进度和费用的一切往来函件、报表均应分类编号归档保存；监理资料应真实、完整。</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b/>
          <w:bCs/>
          <w:sz w:val="24"/>
          <w:szCs w:val="24"/>
          <w:highlight w:val="none"/>
        </w:rPr>
        <w:t>第五条</w:t>
      </w:r>
      <w:r>
        <w:rPr>
          <w:rFonts w:hint="eastAsia" w:ascii="宋体" w:hAnsi="宋体" w:eastAsia="宋体" w:cs="宋体"/>
          <w:sz w:val="24"/>
          <w:szCs w:val="24"/>
          <w:highlight w:val="none"/>
        </w:rPr>
        <w:t xml:space="preserve">  违约责任</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（一）甲方及其工作人员违反本合同第二、三条，按管理权限，依据国务院《建设工程质量管理条例》有关规定给予相应的处罚；涉嫌犯罪的，依法追究刑事责任；给乙方单位造成经济损失的，应予以赔偿。</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（二）乙方及其工作人员违反本合同第二、四条，按管理权限，依国务院《建设工程质量管理条例》有关规定给予相应的处罚；涉嫌犯罪的，依法追究刑事责任；给甲方单位造成经济损失的，应予以赔偿。</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b/>
          <w:bCs/>
          <w:sz w:val="24"/>
          <w:szCs w:val="24"/>
          <w:highlight w:val="none"/>
        </w:rPr>
        <w:t>第六条</w:t>
      </w:r>
      <w:r>
        <w:rPr>
          <w:rFonts w:hint="eastAsia" w:ascii="宋体" w:hAnsi="宋体" w:eastAsia="宋体" w:cs="宋体"/>
          <w:sz w:val="24"/>
          <w:szCs w:val="24"/>
          <w:highlight w:val="none"/>
        </w:rPr>
        <w:t xml:space="preserve">  本合同有效期 为甲乙双方自签署之日起至该工程项目设计使用年限之日止。</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第七条  </w:t>
      </w:r>
      <w:r>
        <w:rPr>
          <w:rFonts w:hint="eastAsia" w:ascii="宋体" w:hAnsi="宋体" w:eastAsia="宋体" w:cs="宋体"/>
          <w:sz w:val="24"/>
          <w:szCs w:val="24"/>
          <w:highlight w:val="none"/>
        </w:rPr>
        <w:t>本合同作为本工程监理服务合同协议书的附件。</w:t>
      </w:r>
    </w:p>
    <w:p>
      <w:pPr>
        <w:pStyle w:val="44"/>
        <w:numPr>
          <w:ilvl w:val="0"/>
          <w:numId w:val="4"/>
        </w:num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本合同甲、乙双方各执一份，递交双方监督单位一份。</w:t>
      </w:r>
    </w:p>
    <w:p>
      <w:pPr>
        <w:pStyle w:val="44"/>
        <w:spacing w:line="420" w:lineRule="exact"/>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w:t>
      </w:r>
      <w:r>
        <w:rPr>
          <w:rFonts w:hint="eastAsia" w:ascii="宋体" w:hAnsi="宋体" w:eastAsia="宋体" w:cs="宋体"/>
          <w:sz w:val="24"/>
          <w:szCs w:val="24"/>
          <w:highlight w:val="none"/>
          <w:u w:val="single"/>
        </w:rPr>
        <w:t xml:space="preserve">          （盖章）</w:t>
      </w:r>
      <w:r>
        <w:rPr>
          <w:rFonts w:hint="eastAsia" w:ascii="宋体" w:hAnsi="宋体" w:eastAsia="宋体" w:cs="宋体"/>
          <w:sz w:val="24"/>
          <w:szCs w:val="24"/>
          <w:highlight w:val="none"/>
        </w:rPr>
        <w:t xml:space="preserve">   监理人：</w:t>
      </w:r>
      <w:r>
        <w:rPr>
          <w:rFonts w:hint="eastAsia" w:ascii="宋体" w:hAnsi="宋体" w:eastAsia="宋体" w:cs="宋体"/>
          <w:sz w:val="24"/>
          <w:szCs w:val="24"/>
          <w:highlight w:val="none"/>
          <w:u w:val="single"/>
        </w:rPr>
        <w:t xml:space="preserve">                  （盖章）</w:t>
      </w:r>
    </w:p>
    <w:p>
      <w:pPr>
        <w:pStyle w:val="44"/>
        <w:spacing w:line="420" w:lineRule="exact"/>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                          法定代表人或</w:t>
      </w:r>
    </w:p>
    <w:p>
      <w:pPr>
        <w:pStyle w:val="44"/>
        <w:spacing w:line="420" w:lineRule="exact"/>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其授权代理人：</w:t>
      </w:r>
      <w:r>
        <w:rPr>
          <w:rFonts w:hint="eastAsia" w:ascii="宋体" w:hAnsi="宋体" w:eastAsia="宋体" w:cs="宋体"/>
          <w:sz w:val="24"/>
          <w:szCs w:val="24"/>
          <w:highlight w:val="none"/>
          <w:u w:val="single"/>
        </w:rPr>
        <w:t xml:space="preserve">         （签名）</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其授权代理人：</w:t>
      </w:r>
      <w:r>
        <w:rPr>
          <w:rFonts w:hint="eastAsia" w:ascii="宋体" w:hAnsi="宋体" w:eastAsia="宋体" w:cs="宋体"/>
          <w:sz w:val="24"/>
          <w:szCs w:val="24"/>
          <w:highlight w:val="none"/>
          <w:u w:val="single"/>
        </w:rPr>
        <w:t xml:space="preserve">         （签名）</w:t>
      </w:r>
    </w:p>
    <w:p>
      <w:pPr>
        <w:pStyle w:val="44"/>
        <w:spacing w:line="420" w:lineRule="exact"/>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地址：</w:t>
      </w:r>
      <w:r>
        <w:rPr>
          <w:rFonts w:hint="eastAsia" w:ascii="宋体" w:hAnsi="宋体" w:eastAsia="宋体" w:cs="宋体"/>
          <w:sz w:val="24"/>
          <w:szCs w:val="24"/>
          <w:highlight w:val="none"/>
          <w:u w:val="single"/>
        </w:rPr>
        <w:t xml:space="preserve">                                 </w:t>
      </w:r>
    </w:p>
    <w:p>
      <w:pPr>
        <w:pStyle w:val="44"/>
        <w:spacing w:line="420" w:lineRule="exact"/>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电话：</w:t>
      </w:r>
      <w:r>
        <w:rPr>
          <w:rFonts w:hint="eastAsia" w:ascii="宋体" w:hAnsi="宋体" w:eastAsia="宋体" w:cs="宋体"/>
          <w:sz w:val="24"/>
          <w:szCs w:val="24"/>
          <w:highlight w:val="none"/>
          <w:u w:val="single"/>
        </w:rPr>
        <w:t xml:space="preserve">                                 </w:t>
      </w:r>
    </w:p>
    <w:p>
      <w:pPr>
        <w:pStyle w:val="44"/>
        <w:spacing w:line="420" w:lineRule="exact"/>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               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pStyle w:val="44"/>
        <w:spacing w:line="360" w:lineRule="auto"/>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bookmarkStart w:id="452" w:name="_Toc454259698"/>
      <w:bookmarkStart w:id="453" w:name="_Toc454259529"/>
      <w:bookmarkStart w:id="454" w:name="_Toc441077049"/>
    </w:p>
    <w:p>
      <w:pPr>
        <w:pStyle w:val="44"/>
        <w:spacing w:line="360" w:lineRule="auto"/>
        <w:outlineLvl w:val="2"/>
        <w:rPr>
          <w:rFonts w:hint="eastAsia" w:ascii="宋体" w:hAnsi="宋体" w:eastAsia="宋体" w:cs="宋体"/>
          <w:sz w:val="24"/>
          <w:szCs w:val="24"/>
          <w:highlight w:val="none"/>
        </w:rPr>
      </w:pPr>
      <w:bookmarkStart w:id="455" w:name="_Toc28265992"/>
      <w:bookmarkStart w:id="456" w:name="_Toc26106956"/>
      <w:bookmarkStart w:id="457" w:name="_Toc28266236"/>
      <w:r>
        <w:rPr>
          <w:rFonts w:hint="eastAsia" w:ascii="宋体" w:hAnsi="宋体" w:eastAsia="宋体" w:cs="宋体"/>
          <w:sz w:val="24"/>
          <w:szCs w:val="24"/>
          <w:highlight w:val="none"/>
        </w:rPr>
        <w:t>附件五：安全监理责任合同格式</w:t>
      </w:r>
      <w:bookmarkEnd w:id="452"/>
      <w:bookmarkEnd w:id="453"/>
      <w:bookmarkEnd w:id="454"/>
      <w:bookmarkEnd w:id="455"/>
      <w:bookmarkEnd w:id="456"/>
      <w:bookmarkEnd w:id="457"/>
    </w:p>
    <w:p>
      <w:pPr>
        <w:pStyle w:val="44"/>
        <w:spacing w:line="520" w:lineRule="exact"/>
        <w:jc w:val="center"/>
        <w:rPr>
          <w:rFonts w:hint="eastAsia" w:ascii="宋体" w:hAnsi="宋体" w:eastAsia="宋体" w:cs="宋体"/>
          <w:b/>
          <w:bCs/>
          <w:sz w:val="24"/>
          <w:szCs w:val="24"/>
          <w:highlight w:val="none"/>
        </w:rPr>
      </w:pPr>
      <w:r>
        <w:rPr>
          <w:rFonts w:hint="eastAsia" w:ascii="宋体" w:hAnsi="宋体" w:eastAsia="宋体" w:cs="宋体"/>
          <w:b/>
          <w:sz w:val="24"/>
          <w:szCs w:val="24"/>
          <w:highlight w:val="none"/>
        </w:rPr>
        <w:t>安全监理责任合同</w:t>
      </w:r>
    </w:p>
    <w:p>
      <w:pPr>
        <w:pStyle w:val="44"/>
        <w:spacing w:line="440" w:lineRule="exact"/>
        <w:ind w:firstLine="2400"/>
        <w:jc w:val="center"/>
        <w:rPr>
          <w:rFonts w:hint="eastAsia" w:ascii="宋体" w:hAnsi="宋体" w:eastAsia="宋体" w:cs="宋体"/>
          <w:b/>
          <w:bCs/>
          <w:sz w:val="24"/>
          <w:szCs w:val="24"/>
          <w:highlight w:val="none"/>
        </w:rPr>
      </w:pP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根据国务院《建设工程安全生产管理条例》，交通运输部《公路水运工程安全生产监督管理办法》，为在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工程监理服务合同的实施过程中切实搞好本工程的安全生产管理工作，发包人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（以下简称“甲方”）与监理人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（以下简称“乙方”）签订如下安全监理责任合同：</w:t>
      </w:r>
    </w:p>
    <w:p>
      <w:pPr>
        <w:pStyle w:val="44"/>
        <w:spacing w:line="44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一、甲方职责</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1．严格遵守国家有关安全生产的法律法规，支持乙方按条例要求对规定的施工安全实施监理。</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2．按照“安全第一、预防为主、综合治理”、坚持“管生产必须管安全”和“党政同责、一岗双责、齐抓共管”的原则进行安全生产管理，做到生产与安全工作同时计划、布置、检查、总结和评比。</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3．重要的安全设施必须坚持与主体工程“三同时”的原则，即：同时设计、审批，同时施工，同时验收，投入使用。</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4．定期召开安全生产调度会，及时传达中央及地方有关安全生产的精神。</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5．组织对施工现场的安全生产检查，监督承包人及时处理发现的各项安全隐患。</w:t>
      </w:r>
    </w:p>
    <w:p>
      <w:pPr>
        <w:pStyle w:val="44"/>
        <w:spacing w:line="44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二、乙方职责</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1．督促承包人严格遵守国家有关安全生产的法律法规、交通运输部《公路水运工程安全生产监督管理办法》、《公路工程施工安全技术规程》（JTG F90—2015）和《公路筑养路机械操作规程》有关安全生产的规定，认真执行工程承包合同中的有关安全要求。</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坚持“安全第一、预防为主、综合治理”、“管生产必须管安全”和“党政同责、一岗双责、齐抓共管”的原则，督促承包人加强安全生产宣传教育，增强全员安全生产意识，建立健全各项安全生产的管理机构和安全生产管理制度，配备专职及兼职安全检查人员，有组织有领导地开展安全生产活动。</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 建立健全安全监理制度，加强安全知识教育培训，明确各岗位监理人员的安全监理职责，增强安全意识。</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4．在审查施工组织设计的同时，要同步审查施工组织设计中的安全技术措施，审查专项施工方案是否符合工程建设强制性标准。</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5．在实施监理过程中，发现存在安全事故隐患的，应立即要求承包人整改；情况严重的，应立即要求承包人停止施工，并及时报告发包人。承包人拒不整改或不停止施工的，乙方应及时向有关主管部门报告。</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6．乙方及其监理工程师应当按照法律、法规和工程建设强制性标准实施监理，并对建设工程安全生产承担监理责任。</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乙方应督促承包人按照本工程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pPr>
        <w:pStyle w:val="44"/>
        <w:spacing w:line="44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三、违约责任</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如因甲方或乙方违约造成安全事故，根据国务院《建设工程安全生产管理条例》，交通运输部《公路水运工程安全生产监督管理办法》，将依法追究责任。</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本合同正本一式二份，副本八份，合同双方各执正本一份，副本四份。由双方法定代表人或其授权代理人签署并加盖公章后生效，全部工程竣工验收后失效。</w:t>
      </w:r>
    </w:p>
    <w:p>
      <w:pPr>
        <w:pStyle w:val="44"/>
        <w:spacing w:line="440" w:lineRule="exact"/>
        <w:rPr>
          <w:rFonts w:hint="eastAsia" w:ascii="宋体" w:hAnsi="宋体" w:eastAsia="宋体" w:cs="宋体"/>
          <w:sz w:val="24"/>
          <w:szCs w:val="24"/>
          <w:highlight w:val="none"/>
        </w:rPr>
      </w:pPr>
    </w:p>
    <w:p>
      <w:pPr>
        <w:pStyle w:val="44"/>
        <w:spacing w:line="440" w:lineRule="exact"/>
        <w:rPr>
          <w:rFonts w:hint="eastAsia" w:ascii="宋体" w:hAnsi="宋体" w:eastAsia="宋体" w:cs="宋体"/>
          <w:sz w:val="24"/>
          <w:szCs w:val="24"/>
          <w:highlight w:val="none"/>
        </w:rPr>
      </w:pPr>
    </w:p>
    <w:p>
      <w:pPr>
        <w:pStyle w:val="44"/>
        <w:spacing w:line="440" w:lineRule="exact"/>
        <w:rPr>
          <w:rFonts w:hint="eastAsia" w:ascii="宋体" w:hAnsi="宋体" w:eastAsia="宋体" w:cs="宋体"/>
          <w:sz w:val="24"/>
          <w:szCs w:val="24"/>
          <w:highlight w:val="none"/>
        </w:rPr>
      </w:pPr>
    </w:p>
    <w:p>
      <w:pPr>
        <w:pStyle w:val="44"/>
        <w:spacing w:line="440" w:lineRule="exact"/>
        <w:rPr>
          <w:rFonts w:hint="eastAsia" w:ascii="宋体" w:hAnsi="宋体" w:eastAsia="宋体" w:cs="宋体"/>
          <w:sz w:val="24"/>
          <w:szCs w:val="24"/>
          <w:highlight w:val="none"/>
        </w:rPr>
      </w:pPr>
    </w:p>
    <w:p>
      <w:pPr>
        <w:pStyle w:val="44"/>
        <w:spacing w:line="440" w:lineRule="exact"/>
        <w:rPr>
          <w:rFonts w:hint="eastAsia" w:ascii="宋体" w:hAnsi="宋体" w:eastAsia="宋体" w:cs="宋体"/>
          <w:sz w:val="24"/>
          <w:szCs w:val="24"/>
          <w:highlight w:val="none"/>
        </w:rPr>
      </w:pPr>
    </w:p>
    <w:p>
      <w:pPr>
        <w:pStyle w:val="44"/>
        <w:spacing w:line="420" w:lineRule="exact"/>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w:t>
      </w:r>
      <w:r>
        <w:rPr>
          <w:rFonts w:hint="eastAsia" w:ascii="宋体" w:hAnsi="宋体" w:eastAsia="宋体" w:cs="宋体"/>
          <w:sz w:val="24"/>
          <w:szCs w:val="24"/>
          <w:highlight w:val="none"/>
          <w:u w:val="single"/>
        </w:rPr>
        <w:t xml:space="preserve">               （盖章）</w:t>
      </w:r>
      <w:r>
        <w:rPr>
          <w:rFonts w:hint="eastAsia" w:ascii="宋体" w:hAnsi="宋体" w:eastAsia="宋体" w:cs="宋体"/>
          <w:sz w:val="24"/>
          <w:szCs w:val="24"/>
          <w:highlight w:val="none"/>
        </w:rPr>
        <w:t xml:space="preserve">   监理人：</w:t>
      </w:r>
      <w:r>
        <w:rPr>
          <w:rFonts w:hint="eastAsia" w:ascii="宋体" w:hAnsi="宋体" w:eastAsia="宋体" w:cs="宋体"/>
          <w:sz w:val="24"/>
          <w:szCs w:val="24"/>
          <w:highlight w:val="none"/>
          <w:u w:val="single"/>
        </w:rPr>
        <w:t xml:space="preserve">                （盖章）</w:t>
      </w:r>
    </w:p>
    <w:p>
      <w:pPr>
        <w:pStyle w:val="44"/>
        <w:spacing w:line="420" w:lineRule="exact"/>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                      法定代表人或</w:t>
      </w:r>
    </w:p>
    <w:p>
      <w:pPr>
        <w:pStyle w:val="44"/>
        <w:spacing w:line="420" w:lineRule="exact"/>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其授权代理人：</w:t>
      </w:r>
      <w:r>
        <w:rPr>
          <w:rFonts w:hint="eastAsia" w:ascii="宋体" w:hAnsi="宋体" w:eastAsia="宋体" w:cs="宋体"/>
          <w:sz w:val="24"/>
          <w:szCs w:val="24"/>
          <w:highlight w:val="none"/>
          <w:u w:val="single"/>
        </w:rPr>
        <w:t xml:space="preserve">          （签名）</w:t>
      </w:r>
      <w:r>
        <w:rPr>
          <w:rFonts w:hint="eastAsia" w:ascii="宋体" w:hAnsi="宋体" w:eastAsia="宋体" w:cs="宋体"/>
          <w:sz w:val="24"/>
          <w:szCs w:val="24"/>
          <w:highlight w:val="none"/>
        </w:rPr>
        <w:t xml:space="preserve">   其授权代理人：</w:t>
      </w:r>
      <w:r>
        <w:rPr>
          <w:rFonts w:hint="eastAsia" w:ascii="宋体" w:hAnsi="宋体" w:eastAsia="宋体" w:cs="宋体"/>
          <w:sz w:val="24"/>
          <w:szCs w:val="24"/>
          <w:highlight w:val="none"/>
          <w:u w:val="single"/>
        </w:rPr>
        <w:t xml:space="preserve">         （签名）</w:t>
      </w:r>
    </w:p>
    <w:p>
      <w:pPr>
        <w:pStyle w:val="44"/>
        <w:spacing w:line="420" w:lineRule="exact"/>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地址：</w:t>
      </w:r>
      <w:r>
        <w:rPr>
          <w:rFonts w:hint="eastAsia" w:ascii="宋体" w:hAnsi="宋体" w:eastAsia="宋体" w:cs="宋体"/>
          <w:sz w:val="24"/>
          <w:szCs w:val="24"/>
          <w:highlight w:val="none"/>
          <w:u w:val="single"/>
        </w:rPr>
        <w:t xml:space="preserve">                                 </w:t>
      </w:r>
    </w:p>
    <w:p>
      <w:pPr>
        <w:pStyle w:val="44"/>
        <w:spacing w:line="420" w:lineRule="exact"/>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电话：</w:t>
      </w:r>
      <w:r>
        <w:rPr>
          <w:rFonts w:hint="eastAsia" w:ascii="宋体" w:hAnsi="宋体" w:eastAsia="宋体" w:cs="宋体"/>
          <w:sz w:val="24"/>
          <w:szCs w:val="24"/>
          <w:highlight w:val="none"/>
          <w:u w:val="single"/>
        </w:rPr>
        <w:t xml:space="preserve">                                 </w:t>
      </w:r>
    </w:p>
    <w:p>
      <w:pPr>
        <w:pStyle w:val="44"/>
        <w:spacing w:line="4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           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pStyle w:val="44"/>
        <w:spacing w:line="360" w:lineRule="auto"/>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bookmarkStart w:id="458" w:name="_Toc454259699"/>
      <w:bookmarkStart w:id="459" w:name="_Toc441077050"/>
      <w:bookmarkStart w:id="460" w:name="_Toc454259530"/>
    </w:p>
    <w:p>
      <w:pPr>
        <w:pStyle w:val="44"/>
        <w:spacing w:line="360" w:lineRule="auto"/>
        <w:outlineLvl w:val="2"/>
        <w:rPr>
          <w:rFonts w:hint="eastAsia" w:ascii="宋体" w:hAnsi="宋体" w:eastAsia="宋体" w:cs="宋体"/>
          <w:sz w:val="24"/>
          <w:szCs w:val="24"/>
          <w:highlight w:val="none"/>
        </w:rPr>
      </w:pPr>
      <w:bookmarkStart w:id="461" w:name="_Toc26106957"/>
      <w:bookmarkStart w:id="462" w:name="_Toc28265993"/>
      <w:bookmarkStart w:id="463" w:name="_Toc28266237"/>
      <w:r>
        <w:rPr>
          <w:rFonts w:hint="eastAsia" w:ascii="宋体" w:hAnsi="宋体" w:eastAsia="宋体" w:cs="宋体"/>
          <w:sz w:val="24"/>
          <w:szCs w:val="24"/>
          <w:highlight w:val="none"/>
        </w:rPr>
        <w:t>附件六：环境保护监理责任合同格式</w:t>
      </w:r>
      <w:bookmarkEnd w:id="458"/>
      <w:bookmarkEnd w:id="459"/>
      <w:bookmarkEnd w:id="460"/>
      <w:bookmarkEnd w:id="461"/>
      <w:bookmarkEnd w:id="462"/>
      <w:bookmarkEnd w:id="463"/>
    </w:p>
    <w:p>
      <w:pPr>
        <w:pStyle w:val="44"/>
        <w:spacing w:line="440" w:lineRule="exact"/>
        <w:jc w:val="center"/>
        <w:rPr>
          <w:rFonts w:hint="eastAsia" w:ascii="宋体" w:hAnsi="宋体" w:eastAsia="宋体" w:cs="宋体"/>
          <w:b/>
          <w:sz w:val="24"/>
          <w:szCs w:val="24"/>
          <w:highlight w:val="none"/>
        </w:rPr>
      </w:pPr>
    </w:p>
    <w:p>
      <w:pPr>
        <w:pStyle w:val="44"/>
        <w:spacing w:line="440" w:lineRule="exact"/>
        <w:jc w:val="center"/>
        <w:rPr>
          <w:rFonts w:hint="eastAsia" w:ascii="宋体" w:hAnsi="宋体" w:eastAsia="宋体" w:cs="宋体"/>
          <w:b/>
          <w:bCs/>
          <w:sz w:val="24"/>
          <w:szCs w:val="24"/>
          <w:highlight w:val="none"/>
        </w:rPr>
      </w:pPr>
      <w:r>
        <w:rPr>
          <w:rFonts w:hint="eastAsia" w:ascii="宋体" w:hAnsi="宋体" w:eastAsia="宋体" w:cs="宋体"/>
          <w:b/>
          <w:sz w:val="24"/>
          <w:szCs w:val="24"/>
          <w:highlight w:val="none"/>
        </w:rPr>
        <w:t>环境保护监理责任合同</w:t>
      </w:r>
    </w:p>
    <w:p>
      <w:pPr>
        <w:pStyle w:val="44"/>
        <w:spacing w:line="440" w:lineRule="exact"/>
        <w:ind w:firstLine="2400"/>
        <w:jc w:val="center"/>
        <w:rPr>
          <w:rFonts w:hint="eastAsia" w:ascii="宋体" w:hAnsi="宋体" w:eastAsia="宋体" w:cs="宋体"/>
          <w:b/>
          <w:bCs/>
          <w:sz w:val="24"/>
          <w:szCs w:val="24"/>
          <w:highlight w:val="none"/>
        </w:rPr>
      </w:pP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根据交通运输部《关于开展交通工程环境监理工作的通知》（交环发[2004]314号）和有关规范要求，为在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工程施工监理服务过程中切实做好环境保护监理工作，发包人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（以下简称“甲方”）与监理人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（以下简称“乙方”）签订如下环境保护监理责任合同：</w:t>
      </w:r>
    </w:p>
    <w:p>
      <w:pPr>
        <w:pStyle w:val="44"/>
        <w:spacing w:line="44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一、甲方职责</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1．严格遵守国家有关环境保护的法律法规，贯彻执行交通主管部门和环保主管部门有关施工环境保护的规章和规定，结合本工程实际，提出本工程环境保护管理实施意见和具体要求。</w:t>
      </w:r>
    </w:p>
    <w:p>
      <w:pPr>
        <w:pStyle w:val="44"/>
        <w:widowControl/>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以“不破坏就是最好的保护，在设计上最大限度地保护生态环境，在施工中最小程度地破坏和最大限度地恢复生态环境”为行动准则，协助乙方做好施工环境调查，负责与当地有关部门的协调工作，做到交通建设与环境保护协调发展。</w:t>
      </w:r>
    </w:p>
    <w:p>
      <w:pPr>
        <w:pStyle w:val="44"/>
        <w:widowControl/>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3．坚持“预防为主，防治结合”，“谁污染谁治理，谁开发谁保护”的原则，支持乙方按法律、法规、规章和合同要求对本工程施工环境保护实施监理。</w:t>
      </w:r>
    </w:p>
    <w:p>
      <w:pPr>
        <w:pStyle w:val="44"/>
        <w:widowControl/>
        <w:spacing w:line="440" w:lineRule="exact"/>
        <w:ind w:firstLine="480" w:firstLineChars="200"/>
        <w:jc w:val="left"/>
        <w:rPr>
          <w:rFonts w:hint="eastAsia" w:ascii="宋体" w:hAnsi="宋体" w:eastAsia="宋体" w:cs="宋体"/>
          <w:vanish/>
          <w:kern w:val="0"/>
          <w:sz w:val="24"/>
          <w:szCs w:val="24"/>
          <w:highlight w:val="none"/>
        </w:rPr>
      </w:pPr>
      <w:r>
        <w:rPr>
          <w:rFonts w:hint="eastAsia" w:ascii="宋体" w:hAnsi="宋体" w:eastAsia="宋体" w:cs="宋体"/>
          <w:vanish/>
          <w:kern w:val="0"/>
          <w:sz w:val="24"/>
          <w:szCs w:val="24"/>
          <w:highlight w:val="none"/>
        </w:rPr>
        <w:t xml:space="preserve"> </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4．根据“三同时制度” 即环境保护设施与主体工程同时设计、同时施工、同时投入使用的要求，负责督促设计单位全面落实项目环境影响评价文件提出的环保设施设计和取土场、弃土场的设置及边坡防护等设计要求。</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5．委托当地环境监测部门进行必要的环境监测，组织对施工现场的环境保护检查，监督承包人做好各项环境保护工作。</w:t>
      </w:r>
    </w:p>
    <w:p>
      <w:pPr>
        <w:pStyle w:val="44"/>
        <w:spacing w:line="44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二、乙方职责</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1．严格遵守国家有关环境保护的法律法规，贯彻执行交通运输主管部门和环保主管部门有关施工环境保护的规章和规定，依据行业主管部门颁发的监理规范，全面履行工程施工环境保护监理职责。</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依据本项目环境影响评价文件和设计文件，负责对本项目规定范围内的环境现状进行全面踏勘，核对设计文件中有关环境保护设施设计的合理性，并对项目环境影响评价文件之外出现的新污染源等情况及时报告甲方。</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审查施工组织设计、施工方案是否按设计文件和环境影响评价报告的有关要求制订了施工环境保护措施，督促承包人加强建立健全环境保护管理机构和管理制度，通过巡视、旁站等方式，检查各项环境保护措施的落实情况。</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4．负责处理承包人违反有关环境保护规定、未按合同要求落实环保措施的不良行为；情况严重的，应及时报告建设单位，并签发《工程暂停令》要求承包人暂时停工。</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5．乙方应加强自身建设，按照合同约定配备环境保护监理人员，并持证上岗；制订环境保护监理管理制度，明确岗位职责和责任分工。</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6．配合当地环保主管部门的有关工作。</w:t>
      </w:r>
    </w:p>
    <w:p>
      <w:pPr>
        <w:pStyle w:val="44"/>
        <w:spacing w:line="44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三、违约责任</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如因甲方或乙方违约造成环境污染事故、环境破坏事件，将依法追究责任。</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本合同正本一式二份，副本八份，合同双方各执正本一份，副本四份。由双方法定代表人或其授权的代理人签署并加盖公章后生效，全部工程竣工验收后失效。</w:t>
      </w:r>
    </w:p>
    <w:p>
      <w:pPr>
        <w:pStyle w:val="44"/>
        <w:spacing w:line="440" w:lineRule="exact"/>
        <w:rPr>
          <w:rFonts w:hint="eastAsia" w:ascii="宋体" w:hAnsi="宋体" w:eastAsia="宋体" w:cs="宋体"/>
          <w:sz w:val="24"/>
          <w:szCs w:val="24"/>
          <w:highlight w:val="none"/>
        </w:rPr>
      </w:pPr>
    </w:p>
    <w:p>
      <w:pPr>
        <w:pStyle w:val="44"/>
        <w:spacing w:line="440" w:lineRule="exact"/>
        <w:rPr>
          <w:rFonts w:hint="eastAsia" w:ascii="宋体" w:hAnsi="宋体" w:eastAsia="宋体" w:cs="宋体"/>
          <w:sz w:val="24"/>
          <w:szCs w:val="24"/>
          <w:highlight w:val="none"/>
        </w:rPr>
      </w:pPr>
    </w:p>
    <w:p>
      <w:pPr>
        <w:pStyle w:val="44"/>
        <w:spacing w:line="440" w:lineRule="exact"/>
        <w:rPr>
          <w:rFonts w:hint="eastAsia" w:ascii="宋体" w:hAnsi="宋体" w:eastAsia="宋体" w:cs="宋体"/>
          <w:sz w:val="24"/>
          <w:szCs w:val="24"/>
          <w:highlight w:val="none"/>
        </w:rPr>
      </w:pPr>
    </w:p>
    <w:p>
      <w:pPr>
        <w:pStyle w:val="44"/>
        <w:spacing w:line="420" w:lineRule="exact"/>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甲方单位：</w:t>
      </w:r>
      <w:r>
        <w:rPr>
          <w:rFonts w:hint="eastAsia" w:ascii="宋体" w:hAnsi="宋体" w:eastAsia="宋体" w:cs="宋体"/>
          <w:sz w:val="24"/>
          <w:szCs w:val="24"/>
          <w:highlight w:val="none"/>
          <w:u w:val="single"/>
        </w:rPr>
        <w:t xml:space="preserve">             （盖章）</w:t>
      </w:r>
      <w:r>
        <w:rPr>
          <w:rFonts w:hint="eastAsia" w:ascii="宋体" w:hAnsi="宋体" w:eastAsia="宋体" w:cs="宋体"/>
          <w:sz w:val="24"/>
          <w:szCs w:val="24"/>
          <w:highlight w:val="none"/>
        </w:rPr>
        <w:t xml:space="preserve">   乙方单位：</w:t>
      </w:r>
      <w:r>
        <w:rPr>
          <w:rFonts w:hint="eastAsia" w:ascii="宋体" w:hAnsi="宋体" w:eastAsia="宋体" w:cs="宋体"/>
          <w:sz w:val="24"/>
          <w:szCs w:val="24"/>
          <w:highlight w:val="none"/>
          <w:u w:val="single"/>
        </w:rPr>
        <w:t xml:space="preserve">              （盖章）</w:t>
      </w:r>
    </w:p>
    <w:p>
      <w:pPr>
        <w:pStyle w:val="44"/>
        <w:spacing w:line="420" w:lineRule="exact"/>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                      法定代表人或</w:t>
      </w:r>
    </w:p>
    <w:p>
      <w:pPr>
        <w:pStyle w:val="44"/>
        <w:spacing w:line="420" w:lineRule="exact"/>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其授权的代理人：</w:t>
      </w:r>
      <w:r>
        <w:rPr>
          <w:rFonts w:hint="eastAsia" w:ascii="宋体" w:hAnsi="宋体" w:eastAsia="宋体" w:cs="宋体"/>
          <w:sz w:val="24"/>
          <w:szCs w:val="24"/>
          <w:highlight w:val="none"/>
          <w:u w:val="single"/>
        </w:rPr>
        <w:t xml:space="preserve">        （签名）</w:t>
      </w:r>
      <w:r>
        <w:rPr>
          <w:rFonts w:hint="eastAsia" w:ascii="宋体" w:hAnsi="宋体" w:eastAsia="宋体" w:cs="宋体"/>
          <w:sz w:val="24"/>
          <w:szCs w:val="24"/>
          <w:highlight w:val="none"/>
        </w:rPr>
        <w:t xml:space="preserve">   其授权的代理人：</w:t>
      </w:r>
      <w:r>
        <w:rPr>
          <w:rFonts w:hint="eastAsia" w:ascii="宋体" w:hAnsi="宋体" w:eastAsia="宋体" w:cs="宋体"/>
          <w:sz w:val="24"/>
          <w:szCs w:val="24"/>
          <w:highlight w:val="none"/>
          <w:u w:val="single"/>
        </w:rPr>
        <w:t xml:space="preserve">          （签名）</w:t>
      </w:r>
    </w:p>
    <w:p>
      <w:pPr>
        <w:pStyle w:val="44"/>
        <w:spacing w:line="420" w:lineRule="exact"/>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地址：</w:t>
      </w:r>
      <w:r>
        <w:rPr>
          <w:rFonts w:hint="eastAsia" w:ascii="宋体" w:hAnsi="宋体" w:eastAsia="宋体" w:cs="宋体"/>
          <w:sz w:val="24"/>
          <w:szCs w:val="24"/>
          <w:highlight w:val="none"/>
          <w:u w:val="single"/>
        </w:rPr>
        <w:t xml:space="preserve">                                 </w:t>
      </w:r>
    </w:p>
    <w:p>
      <w:pPr>
        <w:pStyle w:val="44"/>
        <w:spacing w:line="420" w:lineRule="exact"/>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电话：</w:t>
      </w:r>
      <w:r>
        <w:rPr>
          <w:rFonts w:hint="eastAsia" w:ascii="宋体" w:hAnsi="宋体" w:eastAsia="宋体" w:cs="宋体"/>
          <w:sz w:val="24"/>
          <w:szCs w:val="24"/>
          <w:highlight w:val="none"/>
          <w:u w:val="single"/>
        </w:rPr>
        <w:t xml:space="preserve">                                 </w:t>
      </w:r>
    </w:p>
    <w:p>
      <w:pPr>
        <w:pStyle w:val="44"/>
        <w:spacing w:line="420" w:lineRule="exact"/>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           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pStyle w:val="44"/>
        <w:spacing w:line="420" w:lineRule="exact"/>
        <w:ind w:left="420" w:leftChars="200" w:firstLine="1428" w:firstLineChars="595"/>
        <w:rPr>
          <w:rFonts w:hint="eastAsia" w:ascii="宋体" w:hAnsi="宋体" w:eastAsia="宋体" w:cs="宋体"/>
          <w:sz w:val="24"/>
          <w:szCs w:val="24"/>
          <w:highlight w:val="none"/>
        </w:rPr>
      </w:pPr>
    </w:p>
    <w:p>
      <w:pPr>
        <w:pStyle w:val="44"/>
        <w:spacing w:line="420" w:lineRule="exact"/>
        <w:ind w:left="420" w:leftChars="200" w:firstLine="1428" w:firstLineChars="595"/>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pStyle w:val="44"/>
        <w:spacing w:line="360" w:lineRule="auto"/>
        <w:outlineLvl w:val="2"/>
        <w:rPr>
          <w:rFonts w:hint="eastAsia" w:ascii="宋体" w:hAnsi="宋体" w:eastAsia="宋体" w:cs="宋体"/>
          <w:sz w:val="24"/>
          <w:szCs w:val="24"/>
          <w:highlight w:val="none"/>
        </w:rPr>
      </w:pPr>
      <w:bookmarkStart w:id="464" w:name="_Toc28265994"/>
      <w:bookmarkStart w:id="465" w:name="_Toc28266238"/>
      <w:bookmarkStart w:id="466" w:name="_Toc15508401"/>
      <w:bookmarkStart w:id="467" w:name="_Toc16975907"/>
      <w:bookmarkStart w:id="468" w:name="_Toc485240833"/>
      <w:bookmarkStart w:id="469" w:name="_Toc26106958"/>
      <w:bookmarkStart w:id="470" w:name="_Toc489610757"/>
      <w:bookmarkStart w:id="471" w:name="_Toc12898965"/>
      <w:bookmarkStart w:id="472" w:name="_Toc497458561"/>
      <w:r>
        <w:rPr>
          <w:rFonts w:hint="eastAsia" w:ascii="宋体" w:hAnsi="宋体" w:eastAsia="宋体" w:cs="宋体"/>
          <w:sz w:val="24"/>
          <w:szCs w:val="24"/>
          <w:highlight w:val="none"/>
        </w:rPr>
        <w:t>附件七：项目图纸资料保密承诺书格式</w:t>
      </w:r>
      <w:bookmarkEnd w:id="464"/>
      <w:bookmarkEnd w:id="465"/>
      <w:bookmarkEnd w:id="466"/>
      <w:bookmarkEnd w:id="467"/>
      <w:bookmarkEnd w:id="468"/>
      <w:bookmarkEnd w:id="469"/>
      <w:bookmarkEnd w:id="470"/>
      <w:bookmarkEnd w:id="471"/>
      <w:bookmarkEnd w:id="472"/>
    </w:p>
    <w:p>
      <w:pPr>
        <w:pStyle w:val="44"/>
        <w:spacing w:line="440" w:lineRule="exact"/>
        <w:jc w:val="center"/>
        <w:rPr>
          <w:rFonts w:hint="eastAsia" w:ascii="宋体" w:hAnsi="宋体" w:eastAsia="宋体" w:cs="宋体"/>
          <w:b/>
          <w:sz w:val="24"/>
          <w:szCs w:val="24"/>
          <w:highlight w:val="none"/>
        </w:rPr>
      </w:pPr>
    </w:p>
    <w:p>
      <w:pPr>
        <w:pStyle w:val="44"/>
        <w:spacing w:line="440" w:lineRule="exact"/>
        <w:jc w:val="center"/>
        <w:rPr>
          <w:rFonts w:hint="eastAsia" w:ascii="宋体" w:hAnsi="宋体" w:eastAsia="宋体" w:cs="宋体"/>
          <w:b/>
          <w:bCs/>
          <w:sz w:val="24"/>
          <w:szCs w:val="24"/>
          <w:highlight w:val="none"/>
        </w:rPr>
      </w:pPr>
      <w:r>
        <w:rPr>
          <w:rFonts w:hint="eastAsia" w:ascii="宋体" w:hAnsi="宋体" w:eastAsia="宋体" w:cs="宋体"/>
          <w:b/>
          <w:sz w:val="24"/>
          <w:szCs w:val="24"/>
          <w:highlight w:val="none"/>
        </w:rPr>
        <w:t>项目图纸资料保密承诺书</w:t>
      </w:r>
    </w:p>
    <w:p>
      <w:pPr>
        <w:pStyle w:val="44"/>
        <w:spacing w:line="440" w:lineRule="exact"/>
        <w:ind w:firstLine="2400"/>
        <w:jc w:val="center"/>
        <w:rPr>
          <w:rFonts w:hint="eastAsia" w:ascii="宋体" w:hAnsi="宋体" w:eastAsia="宋体" w:cs="宋体"/>
          <w:b/>
          <w:bCs/>
          <w:sz w:val="24"/>
          <w:szCs w:val="24"/>
          <w:highlight w:val="none"/>
        </w:rPr>
      </w:pP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（监理人名称）将完善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工程图纸资料制作、移交、归档等管理制度，严格落实图纸资料管理要求。在本工程实施期间及验收完成后，所有图纸资料均按照内部资料管理，不通过互联网与任何单位和个人进行与本项目有关图纸资料交换传递，不通过任何途径向本项目无关方泄露和传播本项目有关图纸资料。</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我方同时承诺，不通过互联网与任何单位和个人进行与本项目有关图纸资料交换传递，不通过任何途径向本项目无关方泄露和传播本项目有关图纸资料。</w:t>
      </w:r>
    </w:p>
    <w:p>
      <w:pPr>
        <w:pStyle w:val="44"/>
        <w:spacing w:line="440" w:lineRule="exact"/>
        <w:rPr>
          <w:rFonts w:hint="eastAsia" w:ascii="宋体" w:hAnsi="宋体" w:eastAsia="宋体" w:cs="宋体"/>
          <w:sz w:val="24"/>
          <w:szCs w:val="24"/>
          <w:highlight w:val="none"/>
        </w:rPr>
      </w:pPr>
    </w:p>
    <w:p>
      <w:pPr>
        <w:pStyle w:val="44"/>
        <w:spacing w:line="440" w:lineRule="exact"/>
        <w:rPr>
          <w:rFonts w:hint="eastAsia" w:ascii="宋体" w:hAnsi="宋体" w:eastAsia="宋体" w:cs="宋体"/>
          <w:sz w:val="24"/>
          <w:szCs w:val="24"/>
          <w:highlight w:val="none"/>
        </w:rPr>
      </w:pPr>
    </w:p>
    <w:p>
      <w:pPr>
        <w:pStyle w:val="44"/>
        <w:spacing w:line="440" w:lineRule="exact"/>
        <w:rPr>
          <w:rFonts w:hint="eastAsia" w:ascii="宋体" w:hAnsi="宋体" w:eastAsia="宋体" w:cs="宋体"/>
          <w:sz w:val="24"/>
          <w:szCs w:val="24"/>
          <w:highlight w:val="none"/>
        </w:rPr>
      </w:pPr>
    </w:p>
    <w:p>
      <w:pPr>
        <w:pStyle w:val="44"/>
        <w:spacing w:line="420" w:lineRule="exact"/>
        <w:ind w:right="630"/>
        <w:rPr>
          <w:rFonts w:hint="eastAsia" w:ascii="宋体" w:hAnsi="宋体" w:eastAsia="宋体" w:cs="宋体"/>
          <w:sz w:val="24"/>
          <w:szCs w:val="24"/>
          <w:highlight w:val="none"/>
        </w:rPr>
      </w:pPr>
      <w:r>
        <w:rPr>
          <w:rFonts w:hint="eastAsia" w:ascii="宋体" w:hAnsi="宋体" w:eastAsia="宋体" w:cs="宋体"/>
          <w:sz w:val="24"/>
          <w:szCs w:val="24"/>
          <w:highlight w:val="none"/>
        </w:rPr>
        <w:t>承诺人：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（盖监理人单位章）</w:t>
      </w:r>
    </w:p>
    <w:p>
      <w:pPr>
        <w:pStyle w:val="44"/>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法定代表人或其授权的代理人：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（签字）  </w:t>
      </w:r>
    </w:p>
    <w:p>
      <w:pPr>
        <w:pStyle w:val="44"/>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日    </w:t>
      </w:r>
    </w:p>
    <w:p>
      <w:pPr>
        <w:pStyle w:val="44"/>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spacing w:line="360" w:lineRule="auto"/>
        <w:jc w:val="center"/>
        <w:rPr>
          <w:rFonts w:hint="eastAsia" w:ascii="宋体" w:hAnsi="宋体" w:eastAsia="宋体" w:cs="宋体"/>
          <w:b/>
          <w:kern w:val="0"/>
          <w:sz w:val="36"/>
          <w:szCs w:val="36"/>
        </w:rPr>
      </w:pPr>
      <w:r>
        <w:rPr>
          <w:rFonts w:hint="eastAsia" w:ascii="宋体" w:hAnsi="宋体" w:eastAsia="宋体" w:cs="宋体"/>
          <w:b/>
          <w:sz w:val="36"/>
          <w:szCs w:val="36"/>
        </w:rPr>
        <w:t>第五章谈判响应文件格式附件</w:t>
      </w:r>
    </w:p>
    <w:p>
      <w:pPr>
        <w:rPr>
          <w:rFonts w:hint="eastAsia" w:ascii="宋体" w:hAnsi="宋体" w:eastAsia="宋体" w:cs="宋体"/>
          <w:b/>
          <w:kern w:val="0"/>
          <w:sz w:val="28"/>
          <w:szCs w:val="28"/>
        </w:rPr>
      </w:pPr>
      <w:r>
        <w:rPr>
          <w:rFonts w:hint="eastAsia" w:ascii="宋体" w:hAnsi="宋体" w:eastAsia="宋体" w:cs="宋体"/>
          <w:b/>
          <w:kern w:val="0"/>
          <w:sz w:val="28"/>
          <w:szCs w:val="28"/>
        </w:rPr>
        <w:t>附件1                              　　　         本</w:t>
      </w:r>
    </w:p>
    <w:p>
      <w:pPr>
        <w:snapToGrid w:val="0"/>
        <w:spacing w:beforeLines="50" w:after="50" w:line="360" w:lineRule="auto"/>
        <w:rPr>
          <w:rFonts w:hint="eastAsia" w:ascii="宋体" w:hAnsi="宋体" w:eastAsia="宋体" w:cs="宋体"/>
          <w:b/>
          <w:sz w:val="24"/>
        </w:rPr>
      </w:pPr>
    </w:p>
    <w:p>
      <w:pPr>
        <w:spacing w:line="360" w:lineRule="auto"/>
        <w:ind w:right="-110"/>
        <w:jc w:val="center"/>
        <w:rPr>
          <w:rFonts w:hint="eastAsia" w:ascii="宋体" w:hAnsi="宋体" w:eastAsia="宋体" w:cs="宋体"/>
          <w:spacing w:val="40"/>
          <w:sz w:val="52"/>
          <w:szCs w:val="52"/>
        </w:rPr>
      </w:pPr>
      <w:r>
        <w:rPr>
          <w:rFonts w:hint="eastAsia" w:ascii="宋体" w:hAnsi="宋体" w:eastAsia="宋体" w:cs="宋体"/>
          <w:spacing w:val="40"/>
          <w:sz w:val="52"/>
          <w:szCs w:val="52"/>
        </w:rPr>
        <w:t>项目名称</w:t>
      </w:r>
    </w:p>
    <w:p>
      <w:pPr>
        <w:spacing w:beforeLines="100" w:line="360" w:lineRule="auto"/>
        <w:ind w:right="-108"/>
        <w:jc w:val="center"/>
        <w:rPr>
          <w:rFonts w:hint="eastAsia" w:ascii="宋体" w:hAnsi="宋体" w:eastAsia="宋体" w:cs="宋体"/>
          <w:sz w:val="36"/>
          <w:szCs w:val="36"/>
        </w:rPr>
      </w:pPr>
      <w:r>
        <w:rPr>
          <w:rFonts w:hint="eastAsia" w:ascii="宋体" w:hAnsi="宋体" w:eastAsia="宋体" w:cs="宋体"/>
          <w:sz w:val="36"/>
          <w:szCs w:val="36"/>
        </w:rPr>
        <w:t>项目编号：</w:t>
      </w:r>
    </w:p>
    <w:p>
      <w:pPr>
        <w:spacing w:after="100" w:afterAutospacing="1" w:line="800" w:lineRule="exact"/>
        <w:ind w:right="-108"/>
        <w:jc w:val="center"/>
        <w:rPr>
          <w:rFonts w:hint="eastAsia" w:ascii="宋体" w:hAnsi="宋体" w:eastAsia="宋体" w:cs="宋体"/>
          <w:b/>
          <w:spacing w:val="40"/>
          <w:sz w:val="24"/>
        </w:rPr>
      </w:pPr>
    </w:p>
    <w:p>
      <w:pPr>
        <w:spacing w:after="100" w:afterAutospacing="1" w:line="800" w:lineRule="exact"/>
        <w:ind w:right="-108"/>
        <w:jc w:val="center"/>
        <w:rPr>
          <w:rFonts w:hint="eastAsia" w:ascii="宋体" w:hAnsi="宋体" w:eastAsia="宋体" w:cs="宋体"/>
          <w:b/>
          <w:spacing w:val="40"/>
          <w:sz w:val="72"/>
          <w:szCs w:val="72"/>
        </w:rPr>
      </w:pPr>
      <w:r>
        <w:rPr>
          <w:rFonts w:hint="eastAsia" w:ascii="宋体" w:hAnsi="宋体" w:eastAsia="宋体" w:cs="宋体"/>
          <w:b/>
          <w:spacing w:val="40"/>
          <w:sz w:val="72"/>
          <w:szCs w:val="72"/>
        </w:rPr>
        <w:t>谈</w:t>
      </w:r>
    </w:p>
    <w:p>
      <w:pPr>
        <w:spacing w:after="100" w:afterAutospacing="1" w:line="800" w:lineRule="exact"/>
        <w:ind w:right="-108"/>
        <w:jc w:val="center"/>
        <w:rPr>
          <w:rFonts w:hint="eastAsia" w:ascii="宋体" w:hAnsi="宋体" w:eastAsia="宋体" w:cs="宋体"/>
          <w:b/>
          <w:spacing w:val="40"/>
          <w:sz w:val="72"/>
          <w:szCs w:val="72"/>
        </w:rPr>
      </w:pPr>
      <w:r>
        <w:rPr>
          <w:rFonts w:hint="eastAsia" w:ascii="宋体" w:hAnsi="宋体" w:eastAsia="宋体" w:cs="宋体"/>
          <w:b/>
          <w:spacing w:val="40"/>
          <w:sz w:val="72"/>
          <w:szCs w:val="72"/>
        </w:rPr>
        <w:t>判</w:t>
      </w:r>
    </w:p>
    <w:p>
      <w:pPr>
        <w:spacing w:after="100" w:afterAutospacing="1"/>
        <w:ind w:right="-108"/>
        <w:jc w:val="center"/>
        <w:rPr>
          <w:rFonts w:hint="eastAsia" w:ascii="宋体" w:hAnsi="宋体" w:eastAsia="宋体" w:cs="宋体"/>
          <w:b/>
          <w:spacing w:val="40"/>
          <w:sz w:val="72"/>
          <w:szCs w:val="72"/>
        </w:rPr>
      </w:pPr>
      <w:r>
        <w:rPr>
          <w:rFonts w:hint="eastAsia" w:ascii="宋体" w:hAnsi="宋体" w:eastAsia="宋体" w:cs="宋体"/>
          <w:b/>
          <w:spacing w:val="40"/>
          <w:sz w:val="72"/>
          <w:szCs w:val="72"/>
        </w:rPr>
        <w:t>响</w:t>
      </w:r>
    </w:p>
    <w:p>
      <w:pPr>
        <w:spacing w:after="100" w:afterAutospacing="1"/>
        <w:ind w:right="-108"/>
        <w:jc w:val="center"/>
        <w:rPr>
          <w:rFonts w:hint="eastAsia" w:ascii="宋体" w:hAnsi="宋体" w:eastAsia="宋体" w:cs="宋体"/>
          <w:b/>
          <w:spacing w:val="40"/>
          <w:sz w:val="72"/>
          <w:szCs w:val="72"/>
        </w:rPr>
      </w:pPr>
      <w:r>
        <w:rPr>
          <w:rFonts w:hint="eastAsia" w:ascii="宋体" w:hAnsi="宋体" w:eastAsia="宋体" w:cs="宋体"/>
          <w:b/>
          <w:spacing w:val="40"/>
          <w:sz w:val="72"/>
          <w:szCs w:val="72"/>
        </w:rPr>
        <w:t>应</w:t>
      </w:r>
    </w:p>
    <w:p>
      <w:pPr>
        <w:spacing w:after="100" w:afterAutospacing="1"/>
        <w:ind w:right="-108"/>
        <w:jc w:val="center"/>
        <w:rPr>
          <w:rFonts w:hint="eastAsia" w:ascii="宋体" w:hAnsi="宋体" w:eastAsia="宋体" w:cs="宋体"/>
          <w:b/>
          <w:spacing w:val="40"/>
          <w:sz w:val="72"/>
          <w:szCs w:val="72"/>
        </w:rPr>
      </w:pPr>
      <w:r>
        <w:rPr>
          <w:rFonts w:hint="eastAsia" w:ascii="宋体" w:hAnsi="宋体" w:eastAsia="宋体" w:cs="宋体"/>
          <w:b/>
          <w:spacing w:val="40"/>
          <w:sz w:val="72"/>
          <w:szCs w:val="72"/>
        </w:rPr>
        <w:t>文</w:t>
      </w:r>
    </w:p>
    <w:p>
      <w:pPr>
        <w:spacing w:after="100" w:afterAutospacing="1"/>
        <w:ind w:right="-108"/>
        <w:jc w:val="center"/>
        <w:rPr>
          <w:rFonts w:hint="eastAsia" w:ascii="宋体" w:hAnsi="宋体" w:eastAsia="宋体" w:cs="宋体"/>
          <w:b/>
          <w:spacing w:val="40"/>
          <w:sz w:val="48"/>
          <w:szCs w:val="48"/>
        </w:rPr>
      </w:pPr>
      <w:r>
        <w:rPr>
          <w:rFonts w:hint="eastAsia" w:ascii="宋体" w:hAnsi="宋体" w:eastAsia="宋体" w:cs="宋体"/>
          <w:b/>
          <w:spacing w:val="40"/>
          <w:sz w:val="72"/>
          <w:szCs w:val="72"/>
        </w:rPr>
        <w:t>件</w:t>
      </w:r>
    </w:p>
    <w:p>
      <w:pPr>
        <w:spacing w:line="600" w:lineRule="exact"/>
        <w:ind w:right="532" w:firstLine="640" w:firstLineChars="200"/>
        <w:rPr>
          <w:rFonts w:hint="eastAsia" w:ascii="宋体" w:hAnsi="宋体" w:eastAsia="宋体" w:cs="宋体"/>
          <w:sz w:val="32"/>
          <w:szCs w:val="32"/>
        </w:rPr>
      </w:pPr>
      <w:r>
        <w:rPr>
          <w:rFonts w:hint="eastAsia" w:ascii="宋体" w:hAnsi="宋体" w:eastAsia="宋体" w:cs="宋体"/>
          <w:sz w:val="32"/>
          <w:szCs w:val="32"/>
        </w:rPr>
        <w:t>单位全称（公章）：</w:t>
      </w:r>
    </w:p>
    <w:p>
      <w:pPr>
        <w:spacing w:line="600" w:lineRule="exact"/>
        <w:ind w:right="532" w:firstLine="640" w:firstLineChars="200"/>
        <w:rPr>
          <w:rFonts w:hint="eastAsia" w:ascii="宋体" w:hAnsi="宋体" w:eastAsia="宋体" w:cs="宋体"/>
          <w:sz w:val="32"/>
          <w:szCs w:val="32"/>
        </w:rPr>
      </w:pPr>
      <w:r>
        <w:rPr>
          <w:rFonts w:hint="eastAsia" w:ascii="宋体" w:hAnsi="宋体" w:eastAsia="宋体" w:cs="宋体"/>
          <w:sz w:val="32"/>
          <w:szCs w:val="32"/>
        </w:rPr>
        <w:t>地    址：</w:t>
      </w:r>
    </w:p>
    <w:p>
      <w:pPr>
        <w:spacing w:line="600" w:lineRule="exact"/>
        <w:ind w:right="532" w:firstLine="640" w:firstLineChars="200"/>
        <w:rPr>
          <w:rFonts w:hint="eastAsia" w:ascii="宋体" w:hAnsi="宋体" w:eastAsia="宋体" w:cs="宋体"/>
          <w:sz w:val="32"/>
          <w:szCs w:val="32"/>
        </w:rPr>
      </w:pPr>
      <w:r>
        <w:rPr>
          <w:rFonts w:hint="eastAsia" w:ascii="宋体" w:hAnsi="宋体" w:eastAsia="宋体" w:cs="宋体"/>
          <w:sz w:val="32"/>
          <w:szCs w:val="32"/>
        </w:rPr>
        <w:t>时    间：</w:t>
      </w:r>
    </w:p>
    <w:p>
      <w:pPr>
        <w:snapToGrid w:val="0"/>
        <w:spacing w:before="50" w:after="50"/>
        <w:jc w:val="center"/>
        <w:rPr>
          <w:rFonts w:hint="eastAsia" w:ascii="宋体" w:hAnsi="宋体" w:eastAsia="宋体" w:cs="宋体"/>
          <w:b/>
          <w:bCs/>
          <w:sz w:val="36"/>
          <w:szCs w:val="36"/>
        </w:rPr>
      </w:pPr>
      <w:r>
        <w:rPr>
          <w:rFonts w:hint="eastAsia" w:ascii="宋体" w:hAnsi="宋体" w:eastAsia="宋体" w:cs="宋体"/>
          <w:b/>
          <w:bCs/>
          <w:sz w:val="36"/>
          <w:szCs w:val="36"/>
        </w:rPr>
        <w:t>谈判响应文件目录</w:t>
      </w:r>
    </w:p>
    <w:p>
      <w:pPr>
        <w:snapToGrid w:val="0"/>
        <w:spacing w:before="50" w:after="50"/>
        <w:jc w:val="center"/>
        <w:rPr>
          <w:rFonts w:hint="eastAsia" w:ascii="宋体" w:hAnsi="宋体" w:eastAsia="宋体" w:cs="宋体"/>
          <w:b/>
          <w:bCs/>
          <w:sz w:val="24"/>
        </w:rPr>
      </w:pPr>
      <w:r>
        <w:rPr>
          <w:rFonts w:hint="eastAsia" w:ascii="宋体" w:hAnsi="宋体" w:eastAsia="宋体" w:cs="宋体"/>
          <w:b/>
          <w:bCs/>
          <w:sz w:val="24"/>
        </w:rPr>
        <w:t>（按谈判文件组成内容）</w:t>
      </w:r>
    </w:p>
    <w:p>
      <w:pPr>
        <w:snapToGrid w:val="0"/>
        <w:spacing w:before="50" w:after="50"/>
        <w:jc w:val="center"/>
        <w:rPr>
          <w:rFonts w:hint="eastAsia" w:ascii="宋体" w:hAnsi="宋体" w:eastAsia="宋体" w:cs="宋体"/>
          <w:b/>
          <w:bCs/>
          <w:sz w:val="32"/>
          <w:szCs w:val="32"/>
        </w:rPr>
      </w:pPr>
    </w:p>
    <w:p>
      <w:pPr>
        <w:rPr>
          <w:rFonts w:hint="eastAsia" w:ascii="宋体" w:hAnsi="宋体" w:eastAsia="宋体" w:cs="宋体"/>
          <w:kern w:val="0"/>
          <w:sz w:val="24"/>
        </w:rPr>
      </w:pPr>
      <w:r>
        <w:rPr>
          <w:rFonts w:hint="eastAsia" w:ascii="宋体" w:hAnsi="宋体" w:eastAsia="宋体" w:cs="宋体"/>
          <w:kern w:val="0"/>
          <w:sz w:val="24"/>
        </w:rPr>
        <w:br w:type="page"/>
      </w:r>
    </w:p>
    <w:p>
      <w:pPr>
        <w:spacing w:line="360" w:lineRule="auto"/>
        <w:rPr>
          <w:rFonts w:hint="eastAsia" w:ascii="宋体" w:hAnsi="宋体" w:eastAsia="宋体" w:cs="宋体"/>
          <w:b/>
          <w:sz w:val="28"/>
        </w:rPr>
      </w:pPr>
      <w:r>
        <w:rPr>
          <w:rFonts w:hint="eastAsia" w:ascii="宋体" w:hAnsi="宋体" w:eastAsia="宋体" w:cs="宋体"/>
          <w:b/>
          <w:sz w:val="28"/>
        </w:rPr>
        <w:t>附件2</w:t>
      </w:r>
    </w:p>
    <w:p>
      <w:pPr>
        <w:adjustRightInd w:val="0"/>
        <w:snapToGrid w:val="0"/>
        <w:spacing w:line="360" w:lineRule="auto"/>
        <w:ind w:right="480"/>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谈判声明书</w:t>
      </w:r>
    </w:p>
    <w:p>
      <w:pPr>
        <w:snapToGrid w:val="0"/>
        <w:spacing w:beforeLines="50" w:after="50" w:line="324" w:lineRule="auto"/>
        <w:rPr>
          <w:rFonts w:hint="eastAsia" w:ascii="宋体" w:hAnsi="宋体" w:eastAsia="宋体" w:cs="宋体"/>
          <w:kern w:val="0"/>
          <w:sz w:val="24"/>
        </w:rPr>
      </w:pPr>
      <w:r>
        <w:rPr>
          <w:rFonts w:hint="eastAsia" w:ascii="宋体" w:hAnsi="宋体" w:eastAsia="宋体" w:cs="宋体"/>
          <w:kern w:val="0"/>
          <w:sz w:val="24"/>
        </w:rPr>
        <w:t>×××（采购代理机构名称）：</w:t>
      </w:r>
    </w:p>
    <w:p>
      <w:pPr>
        <w:snapToGrid w:val="0"/>
        <w:spacing w:beforeLines="50" w:after="50" w:line="324" w:lineRule="auto"/>
        <w:ind w:firstLine="480" w:firstLineChars="200"/>
        <w:rPr>
          <w:rFonts w:hint="eastAsia" w:ascii="宋体" w:hAnsi="宋体" w:eastAsia="宋体" w:cs="宋体"/>
          <w:kern w:val="0"/>
          <w:sz w:val="24"/>
        </w:rPr>
      </w:pPr>
      <w:r>
        <w:rPr>
          <w:rFonts w:hint="eastAsia" w:ascii="宋体" w:hAnsi="宋体" w:eastAsia="宋体" w:cs="宋体"/>
          <w:kern w:val="0"/>
          <w:sz w:val="24"/>
        </w:rPr>
        <w:t>（供应商名称）系中华人民共和国合法企业，经营地址。</w:t>
      </w:r>
    </w:p>
    <w:p>
      <w:pPr>
        <w:snapToGrid w:val="0"/>
        <w:spacing w:beforeLines="50" w:after="50" w:line="324" w:lineRule="auto"/>
        <w:ind w:firstLine="480" w:firstLineChars="200"/>
        <w:rPr>
          <w:rFonts w:hint="eastAsia" w:ascii="宋体" w:hAnsi="宋体" w:eastAsia="宋体" w:cs="宋体"/>
          <w:kern w:val="0"/>
          <w:sz w:val="24"/>
        </w:rPr>
      </w:pPr>
      <w:r>
        <w:rPr>
          <w:rFonts w:hint="eastAsia" w:ascii="宋体" w:hAnsi="宋体" w:eastAsia="宋体" w:cs="宋体"/>
          <w:kern w:val="0"/>
          <w:sz w:val="24"/>
        </w:rPr>
        <w:t>我（</w:t>
      </w:r>
      <w:r>
        <w:rPr>
          <w:rFonts w:hint="eastAsia" w:ascii="宋体" w:hAnsi="宋体" w:eastAsia="宋体" w:cs="宋体"/>
          <w:kern w:val="0"/>
          <w:sz w:val="24"/>
          <w:u w:val="single"/>
        </w:rPr>
        <w:t xml:space="preserve"> 姓名 </w:t>
      </w:r>
      <w:r>
        <w:rPr>
          <w:rFonts w:hint="eastAsia" w:ascii="宋体" w:hAnsi="宋体" w:eastAsia="宋体" w:cs="宋体"/>
          <w:kern w:val="0"/>
          <w:sz w:val="24"/>
        </w:rPr>
        <w:t>）系（</w:t>
      </w:r>
      <w:r>
        <w:rPr>
          <w:rFonts w:hint="eastAsia" w:ascii="宋体" w:hAnsi="宋体" w:eastAsia="宋体" w:cs="宋体"/>
          <w:kern w:val="0"/>
          <w:sz w:val="24"/>
          <w:u w:val="single"/>
        </w:rPr>
        <w:t xml:space="preserve">供应商名称 </w:t>
      </w:r>
      <w:r>
        <w:rPr>
          <w:rFonts w:hint="eastAsia" w:ascii="宋体" w:hAnsi="宋体" w:eastAsia="宋体" w:cs="宋体"/>
          <w:kern w:val="0"/>
          <w:sz w:val="24"/>
        </w:rPr>
        <w:t>）的法定代表人，我公司自愿参加贵方组织的××（</w:t>
      </w:r>
      <w:r>
        <w:rPr>
          <w:rFonts w:hint="eastAsia" w:ascii="宋体" w:hAnsi="宋体" w:eastAsia="宋体" w:cs="宋体"/>
          <w:kern w:val="0"/>
          <w:sz w:val="24"/>
          <w:u w:val="single"/>
        </w:rPr>
        <w:t>竞争性谈判项目名称</w:t>
      </w:r>
      <w:r>
        <w:rPr>
          <w:rFonts w:hint="eastAsia" w:ascii="宋体" w:hAnsi="宋体" w:eastAsia="宋体" w:cs="宋体"/>
          <w:kern w:val="0"/>
          <w:sz w:val="24"/>
        </w:rPr>
        <w:t>）（编号为××）的谈判，为此，我公司就本次谈判有关事项郑重声明如下：</w:t>
      </w:r>
    </w:p>
    <w:p>
      <w:pPr>
        <w:numPr>
          <w:ilvl w:val="0"/>
          <w:numId w:val="5"/>
        </w:numPr>
        <w:snapToGrid w:val="0"/>
        <w:spacing w:beforeLines="50" w:after="50" w:line="324" w:lineRule="auto"/>
        <w:ind w:firstLine="480" w:firstLineChars="200"/>
        <w:rPr>
          <w:rFonts w:hint="eastAsia" w:ascii="宋体" w:hAnsi="宋体" w:eastAsia="宋体" w:cs="宋体"/>
          <w:b/>
          <w:kern w:val="0"/>
          <w:sz w:val="24"/>
        </w:rPr>
      </w:pPr>
      <w:r>
        <w:rPr>
          <w:rFonts w:hint="eastAsia" w:ascii="宋体" w:hAnsi="宋体" w:eastAsia="宋体" w:cs="宋体"/>
          <w:sz w:val="24"/>
        </w:rPr>
        <w:t>我公司声明截止谈判响应时间近三年以来：在参加政府采购活动过程中无任何不良行为记录；无重大违法记录（重大违法记录是指供应商因违法经营受到刑事处罚或者责令停产停业、吊销许可证或者执照、较大数额罚款等行政处罚）。</w:t>
      </w:r>
    </w:p>
    <w:p>
      <w:pPr>
        <w:numPr>
          <w:ilvl w:val="0"/>
          <w:numId w:val="5"/>
        </w:numPr>
        <w:snapToGrid w:val="0"/>
        <w:spacing w:beforeLines="50" w:after="50" w:line="324" w:lineRule="auto"/>
        <w:ind w:firstLine="480" w:firstLineChars="200"/>
        <w:rPr>
          <w:rFonts w:hint="eastAsia" w:ascii="宋体" w:hAnsi="宋体" w:eastAsia="宋体" w:cs="宋体"/>
          <w:kern w:val="0"/>
          <w:sz w:val="24"/>
        </w:rPr>
      </w:pPr>
      <w:r>
        <w:rPr>
          <w:rFonts w:hint="eastAsia" w:ascii="宋体" w:hAnsi="宋体" w:eastAsia="宋体" w:cs="宋体"/>
          <w:kern w:val="0"/>
          <w:sz w:val="24"/>
        </w:rPr>
        <w:t>我公司在参与谈判响应前已详细审查了谈判文件和所有相关资料，我方完全明白并认为此谈判采购文件没有倾向性，也没有存在排斥潜在供应商的内容，我方同意谈判采购文件的相关条款，放弃对谈判采购文件提出误解和质疑的一切权利。</w:t>
      </w:r>
    </w:p>
    <w:p>
      <w:pPr>
        <w:numPr>
          <w:ilvl w:val="255"/>
          <w:numId w:val="0"/>
        </w:numPr>
        <w:snapToGrid w:val="0"/>
        <w:spacing w:beforeLines="50" w:after="50" w:line="324" w:lineRule="auto"/>
        <w:ind w:firstLine="480" w:firstLineChars="200"/>
        <w:rPr>
          <w:rFonts w:hint="eastAsia" w:ascii="宋体" w:hAnsi="宋体" w:eastAsia="宋体" w:cs="宋体"/>
          <w:sz w:val="24"/>
        </w:rPr>
      </w:pPr>
      <w:r>
        <w:rPr>
          <w:rFonts w:hint="eastAsia" w:ascii="宋体" w:hAnsi="宋体" w:eastAsia="宋体" w:cs="宋体"/>
          <w:sz w:val="24"/>
        </w:rPr>
        <w:t>3、我</w:t>
      </w:r>
      <w:r>
        <w:rPr>
          <w:rFonts w:hint="eastAsia" w:ascii="宋体" w:hAnsi="宋体" w:eastAsia="宋体" w:cs="宋体"/>
          <w:kern w:val="0"/>
          <w:sz w:val="24"/>
          <w:lang w:val="zh-CN"/>
        </w:rPr>
        <w:t>公司</w:t>
      </w:r>
      <w:r>
        <w:rPr>
          <w:rFonts w:hint="eastAsia" w:ascii="宋体" w:hAnsi="宋体" w:eastAsia="宋体" w:cs="宋体"/>
          <w:sz w:val="24"/>
        </w:rPr>
        <w:t>不是采购人的附属机构；在获知本项目采购信息后，与采购人聘请的为此项目提供咨询服务的公司及其附属机构没有任何联系。</w:t>
      </w:r>
    </w:p>
    <w:p>
      <w:pPr>
        <w:snapToGrid w:val="0"/>
        <w:spacing w:beforeLines="50" w:after="50" w:line="324" w:lineRule="auto"/>
        <w:ind w:firstLine="480" w:firstLineChars="200"/>
        <w:rPr>
          <w:rFonts w:hint="eastAsia" w:ascii="宋体" w:hAnsi="宋体" w:eastAsia="宋体" w:cs="宋体"/>
          <w:kern w:val="0"/>
          <w:sz w:val="24"/>
          <w:lang w:val="af-ZA"/>
        </w:rPr>
      </w:pPr>
      <w:r>
        <w:rPr>
          <w:rFonts w:hint="eastAsia" w:ascii="宋体" w:hAnsi="宋体" w:eastAsia="宋体" w:cs="宋体"/>
          <w:sz w:val="24"/>
        </w:rPr>
        <w:t>4、</w:t>
      </w:r>
      <w:r>
        <w:rPr>
          <w:rFonts w:hint="eastAsia" w:ascii="宋体" w:hAnsi="宋体" w:eastAsia="宋体" w:cs="宋体"/>
          <w:kern w:val="0"/>
          <w:sz w:val="24"/>
        </w:rPr>
        <w:t>我</w:t>
      </w:r>
      <w:r>
        <w:rPr>
          <w:rFonts w:hint="eastAsia" w:ascii="宋体" w:hAnsi="宋体" w:eastAsia="宋体" w:cs="宋体"/>
          <w:kern w:val="0"/>
          <w:sz w:val="24"/>
          <w:lang w:val="zh-CN"/>
        </w:rPr>
        <w:t>公司</w:t>
      </w:r>
      <w:r>
        <w:rPr>
          <w:rFonts w:hint="eastAsia" w:ascii="宋体" w:hAnsi="宋体" w:eastAsia="宋体" w:cs="宋体"/>
          <w:kern w:val="0"/>
          <w:sz w:val="24"/>
        </w:rPr>
        <w:t>保证，</w:t>
      </w:r>
      <w:r>
        <w:rPr>
          <w:rFonts w:hint="eastAsia" w:ascii="宋体" w:hAnsi="宋体" w:eastAsia="宋体" w:cs="宋体"/>
          <w:kern w:val="0"/>
          <w:sz w:val="24"/>
          <w:lang w:val="af-ZA"/>
        </w:rPr>
        <w:t>采购人在中华人民共和国境内使用</w:t>
      </w:r>
      <w:r>
        <w:rPr>
          <w:rFonts w:hint="eastAsia" w:ascii="宋体" w:hAnsi="宋体" w:eastAsia="宋体" w:cs="宋体"/>
          <w:kern w:val="0"/>
          <w:sz w:val="24"/>
        </w:rPr>
        <w:t>我</w:t>
      </w:r>
      <w:r>
        <w:rPr>
          <w:rFonts w:hint="eastAsia" w:ascii="宋体" w:hAnsi="宋体" w:eastAsia="宋体" w:cs="宋体"/>
          <w:kern w:val="0"/>
          <w:sz w:val="24"/>
          <w:lang w:val="zh-CN"/>
        </w:rPr>
        <w:t>公司谈判响应的</w:t>
      </w:r>
      <w:r>
        <w:rPr>
          <w:rFonts w:hint="eastAsia" w:ascii="宋体" w:hAnsi="宋体" w:eastAsia="宋体" w:cs="宋体"/>
          <w:kern w:val="0"/>
          <w:sz w:val="24"/>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pPr>
        <w:snapToGrid w:val="0"/>
        <w:spacing w:beforeLines="50" w:after="50" w:line="324" w:lineRule="auto"/>
        <w:ind w:firstLine="480" w:firstLineChars="200"/>
        <w:rPr>
          <w:rFonts w:hint="eastAsia" w:ascii="宋体" w:hAnsi="宋体" w:eastAsia="宋体" w:cs="宋体"/>
          <w:sz w:val="24"/>
        </w:rPr>
      </w:pPr>
      <w:r>
        <w:rPr>
          <w:rFonts w:hint="eastAsia" w:ascii="宋体" w:hAnsi="宋体" w:eastAsia="宋体" w:cs="宋体"/>
          <w:kern w:val="0"/>
          <w:sz w:val="24"/>
          <w:lang w:val="af-ZA"/>
        </w:rPr>
        <w:t>5、我</w:t>
      </w:r>
      <w:r>
        <w:rPr>
          <w:rFonts w:hint="eastAsia" w:ascii="宋体" w:hAnsi="宋体" w:eastAsia="宋体" w:cs="宋体"/>
          <w:kern w:val="0"/>
          <w:sz w:val="24"/>
          <w:lang w:val="zh-CN"/>
        </w:rPr>
        <w:t>公司</w:t>
      </w:r>
      <w:r>
        <w:rPr>
          <w:rFonts w:hint="eastAsia" w:ascii="宋体" w:hAnsi="宋体" w:eastAsia="宋体" w:cs="宋体"/>
          <w:kern w:val="0"/>
          <w:sz w:val="24"/>
          <w:lang w:val="af-ZA"/>
        </w:rPr>
        <w:t>严格履行政府采购合同，不降低合同约定的产品质量和服务，不擅自变更、中止、终止合同，或拒绝履行合同义务；</w:t>
      </w:r>
    </w:p>
    <w:p>
      <w:pPr>
        <w:snapToGrid w:val="0"/>
        <w:spacing w:beforeLines="50" w:after="50" w:line="324" w:lineRule="auto"/>
        <w:ind w:firstLine="480" w:firstLineChars="200"/>
        <w:rPr>
          <w:rFonts w:hint="eastAsia" w:ascii="宋体" w:hAnsi="宋体" w:eastAsia="宋体" w:cs="宋体"/>
          <w:sz w:val="24"/>
        </w:rPr>
      </w:pPr>
      <w:r>
        <w:rPr>
          <w:rFonts w:hint="eastAsia" w:ascii="宋体" w:hAnsi="宋体" w:eastAsia="宋体" w:cs="宋体"/>
          <w:sz w:val="24"/>
        </w:rPr>
        <w:t>6、以上事项如有虚假或隐瞒，我</w:t>
      </w:r>
      <w:r>
        <w:rPr>
          <w:rFonts w:hint="eastAsia" w:ascii="宋体" w:hAnsi="宋体" w:eastAsia="宋体" w:cs="宋体"/>
          <w:kern w:val="0"/>
          <w:sz w:val="24"/>
          <w:lang w:val="zh-CN"/>
        </w:rPr>
        <w:t>公司</w:t>
      </w:r>
      <w:r>
        <w:rPr>
          <w:rFonts w:hint="eastAsia" w:ascii="宋体" w:hAnsi="宋体" w:eastAsia="宋体" w:cs="宋体"/>
          <w:sz w:val="24"/>
        </w:rPr>
        <w:t>愿意承担一切后果，并不再寻求任何旨在减轻或免除法律责任的辩解。</w:t>
      </w:r>
    </w:p>
    <w:p>
      <w:pPr>
        <w:spacing w:line="360" w:lineRule="auto"/>
        <w:ind w:left="420"/>
        <w:rPr>
          <w:rFonts w:hint="eastAsia" w:ascii="宋体" w:hAnsi="宋体" w:eastAsia="宋体" w:cs="宋体"/>
          <w:sz w:val="24"/>
          <w:u w:val="single"/>
        </w:rPr>
      </w:pPr>
      <w:r>
        <w:rPr>
          <w:rFonts w:hint="eastAsia" w:ascii="宋体" w:hAnsi="宋体" w:eastAsia="宋体" w:cs="宋体"/>
          <w:sz w:val="24"/>
        </w:rPr>
        <w:t>谈判供应商名称（盖章）：</w:t>
      </w:r>
    </w:p>
    <w:p>
      <w:pPr>
        <w:spacing w:line="360" w:lineRule="auto"/>
        <w:ind w:firstLine="435"/>
        <w:rPr>
          <w:rFonts w:hint="eastAsia" w:ascii="宋体" w:hAnsi="宋体" w:eastAsia="宋体" w:cs="宋体"/>
          <w:b/>
          <w:sz w:val="28"/>
        </w:rPr>
      </w:pPr>
      <w:r>
        <w:rPr>
          <w:rFonts w:hint="eastAsia" w:ascii="宋体" w:hAnsi="宋体" w:eastAsia="宋体" w:cs="宋体"/>
          <w:sz w:val="24"/>
        </w:rPr>
        <w:t>谈判供应商代表签字：                         日        期：</w:t>
      </w:r>
    </w:p>
    <w:p>
      <w:pPr>
        <w:adjustRightInd w:val="0"/>
        <w:snapToGrid w:val="0"/>
        <w:spacing w:line="324" w:lineRule="auto"/>
        <w:ind w:right="480"/>
        <w:jc w:val="center"/>
        <w:rPr>
          <w:rFonts w:hint="eastAsia" w:ascii="宋体" w:hAnsi="宋体" w:eastAsia="宋体" w:cs="宋体"/>
          <w:kern w:val="0"/>
          <w:sz w:val="24"/>
          <w:lang w:val="zh-CN"/>
        </w:rPr>
      </w:pPr>
    </w:p>
    <w:p>
      <w:pPr>
        <w:pStyle w:val="2"/>
        <w:rPr>
          <w:rFonts w:hint="eastAsia" w:ascii="宋体" w:hAnsi="宋体" w:eastAsia="宋体" w:cs="宋体"/>
          <w:lang w:val="zh-CN"/>
        </w:rPr>
      </w:pPr>
    </w:p>
    <w:p>
      <w:pPr>
        <w:adjustRightInd w:val="0"/>
        <w:snapToGrid w:val="0"/>
        <w:spacing w:line="360" w:lineRule="auto"/>
        <w:ind w:right="480"/>
        <w:rPr>
          <w:rFonts w:hint="eastAsia" w:ascii="宋体" w:hAnsi="宋体" w:eastAsia="宋体" w:cs="宋体"/>
          <w:b/>
          <w:sz w:val="30"/>
          <w:szCs w:val="30"/>
        </w:rPr>
      </w:pPr>
      <w:r>
        <w:rPr>
          <w:rFonts w:hint="eastAsia" w:ascii="宋体" w:hAnsi="宋体" w:eastAsia="宋体" w:cs="宋体"/>
          <w:b/>
          <w:sz w:val="28"/>
        </w:rPr>
        <w:t>附件3</w:t>
      </w:r>
    </w:p>
    <w:p>
      <w:pPr>
        <w:spacing w:line="360" w:lineRule="auto"/>
        <w:ind w:firstLine="321" w:firstLineChars="100"/>
        <w:jc w:val="center"/>
        <w:rPr>
          <w:rFonts w:hint="eastAsia" w:ascii="宋体" w:hAnsi="宋体" w:eastAsia="宋体" w:cs="宋体"/>
          <w:b/>
          <w:sz w:val="32"/>
          <w:szCs w:val="32"/>
          <w:lang w:val="zh-CN"/>
        </w:rPr>
      </w:pPr>
      <w:r>
        <w:rPr>
          <w:rFonts w:hint="eastAsia" w:ascii="宋体" w:hAnsi="宋体" w:eastAsia="宋体" w:cs="宋体"/>
          <w:b/>
          <w:sz w:val="32"/>
          <w:szCs w:val="32"/>
          <w:lang w:val="zh-CN"/>
        </w:rPr>
        <w:t>授权委托书</w:t>
      </w:r>
    </w:p>
    <w:p>
      <w:pPr>
        <w:pStyle w:val="10"/>
        <w:spacing w:line="500" w:lineRule="exact"/>
        <w:rPr>
          <w:rFonts w:hint="eastAsia" w:ascii="宋体" w:hAnsi="宋体" w:eastAsia="宋体" w:cs="宋体"/>
          <w:b/>
          <w:sz w:val="24"/>
        </w:rPr>
      </w:pPr>
      <w:r>
        <w:rPr>
          <w:rFonts w:hint="eastAsia" w:ascii="宋体" w:hAnsi="宋体" w:eastAsia="宋体" w:cs="宋体"/>
          <w:b/>
          <w:sz w:val="24"/>
        </w:rPr>
        <w:t>×××</w:t>
      </w:r>
      <w:r>
        <w:rPr>
          <w:rFonts w:hint="eastAsia" w:ascii="宋体" w:hAnsi="宋体" w:eastAsia="宋体" w:cs="宋体"/>
          <w:kern w:val="0"/>
          <w:sz w:val="24"/>
        </w:rPr>
        <w:t>（采购代理机构名称）</w:t>
      </w:r>
      <w:r>
        <w:rPr>
          <w:rFonts w:hint="eastAsia" w:ascii="宋体" w:hAnsi="宋体" w:eastAsia="宋体" w:cs="宋体"/>
          <w:b/>
          <w:sz w:val="24"/>
        </w:rPr>
        <w:t>：</w:t>
      </w:r>
    </w:p>
    <w:p>
      <w:pPr>
        <w:pStyle w:val="10"/>
        <w:spacing w:line="500" w:lineRule="exact"/>
        <w:ind w:left="240" w:hanging="240" w:hangingChars="100"/>
        <w:rPr>
          <w:rFonts w:hint="eastAsia" w:ascii="宋体" w:hAnsi="宋体" w:eastAsia="宋体" w:cs="宋体"/>
          <w:sz w:val="24"/>
        </w:rPr>
      </w:pPr>
      <w:r>
        <w:rPr>
          <w:rFonts w:hint="eastAsia" w:ascii="宋体" w:hAnsi="宋体" w:eastAsia="宋体" w:cs="宋体"/>
          <w:sz w:val="24"/>
          <w:u w:val="single"/>
        </w:rPr>
        <w:t xml:space="preserve">  （供应商全称）  </w:t>
      </w:r>
      <w:r>
        <w:rPr>
          <w:rFonts w:hint="eastAsia" w:ascii="宋体" w:hAnsi="宋体" w:eastAsia="宋体" w:cs="宋体"/>
          <w:sz w:val="24"/>
        </w:rPr>
        <w:t>法定代表人（或营业执照中单位负责人）</w:t>
      </w:r>
      <w:r>
        <w:rPr>
          <w:rFonts w:hint="eastAsia" w:ascii="宋体" w:hAnsi="宋体" w:eastAsia="宋体" w:cs="宋体"/>
          <w:sz w:val="24"/>
          <w:u w:val="single"/>
        </w:rPr>
        <w:tab/>
      </w:r>
      <w:r>
        <w:rPr>
          <w:rFonts w:hint="eastAsia" w:ascii="宋体" w:hAnsi="宋体" w:eastAsia="宋体" w:cs="宋体"/>
          <w:sz w:val="24"/>
          <w:u w:val="single"/>
        </w:rPr>
        <w:t xml:space="preserve">（法定代表人或营业执照中单位负责人姓名） </w:t>
      </w:r>
      <w:r>
        <w:rPr>
          <w:rFonts w:hint="eastAsia" w:ascii="宋体" w:hAnsi="宋体" w:eastAsia="宋体" w:cs="宋体"/>
          <w:sz w:val="24"/>
        </w:rPr>
        <w:t>授权</w:t>
      </w:r>
      <w:r>
        <w:rPr>
          <w:rFonts w:hint="eastAsia" w:ascii="宋体" w:hAnsi="宋体" w:eastAsia="宋体" w:cs="宋体"/>
          <w:sz w:val="24"/>
          <w:u w:val="single"/>
        </w:rPr>
        <w:t xml:space="preserve">   （全权代表姓名） </w:t>
      </w:r>
      <w:r>
        <w:rPr>
          <w:rFonts w:hint="eastAsia" w:ascii="宋体" w:hAnsi="宋体" w:eastAsia="宋体" w:cs="宋体"/>
          <w:sz w:val="24"/>
        </w:rPr>
        <w:t>为全权代表，参加贵单位组织的</w:t>
      </w:r>
      <w:r>
        <w:rPr>
          <w:rFonts w:hint="eastAsia" w:ascii="宋体" w:hAnsi="宋体" w:eastAsia="宋体" w:cs="宋体"/>
          <w:sz w:val="24"/>
          <w:u w:val="single"/>
        </w:rPr>
        <w:tab/>
      </w:r>
      <w:r>
        <w:rPr>
          <w:rFonts w:hint="eastAsia" w:ascii="宋体" w:hAnsi="宋体" w:eastAsia="宋体" w:cs="宋体"/>
          <w:sz w:val="24"/>
        </w:rPr>
        <w:t>项目的采购活动，并代表我方全权办理针对上述项目的谈判、签约等具体事务和签署相关文件。我方对全权代表的签字事项负全部责任。</w:t>
      </w:r>
    </w:p>
    <w:p>
      <w:pPr>
        <w:pStyle w:val="10"/>
        <w:spacing w:line="500" w:lineRule="exact"/>
        <w:ind w:left="139" w:leftChars="66" w:firstLine="480" w:firstLineChars="200"/>
        <w:rPr>
          <w:rFonts w:hint="eastAsia" w:ascii="宋体" w:hAnsi="宋体" w:eastAsia="宋体" w:cs="宋体"/>
          <w:sz w:val="24"/>
        </w:rPr>
      </w:pPr>
      <w:r>
        <w:rPr>
          <w:rFonts w:hint="eastAsia" w:ascii="宋体" w:hAnsi="宋体" w:eastAsia="宋体" w:cs="宋体"/>
          <w:sz w:val="24"/>
        </w:rPr>
        <w:t>在撤销授权的书面通知以前，本授权书一直有效。全权代表在授权委托书有效期内签署的所有文件不因授权的撤销而失效。</w:t>
      </w:r>
    </w:p>
    <w:p>
      <w:pPr>
        <w:pStyle w:val="10"/>
        <w:spacing w:line="500" w:lineRule="exact"/>
        <w:ind w:left="139" w:leftChars="66" w:firstLine="480" w:firstLineChars="200"/>
        <w:rPr>
          <w:rFonts w:hint="eastAsia" w:ascii="宋体" w:hAnsi="宋体" w:eastAsia="宋体" w:cs="宋体"/>
          <w:sz w:val="24"/>
        </w:rPr>
      </w:pPr>
      <w:r>
        <w:rPr>
          <w:rFonts w:hint="eastAsia" w:ascii="宋体" w:hAnsi="宋体" w:eastAsia="宋体" w:cs="宋体"/>
          <w:sz w:val="24"/>
        </w:rPr>
        <w:t>全权代表无转委托权，特此委托。</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法定代表人签字或盖章：</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谈判供应商全称（公章）：                              日期：</w:t>
      </w:r>
    </w:p>
    <w:p>
      <w:pPr>
        <w:spacing w:line="360" w:lineRule="auto"/>
        <w:rPr>
          <w:rFonts w:hint="eastAsia" w:ascii="宋体" w:hAnsi="宋体" w:eastAsia="宋体" w:cs="宋体"/>
          <w:b/>
          <w:sz w:val="24"/>
        </w:rPr>
      </w:pPr>
      <w:r>
        <w:rPr>
          <w:rFonts w:hint="eastAsia" w:ascii="宋体" w:hAnsi="宋体" w:eastAsia="宋体" w:cs="宋体"/>
          <w:b/>
          <w:sz w:val="24"/>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hint="eastAsia" w:ascii="宋体" w:hAnsi="宋体" w:eastAsia="宋体" w:cs="宋体"/>
                <w:b/>
                <w:sz w:val="24"/>
              </w:rPr>
            </w:pPr>
          </w:p>
          <w:p>
            <w:pPr>
              <w:spacing w:line="360" w:lineRule="auto"/>
              <w:ind w:firstLine="361" w:firstLineChars="150"/>
              <w:rPr>
                <w:rFonts w:hint="eastAsia" w:ascii="宋体" w:hAnsi="宋体" w:eastAsia="宋体" w:cs="宋体"/>
                <w:b/>
                <w:sz w:val="24"/>
              </w:rPr>
            </w:pPr>
            <w:r>
              <w:rPr>
                <w:rFonts w:hint="eastAsia" w:ascii="宋体" w:hAnsi="宋体" w:eastAsia="宋体" w:cs="宋体"/>
                <w:b/>
                <w:sz w:val="24"/>
              </w:rPr>
              <w:t>法定代表身份证复印件粘帖处</w:t>
            </w:r>
          </w:p>
        </w:tc>
      </w:tr>
    </w:tbl>
    <w:p>
      <w:pPr>
        <w:spacing w:line="360" w:lineRule="auto"/>
        <w:rPr>
          <w:rFonts w:hint="eastAsia" w:ascii="宋体" w:hAnsi="宋体" w:eastAsia="宋体" w:cs="宋体"/>
          <w:sz w:val="24"/>
        </w:rPr>
      </w:pPr>
      <w:r>
        <w:rPr>
          <w:rFonts w:hint="eastAsia" w:ascii="宋体" w:hAnsi="宋体" w:eastAsia="宋体" w:cs="宋体"/>
          <w:sz w:val="24"/>
        </w:rPr>
        <w:t xml:space="preserve">法定代表人姓名：                                 </w:t>
      </w:r>
    </w:p>
    <w:p>
      <w:pPr>
        <w:spacing w:line="360" w:lineRule="auto"/>
        <w:rPr>
          <w:rFonts w:hint="eastAsia" w:ascii="宋体" w:hAnsi="宋体" w:eastAsia="宋体" w:cs="宋体"/>
          <w:sz w:val="24"/>
        </w:rPr>
      </w:pPr>
      <w:r>
        <w:rPr>
          <w:rFonts w:hint="eastAsia" w:ascii="宋体" w:hAnsi="宋体" w:eastAsia="宋体" w:cs="宋体"/>
          <w:sz w:val="24"/>
        </w:rPr>
        <w:t>传真：</w:t>
      </w:r>
    </w:p>
    <w:p>
      <w:pPr>
        <w:spacing w:line="360" w:lineRule="auto"/>
        <w:rPr>
          <w:rFonts w:hint="eastAsia" w:ascii="宋体" w:hAnsi="宋体" w:eastAsia="宋体" w:cs="宋体"/>
          <w:sz w:val="24"/>
        </w:rPr>
      </w:pPr>
      <w:r>
        <w:rPr>
          <w:rFonts w:hint="eastAsia" w:ascii="宋体" w:hAnsi="宋体" w:eastAsia="宋体" w:cs="宋体"/>
          <w:sz w:val="24"/>
        </w:rPr>
        <w:t>电话：</w:t>
      </w:r>
    </w:p>
    <w:p>
      <w:pPr>
        <w:spacing w:line="360" w:lineRule="auto"/>
        <w:rPr>
          <w:rFonts w:hint="eastAsia" w:ascii="宋体" w:hAnsi="宋体" w:eastAsia="宋体" w:cs="宋体"/>
          <w:sz w:val="24"/>
        </w:rPr>
      </w:pPr>
      <w:r>
        <w:rPr>
          <w:rFonts w:hint="eastAsia" w:ascii="宋体" w:hAnsi="宋体" w:eastAsia="宋体" w:cs="宋体"/>
          <w:sz w:val="24"/>
        </w:rPr>
        <w:t>详细通讯地址：</w:t>
      </w:r>
    </w:p>
    <w:p>
      <w:pPr>
        <w:spacing w:line="360" w:lineRule="auto"/>
        <w:rPr>
          <w:rFonts w:hint="eastAsia" w:ascii="宋体" w:hAnsi="宋体" w:eastAsia="宋体" w:cs="宋体"/>
          <w:b/>
          <w:sz w:val="24"/>
        </w:rPr>
      </w:pPr>
      <w:r>
        <w:rPr>
          <w:rFonts w:hint="eastAsia" w:ascii="宋体" w:hAnsi="宋体" w:eastAsia="宋体" w:cs="宋体"/>
          <w:sz w:val="24"/>
        </w:rPr>
        <w:t>邮政编码：</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hint="eastAsia" w:ascii="宋体" w:hAnsi="宋体" w:eastAsia="宋体" w:cs="宋体"/>
                <w:b/>
                <w:sz w:val="24"/>
              </w:rPr>
            </w:pPr>
          </w:p>
          <w:p>
            <w:pPr>
              <w:spacing w:line="360" w:lineRule="auto"/>
              <w:ind w:firstLine="361" w:firstLineChars="150"/>
              <w:rPr>
                <w:rFonts w:hint="eastAsia" w:ascii="宋体" w:hAnsi="宋体" w:eastAsia="宋体" w:cs="宋体"/>
                <w:b/>
                <w:sz w:val="24"/>
              </w:rPr>
            </w:pPr>
            <w:r>
              <w:rPr>
                <w:rFonts w:hint="eastAsia" w:ascii="宋体" w:hAnsi="宋体" w:eastAsia="宋体" w:cs="宋体"/>
                <w:b/>
                <w:sz w:val="24"/>
              </w:rPr>
              <w:t>全权代表身份证复印件粘帖处</w:t>
            </w:r>
          </w:p>
        </w:tc>
      </w:tr>
    </w:tbl>
    <w:p>
      <w:pPr>
        <w:spacing w:line="360" w:lineRule="auto"/>
        <w:rPr>
          <w:rFonts w:hint="eastAsia" w:ascii="宋体" w:hAnsi="宋体" w:eastAsia="宋体" w:cs="宋体"/>
          <w:sz w:val="24"/>
        </w:rPr>
      </w:pPr>
      <w:r>
        <w:rPr>
          <w:rFonts w:hint="eastAsia" w:ascii="宋体" w:hAnsi="宋体" w:eastAsia="宋体" w:cs="宋体"/>
          <w:sz w:val="24"/>
        </w:rPr>
        <w:t xml:space="preserve">全权代表姓名：       </w:t>
      </w:r>
    </w:p>
    <w:p>
      <w:pPr>
        <w:spacing w:line="360" w:lineRule="auto"/>
        <w:rPr>
          <w:rFonts w:hint="eastAsia" w:ascii="宋体" w:hAnsi="宋体" w:eastAsia="宋体" w:cs="宋体"/>
          <w:sz w:val="24"/>
        </w:rPr>
      </w:pPr>
      <w:r>
        <w:rPr>
          <w:rFonts w:hint="eastAsia" w:ascii="宋体" w:hAnsi="宋体" w:eastAsia="宋体" w:cs="宋体"/>
          <w:sz w:val="24"/>
        </w:rPr>
        <w:t xml:space="preserve">职务：                           </w:t>
      </w:r>
    </w:p>
    <w:p>
      <w:pPr>
        <w:spacing w:line="360" w:lineRule="auto"/>
        <w:rPr>
          <w:rFonts w:hint="eastAsia" w:ascii="宋体" w:hAnsi="宋体" w:eastAsia="宋体" w:cs="宋体"/>
          <w:sz w:val="24"/>
        </w:rPr>
      </w:pPr>
      <w:r>
        <w:rPr>
          <w:rFonts w:hint="eastAsia" w:ascii="宋体" w:hAnsi="宋体" w:eastAsia="宋体" w:cs="宋体"/>
          <w:sz w:val="24"/>
        </w:rPr>
        <w:t>传真：</w:t>
      </w:r>
    </w:p>
    <w:p>
      <w:pPr>
        <w:spacing w:line="360" w:lineRule="auto"/>
        <w:rPr>
          <w:rFonts w:hint="eastAsia" w:ascii="宋体" w:hAnsi="宋体" w:eastAsia="宋体" w:cs="宋体"/>
          <w:sz w:val="24"/>
        </w:rPr>
      </w:pPr>
      <w:r>
        <w:rPr>
          <w:rFonts w:hint="eastAsia" w:ascii="宋体" w:hAnsi="宋体" w:eastAsia="宋体" w:cs="宋体"/>
          <w:sz w:val="24"/>
        </w:rPr>
        <w:t>电话：</w:t>
      </w:r>
    </w:p>
    <w:p>
      <w:pPr>
        <w:spacing w:line="360" w:lineRule="auto"/>
        <w:rPr>
          <w:rFonts w:hint="eastAsia" w:ascii="宋体" w:hAnsi="宋体" w:eastAsia="宋体" w:cs="宋体"/>
          <w:sz w:val="24"/>
        </w:rPr>
      </w:pPr>
      <w:r>
        <w:rPr>
          <w:rFonts w:hint="eastAsia" w:ascii="宋体" w:hAnsi="宋体" w:eastAsia="宋体" w:cs="宋体"/>
          <w:sz w:val="24"/>
        </w:rPr>
        <w:t>详细通讯地址：</w:t>
      </w:r>
    </w:p>
    <w:p>
      <w:pPr>
        <w:spacing w:line="360" w:lineRule="auto"/>
        <w:rPr>
          <w:rFonts w:hint="eastAsia" w:ascii="宋体" w:hAnsi="宋体" w:eastAsia="宋体" w:cs="宋体"/>
          <w:sz w:val="24"/>
        </w:rPr>
      </w:pPr>
      <w:r>
        <w:rPr>
          <w:rFonts w:hint="eastAsia" w:ascii="宋体" w:hAnsi="宋体" w:eastAsia="宋体" w:cs="宋体"/>
          <w:sz w:val="24"/>
        </w:rPr>
        <w:t>邮政编码：</w:t>
      </w:r>
    </w:p>
    <w:p>
      <w:pPr>
        <w:pStyle w:val="29"/>
        <w:shd w:val="clear" w:color="auto" w:fill="FFFFFF"/>
        <w:spacing w:before="0" w:beforeAutospacing="0" w:after="0" w:afterAutospacing="0" w:line="360" w:lineRule="auto"/>
        <w:rPr>
          <w:rFonts w:hint="eastAsia" w:ascii="宋体" w:hAnsi="宋体" w:eastAsia="宋体" w:cs="宋体"/>
          <w:b/>
          <w:sz w:val="28"/>
        </w:rPr>
      </w:pPr>
    </w:p>
    <w:p>
      <w:pPr>
        <w:pStyle w:val="29"/>
        <w:shd w:val="clear" w:color="auto" w:fill="FFFFFF"/>
        <w:spacing w:before="0" w:beforeAutospacing="0" w:after="0" w:afterAutospacing="0" w:line="360" w:lineRule="auto"/>
        <w:rPr>
          <w:rFonts w:hint="eastAsia" w:ascii="宋体" w:hAnsi="宋体" w:eastAsia="宋体" w:cs="宋体"/>
          <w:b/>
          <w:sz w:val="28"/>
        </w:rPr>
      </w:pPr>
    </w:p>
    <w:p>
      <w:pPr>
        <w:pStyle w:val="29"/>
        <w:shd w:val="clear" w:color="auto" w:fill="FFFFFF"/>
        <w:spacing w:before="0" w:beforeAutospacing="0" w:after="0" w:afterAutospacing="0" w:line="360" w:lineRule="auto"/>
        <w:rPr>
          <w:rFonts w:hint="eastAsia" w:ascii="宋体" w:hAnsi="宋体" w:eastAsia="宋体" w:cs="宋体"/>
          <w:b/>
          <w:sz w:val="28"/>
        </w:rPr>
      </w:pPr>
      <w:r>
        <w:rPr>
          <w:rFonts w:hint="eastAsia" w:ascii="宋体" w:hAnsi="宋体" w:eastAsia="宋体" w:cs="宋体"/>
          <w:b/>
          <w:sz w:val="28"/>
        </w:rPr>
        <w:t xml:space="preserve">附件4：       </w:t>
      </w:r>
    </w:p>
    <w:p>
      <w:pPr>
        <w:autoSpaceDE w:val="0"/>
        <w:autoSpaceDN w:val="0"/>
        <w:adjustRightInd w:val="0"/>
        <w:spacing w:line="400" w:lineRule="exact"/>
        <w:jc w:val="center"/>
        <w:rPr>
          <w:rFonts w:hint="eastAsia" w:ascii="宋体" w:hAnsi="宋体" w:eastAsia="宋体" w:cs="宋体"/>
          <w:bCs/>
          <w:sz w:val="30"/>
          <w:szCs w:val="30"/>
          <w:lang w:val="zh-CN"/>
        </w:rPr>
      </w:pPr>
      <w:r>
        <w:rPr>
          <w:rFonts w:hint="eastAsia" w:ascii="宋体" w:hAnsi="宋体" w:eastAsia="宋体" w:cs="宋体"/>
          <w:bCs/>
          <w:sz w:val="30"/>
          <w:szCs w:val="30"/>
          <w:lang w:val="zh-CN"/>
        </w:rPr>
        <w:t>供应商综合情况一览表</w:t>
      </w:r>
    </w:p>
    <w:p>
      <w:pPr>
        <w:autoSpaceDE w:val="0"/>
        <w:autoSpaceDN w:val="0"/>
        <w:adjustRightInd w:val="0"/>
        <w:spacing w:line="400" w:lineRule="exact"/>
        <w:jc w:val="center"/>
        <w:rPr>
          <w:rFonts w:hint="eastAsia" w:ascii="宋体" w:hAnsi="宋体" w:eastAsia="宋体" w:cs="宋体"/>
          <w:bCs/>
          <w:sz w:val="24"/>
          <w:lang w:val="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429"/>
        <w:gridCol w:w="1533"/>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sz w:val="24"/>
              </w:rPr>
            </w:pPr>
            <w:r>
              <w:rPr>
                <w:rFonts w:hint="eastAsia" w:ascii="宋体" w:hAnsi="宋体" w:eastAsia="宋体" w:cs="宋体"/>
                <w:sz w:val="24"/>
              </w:rPr>
              <w:t>单位名称</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spacing w:val="20"/>
                <w:sz w:val="24"/>
              </w:rPr>
            </w:pPr>
            <w:r>
              <w:rPr>
                <w:rFonts w:hint="eastAsia" w:ascii="宋体" w:hAnsi="宋体" w:eastAsia="宋体" w:cs="宋体"/>
                <w:spacing w:val="20"/>
                <w:sz w:val="24"/>
              </w:rPr>
              <w:t>法人代表</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sz w:val="24"/>
              </w:rPr>
            </w:pPr>
            <w:r>
              <w:rPr>
                <w:rFonts w:hint="eastAsia" w:ascii="宋体" w:hAnsi="宋体" w:eastAsia="宋体" w:cs="宋体"/>
                <w:sz w:val="24"/>
              </w:rPr>
              <w:t>单位性质</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spacing w:val="20"/>
                <w:sz w:val="24"/>
              </w:rPr>
            </w:pPr>
            <w:r>
              <w:rPr>
                <w:rFonts w:hint="eastAsia" w:ascii="宋体" w:hAnsi="宋体" w:eastAsia="宋体" w:cs="宋体"/>
                <w:spacing w:val="20"/>
                <w:sz w:val="24"/>
              </w:rPr>
              <w:t>资质等级</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sz w:val="24"/>
              </w:rPr>
            </w:pPr>
            <w:r>
              <w:rPr>
                <w:rFonts w:hint="eastAsia" w:ascii="宋体" w:hAnsi="宋体" w:eastAsia="宋体" w:cs="宋体"/>
                <w:sz w:val="24"/>
              </w:rPr>
              <w:t>注册资金</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spacing w:val="-20"/>
                <w:sz w:val="24"/>
              </w:rPr>
            </w:pPr>
            <w:r>
              <w:rPr>
                <w:rFonts w:hint="eastAsia" w:ascii="宋体" w:hAnsi="宋体" w:eastAsia="宋体" w:cs="宋体"/>
                <w:spacing w:val="-20"/>
                <w:sz w:val="24"/>
              </w:rPr>
              <w:t>单位组建时间</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sz w:val="24"/>
              </w:rPr>
            </w:pPr>
            <w:r>
              <w:rPr>
                <w:rFonts w:hint="eastAsia" w:ascii="宋体" w:hAnsi="宋体" w:eastAsia="宋体" w:cs="宋体"/>
                <w:sz w:val="24"/>
              </w:rPr>
              <w:t>单位地址</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sz w:val="24"/>
              </w:rPr>
            </w:pPr>
            <w:r>
              <w:rPr>
                <w:rFonts w:hint="eastAsia" w:ascii="宋体" w:hAnsi="宋体" w:eastAsia="宋体" w:cs="宋体"/>
                <w:sz w:val="24"/>
              </w:rPr>
              <w:t>主要联系人</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sz w:val="24"/>
              </w:rPr>
            </w:pPr>
            <w:r>
              <w:rPr>
                <w:rFonts w:hint="eastAsia" w:ascii="宋体" w:hAnsi="宋体" w:eastAsia="宋体" w:cs="宋体"/>
                <w:sz w:val="24"/>
              </w:rPr>
              <w:t>开户银行</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sz w:val="24"/>
              </w:rPr>
            </w:pPr>
            <w:r>
              <w:rPr>
                <w:rFonts w:hint="eastAsia" w:ascii="宋体" w:hAnsi="宋体" w:eastAsia="宋体" w:cs="宋体"/>
                <w:sz w:val="24"/>
              </w:rPr>
              <w:t>邮      编</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sz w:val="24"/>
              </w:rPr>
            </w:pPr>
            <w:r>
              <w:rPr>
                <w:rFonts w:hint="eastAsia" w:ascii="宋体" w:hAnsi="宋体" w:eastAsia="宋体" w:cs="宋体"/>
                <w:sz w:val="24"/>
              </w:rPr>
              <w:t>经营范围</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sz w:val="24"/>
              </w:rPr>
            </w:pPr>
            <w:r>
              <w:rPr>
                <w:rFonts w:hint="eastAsia" w:ascii="宋体" w:hAnsi="宋体" w:eastAsia="宋体" w:cs="宋体"/>
                <w:sz w:val="24"/>
              </w:rPr>
              <w:t>电      话</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9" w:hRule="atLeast"/>
        </w:trPr>
        <w:tc>
          <w:tcPr>
            <w:tcW w:w="12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hint="eastAsia" w:ascii="宋体" w:hAnsi="宋体" w:eastAsia="宋体" w:cs="宋体"/>
                <w:sz w:val="24"/>
              </w:rPr>
            </w:pPr>
          </w:p>
          <w:p>
            <w:pPr>
              <w:autoSpaceDE w:val="0"/>
              <w:autoSpaceDN w:val="0"/>
              <w:adjustRightInd w:val="0"/>
              <w:spacing w:line="400" w:lineRule="exact"/>
              <w:rPr>
                <w:rFonts w:hint="eastAsia" w:ascii="宋体" w:hAnsi="宋体" w:eastAsia="宋体" w:cs="宋体"/>
                <w:sz w:val="24"/>
              </w:rPr>
            </w:pPr>
          </w:p>
          <w:p>
            <w:pPr>
              <w:autoSpaceDE w:val="0"/>
              <w:autoSpaceDN w:val="0"/>
              <w:adjustRightInd w:val="0"/>
              <w:spacing w:line="400" w:lineRule="exact"/>
              <w:rPr>
                <w:rFonts w:hint="eastAsia" w:ascii="宋体" w:hAnsi="宋体" w:eastAsia="宋体" w:cs="宋体"/>
                <w:sz w:val="24"/>
              </w:rPr>
            </w:pPr>
            <w:r>
              <w:rPr>
                <w:rFonts w:hint="eastAsia" w:ascii="宋体" w:hAnsi="宋体" w:eastAsia="宋体" w:cs="宋体"/>
                <w:sz w:val="24"/>
              </w:rPr>
              <w:t>单位人</w:t>
            </w:r>
          </w:p>
          <w:p>
            <w:pPr>
              <w:autoSpaceDE w:val="0"/>
              <w:autoSpaceDN w:val="0"/>
              <w:adjustRightInd w:val="0"/>
              <w:spacing w:line="400" w:lineRule="exact"/>
              <w:rPr>
                <w:rFonts w:hint="eastAsia" w:ascii="宋体" w:hAnsi="宋体" w:eastAsia="宋体" w:cs="宋体"/>
                <w:sz w:val="24"/>
              </w:rPr>
            </w:pPr>
            <w:r>
              <w:rPr>
                <w:rFonts w:hint="eastAsia" w:ascii="宋体" w:hAnsi="宋体" w:eastAsia="宋体" w:cs="宋体"/>
                <w:sz w:val="24"/>
              </w:rPr>
              <w:t>员状况</w:t>
            </w:r>
          </w:p>
        </w:tc>
        <w:tc>
          <w:tcPr>
            <w:tcW w:w="342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hint="eastAsia" w:ascii="宋体" w:hAnsi="宋体" w:eastAsia="宋体" w:cs="宋体"/>
                <w:sz w:val="24"/>
              </w:rPr>
            </w:pPr>
            <w:r>
              <w:rPr>
                <w:rFonts w:hint="eastAsia" w:ascii="宋体" w:hAnsi="宋体" w:eastAsia="宋体" w:cs="宋体"/>
                <w:sz w:val="24"/>
              </w:rPr>
              <w:t>单位总人数           人；</w:t>
            </w:r>
          </w:p>
          <w:p>
            <w:pPr>
              <w:autoSpaceDE w:val="0"/>
              <w:autoSpaceDN w:val="0"/>
              <w:adjustRightInd w:val="0"/>
              <w:spacing w:line="400" w:lineRule="exact"/>
              <w:rPr>
                <w:rFonts w:hint="eastAsia" w:ascii="宋体" w:hAnsi="宋体" w:eastAsia="宋体" w:cs="宋体"/>
                <w:sz w:val="24"/>
              </w:rPr>
            </w:pPr>
            <w:r>
              <w:rPr>
                <w:rFonts w:hint="eastAsia" w:ascii="宋体" w:hAnsi="宋体" w:eastAsia="宋体" w:cs="宋体"/>
                <w:sz w:val="24"/>
              </w:rPr>
              <w:t>在册项目技术人员     人；</w:t>
            </w:r>
          </w:p>
          <w:p>
            <w:pPr>
              <w:autoSpaceDE w:val="0"/>
              <w:autoSpaceDN w:val="0"/>
              <w:adjustRightInd w:val="0"/>
              <w:spacing w:line="400" w:lineRule="exact"/>
              <w:rPr>
                <w:rFonts w:hint="eastAsia" w:ascii="宋体" w:hAnsi="宋体" w:eastAsia="宋体" w:cs="宋体"/>
                <w:sz w:val="24"/>
              </w:rPr>
            </w:pPr>
            <w:r>
              <w:rPr>
                <w:rFonts w:hint="eastAsia" w:ascii="宋体" w:hAnsi="宋体" w:eastAsia="宋体" w:cs="宋体"/>
                <w:sz w:val="24"/>
              </w:rPr>
              <w:t>其    中：</w:t>
            </w:r>
          </w:p>
          <w:p>
            <w:pPr>
              <w:autoSpaceDE w:val="0"/>
              <w:autoSpaceDN w:val="0"/>
              <w:adjustRightInd w:val="0"/>
              <w:spacing w:line="400" w:lineRule="exact"/>
              <w:rPr>
                <w:rFonts w:hint="eastAsia" w:ascii="宋体" w:hAnsi="宋体" w:eastAsia="宋体" w:cs="宋体"/>
                <w:sz w:val="24"/>
              </w:rPr>
            </w:pPr>
            <w:r>
              <w:rPr>
                <w:rFonts w:hint="eastAsia" w:ascii="宋体" w:hAnsi="宋体" w:eastAsia="宋体" w:cs="宋体"/>
                <w:sz w:val="24"/>
              </w:rPr>
              <w:t>高级称职             人；</w:t>
            </w:r>
          </w:p>
          <w:p>
            <w:pPr>
              <w:autoSpaceDE w:val="0"/>
              <w:autoSpaceDN w:val="0"/>
              <w:adjustRightInd w:val="0"/>
              <w:spacing w:line="400" w:lineRule="exact"/>
              <w:rPr>
                <w:rFonts w:hint="eastAsia" w:ascii="宋体" w:hAnsi="宋体" w:eastAsia="宋体" w:cs="宋体"/>
                <w:sz w:val="24"/>
              </w:rPr>
            </w:pPr>
            <w:r>
              <w:rPr>
                <w:rFonts w:hint="eastAsia" w:ascii="宋体" w:hAnsi="宋体" w:eastAsia="宋体" w:cs="宋体"/>
                <w:sz w:val="24"/>
              </w:rPr>
              <w:t>中级职称             人；</w:t>
            </w:r>
          </w:p>
          <w:p>
            <w:pPr>
              <w:autoSpaceDE w:val="0"/>
              <w:autoSpaceDN w:val="0"/>
              <w:adjustRightInd w:val="0"/>
              <w:spacing w:line="400" w:lineRule="exact"/>
              <w:rPr>
                <w:rFonts w:hint="eastAsia" w:ascii="宋体" w:hAnsi="宋体" w:eastAsia="宋体" w:cs="宋体"/>
                <w:sz w:val="24"/>
              </w:rPr>
            </w:pPr>
            <w:r>
              <w:rPr>
                <w:rFonts w:hint="eastAsia" w:ascii="宋体" w:hAnsi="宋体" w:eastAsia="宋体" w:cs="宋体"/>
                <w:sz w:val="24"/>
              </w:rPr>
              <w:t>初级职称             人；</w:t>
            </w:r>
          </w:p>
          <w:p>
            <w:pPr>
              <w:autoSpaceDE w:val="0"/>
              <w:autoSpaceDN w:val="0"/>
              <w:adjustRightInd w:val="0"/>
              <w:spacing w:line="400" w:lineRule="exact"/>
              <w:rPr>
                <w:rFonts w:hint="eastAsia" w:ascii="宋体" w:hAnsi="宋体" w:eastAsia="宋体" w:cs="宋体"/>
                <w:sz w:val="24"/>
              </w:rPr>
            </w:pPr>
            <w:r>
              <w:rPr>
                <w:rFonts w:hint="eastAsia" w:ascii="宋体" w:hAnsi="宋体" w:eastAsia="宋体" w:cs="宋体"/>
                <w:sz w:val="24"/>
              </w:rPr>
              <w:t>专业技术人员         人。</w:t>
            </w:r>
          </w:p>
          <w:p>
            <w:pPr>
              <w:autoSpaceDE w:val="0"/>
              <w:autoSpaceDN w:val="0"/>
              <w:adjustRightInd w:val="0"/>
              <w:spacing w:line="400" w:lineRule="exact"/>
              <w:rPr>
                <w:rFonts w:hint="eastAsia" w:ascii="宋体" w:hAnsi="宋体" w:eastAsia="宋体" w:cs="宋体"/>
                <w:sz w:val="24"/>
              </w:rPr>
            </w:pPr>
          </w:p>
        </w:tc>
        <w:tc>
          <w:tcPr>
            <w:tcW w:w="4509" w:type="dxa"/>
            <w:gridSpan w:val="2"/>
            <w:tcBorders>
              <w:top w:val="single" w:color="auto" w:sz="4" w:space="0"/>
              <w:left w:val="single" w:color="auto" w:sz="4" w:space="0"/>
              <w:right w:val="single" w:color="auto" w:sz="4" w:space="0"/>
            </w:tcBorders>
          </w:tcPr>
          <w:p>
            <w:pPr>
              <w:autoSpaceDE w:val="0"/>
              <w:autoSpaceDN w:val="0"/>
              <w:adjustRightInd w:val="0"/>
              <w:spacing w:line="400" w:lineRule="exact"/>
              <w:rPr>
                <w:rFonts w:hint="eastAsia" w:ascii="宋体" w:hAnsi="宋体" w:eastAsia="宋体" w:cs="宋体"/>
                <w:sz w:val="24"/>
              </w:rPr>
            </w:pPr>
            <w:r>
              <w:rPr>
                <w:rFonts w:hint="eastAsia" w:ascii="宋体" w:hAnsi="宋体" w:eastAsia="宋体" w:cs="宋体"/>
                <w:sz w:val="24"/>
              </w:rPr>
              <w:t>单位固定资产总额          万元；</w:t>
            </w:r>
          </w:p>
          <w:p>
            <w:pPr>
              <w:autoSpaceDE w:val="0"/>
              <w:autoSpaceDN w:val="0"/>
              <w:adjustRightInd w:val="0"/>
              <w:spacing w:line="400" w:lineRule="exact"/>
              <w:rPr>
                <w:rFonts w:hint="eastAsia" w:ascii="宋体" w:hAnsi="宋体" w:eastAsia="宋体" w:cs="宋体"/>
                <w:sz w:val="24"/>
              </w:rPr>
            </w:pPr>
            <w:r>
              <w:rPr>
                <w:rFonts w:hint="eastAsia" w:ascii="宋体" w:hAnsi="宋体" w:eastAsia="宋体" w:cs="宋体"/>
                <w:sz w:val="24"/>
              </w:rPr>
              <w:t>其    中：</w:t>
            </w:r>
          </w:p>
          <w:p>
            <w:pPr>
              <w:autoSpaceDE w:val="0"/>
              <w:autoSpaceDN w:val="0"/>
              <w:adjustRightInd w:val="0"/>
              <w:spacing w:line="400" w:lineRule="exact"/>
              <w:rPr>
                <w:rFonts w:hint="eastAsia" w:ascii="宋体" w:hAnsi="宋体" w:eastAsia="宋体" w:cs="宋体"/>
                <w:sz w:val="24"/>
              </w:rPr>
            </w:pPr>
            <w:r>
              <w:rPr>
                <w:rFonts w:hint="eastAsia" w:ascii="宋体" w:hAnsi="宋体" w:eastAsia="宋体" w:cs="宋体"/>
                <w:sz w:val="24"/>
              </w:rPr>
              <w:t>设备总数                    台；</w:t>
            </w:r>
          </w:p>
          <w:p>
            <w:pPr>
              <w:autoSpaceDE w:val="0"/>
              <w:autoSpaceDN w:val="0"/>
              <w:adjustRightInd w:val="0"/>
              <w:spacing w:line="400" w:lineRule="exact"/>
              <w:rPr>
                <w:rFonts w:hint="eastAsia" w:ascii="宋体" w:hAnsi="宋体" w:eastAsia="宋体" w:cs="宋体"/>
                <w:sz w:val="24"/>
              </w:rPr>
            </w:pPr>
            <w:r>
              <w:rPr>
                <w:rFonts w:hint="eastAsia" w:ascii="宋体" w:hAnsi="宋体" w:eastAsia="宋体" w:cs="宋体"/>
                <w:sz w:val="24"/>
              </w:rPr>
              <w:t>计算机（PC机、服务器）      台；</w:t>
            </w:r>
          </w:p>
          <w:p>
            <w:pPr>
              <w:autoSpaceDE w:val="0"/>
              <w:autoSpaceDN w:val="0"/>
              <w:adjustRightInd w:val="0"/>
              <w:spacing w:line="400" w:lineRule="exact"/>
              <w:rPr>
                <w:rFonts w:hint="eastAsia" w:ascii="宋体" w:hAnsi="宋体" w:eastAsia="宋体" w:cs="宋体"/>
                <w:sz w:val="24"/>
              </w:rPr>
            </w:pPr>
            <w:r>
              <w:rPr>
                <w:rFonts w:hint="eastAsia" w:ascii="宋体" w:hAnsi="宋体" w:eastAsia="宋体" w:cs="宋体"/>
                <w:sz w:val="24"/>
              </w:rPr>
              <w:t>其它可用于本项目设备        台。</w:t>
            </w:r>
          </w:p>
        </w:tc>
      </w:tr>
    </w:tbl>
    <w:p>
      <w:pPr>
        <w:spacing w:line="500" w:lineRule="exact"/>
        <w:jc w:val="left"/>
        <w:rPr>
          <w:rFonts w:hint="eastAsia" w:ascii="宋体" w:hAnsi="宋体" w:eastAsia="宋体" w:cs="宋体"/>
          <w:sz w:val="24"/>
        </w:rPr>
      </w:pPr>
    </w:p>
    <w:p>
      <w:pPr>
        <w:spacing w:line="500" w:lineRule="exact"/>
        <w:jc w:val="left"/>
        <w:rPr>
          <w:rFonts w:hint="eastAsia" w:ascii="宋体" w:hAnsi="宋体" w:eastAsia="宋体" w:cs="宋体"/>
          <w:sz w:val="24"/>
        </w:rPr>
      </w:pPr>
    </w:p>
    <w:p>
      <w:pPr>
        <w:spacing w:line="360" w:lineRule="auto"/>
        <w:ind w:left="420"/>
        <w:rPr>
          <w:rFonts w:hint="eastAsia" w:ascii="宋体" w:hAnsi="宋体" w:eastAsia="宋体" w:cs="宋体"/>
          <w:sz w:val="24"/>
          <w:u w:val="single"/>
        </w:rPr>
      </w:pPr>
      <w:r>
        <w:rPr>
          <w:rFonts w:hint="eastAsia" w:ascii="宋体" w:hAnsi="宋体" w:eastAsia="宋体" w:cs="宋体"/>
          <w:sz w:val="24"/>
        </w:rPr>
        <w:t>谈判供应商名称（盖章）：</w:t>
      </w:r>
    </w:p>
    <w:p>
      <w:pPr>
        <w:spacing w:line="360" w:lineRule="auto"/>
        <w:ind w:left="420"/>
        <w:rPr>
          <w:rFonts w:hint="eastAsia" w:ascii="宋体" w:hAnsi="宋体" w:eastAsia="宋体" w:cs="宋体"/>
          <w:sz w:val="24"/>
        </w:rPr>
      </w:pPr>
    </w:p>
    <w:p>
      <w:pPr>
        <w:spacing w:line="360" w:lineRule="auto"/>
        <w:ind w:firstLine="435"/>
        <w:rPr>
          <w:rFonts w:hint="eastAsia" w:ascii="宋体" w:hAnsi="宋体" w:eastAsia="宋体" w:cs="宋体"/>
          <w:sz w:val="24"/>
        </w:rPr>
      </w:pPr>
      <w:r>
        <w:rPr>
          <w:rFonts w:hint="eastAsia" w:ascii="宋体" w:hAnsi="宋体" w:eastAsia="宋体" w:cs="宋体"/>
          <w:sz w:val="24"/>
        </w:rPr>
        <w:t>谈判供应商代表签字：</w:t>
      </w:r>
    </w:p>
    <w:p>
      <w:pPr>
        <w:spacing w:line="360" w:lineRule="auto"/>
        <w:ind w:firstLine="435"/>
        <w:rPr>
          <w:rFonts w:hint="eastAsia" w:ascii="宋体" w:hAnsi="宋体" w:eastAsia="宋体" w:cs="宋体"/>
          <w:sz w:val="24"/>
        </w:rPr>
      </w:pPr>
    </w:p>
    <w:p>
      <w:pPr>
        <w:spacing w:line="360" w:lineRule="auto"/>
        <w:ind w:firstLine="435"/>
        <w:rPr>
          <w:rFonts w:hint="eastAsia" w:ascii="宋体" w:hAnsi="宋体" w:eastAsia="宋体" w:cs="宋体"/>
          <w:b/>
          <w:sz w:val="28"/>
        </w:rPr>
      </w:pPr>
      <w:r>
        <w:rPr>
          <w:rFonts w:hint="eastAsia" w:ascii="宋体" w:hAnsi="宋体" w:eastAsia="宋体" w:cs="宋体"/>
          <w:sz w:val="24"/>
        </w:rPr>
        <w:t>日        期：</w:t>
      </w:r>
    </w:p>
    <w:p>
      <w:pPr>
        <w:pStyle w:val="29"/>
        <w:shd w:val="clear" w:color="auto" w:fill="FFFFFF"/>
        <w:spacing w:before="0" w:beforeAutospacing="0" w:after="0" w:afterAutospacing="0" w:line="360" w:lineRule="auto"/>
        <w:jc w:val="center"/>
        <w:rPr>
          <w:rFonts w:hint="eastAsia" w:ascii="宋体" w:hAnsi="宋体" w:eastAsia="宋体" w:cs="宋体"/>
          <w:shd w:val="clear" w:color="FFFFFF" w:fill="D9D9D9"/>
        </w:rPr>
      </w:pPr>
    </w:p>
    <w:p>
      <w:pPr>
        <w:pStyle w:val="29"/>
        <w:shd w:val="clear" w:color="auto" w:fill="FFFFFF"/>
        <w:spacing w:before="0" w:beforeAutospacing="0" w:after="0" w:afterAutospacing="0" w:line="360" w:lineRule="auto"/>
        <w:jc w:val="center"/>
        <w:rPr>
          <w:rFonts w:hint="eastAsia" w:ascii="宋体" w:hAnsi="宋体" w:eastAsia="宋体" w:cs="宋体"/>
          <w:shd w:val="clear" w:color="FFFFFF" w:fill="D9D9D9"/>
        </w:rPr>
      </w:pPr>
    </w:p>
    <w:p>
      <w:pPr>
        <w:pStyle w:val="29"/>
        <w:shd w:val="clear" w:color="auto" w:fill="FFFFFF"/>
        <w:spacing w:before="0" w:beforeAutospacing="0" w:after="0" w:afterAutospacing="0" w:line="360" w:lineRule="auto"/>
        <w:jc w:val="center"/>
        <w:rPr>
          <w:rFonts w:hint="eastAsia" w:ascii="宋体" w:hAnsi="宋体" w:eastAsia="宋体" w:cs="宋体"/>
          <w:shd w:val="clear" w:color="FFFFFF" w:fill="D9D9D9"/>
        </w:rPr>
      </w:pPr>
    </w:p>
    <w:p>
      <w:pPr>
        <w:snapToGrid w:val="0"/>
        <w:spacing w:before="50" w:after="50" w:line="360" w:lineRule="auto"/>
        <w:rPr>
          <w:rFonts w:hint="eastAsia" w:ascii="宋体" w:hAnsi="宋体" w:eastAsia="宋体" w:cs="宋体"/>
          <w:b/>
          <w:sz w:val="28"/>
        </w:rPr>
      </w:pPr>
    </w:p>
    <w:p>
      <w:pPr>
        <w:pStyle w:val="9"/>
        <w:rPr>
          <w:rFonts w:hint="eastAsia" w:ascii="宋体" w:hAnsi="宋体" w:eastAsia="宋体" w:cs="宋体"/>
        </w:rPr>
      </w:pPr>
    </w:p>
    <w:p>
      <w:pPr>
        <w:snapToGrid w:val="0"/>
        <w:spacing w:before="50" w:after="50" w:line="360" w:lineRule="auto"/>
        <w:rPr>
          <w:rFonts w:hint="eastAsia" w:ascii="宋体" w:hAnsi="宋体" w:eastAsia="宋体" w:cs="宋体"/>
          <w:b/>
          <w:sz w:val="32"/>
          <w:szCs w:val="32"/>
        </w:rPr>
      </w:pPr>
      <w:r>
        <w:rPr>
          <w:rFonts w:hint="eastAsia" w:ascii="宋体" w:hAnsi="宋体" w:eastAsia="宋体" w:cs="宋体"/>
          <w:b/>
          <w:sz w:val="28"/>
        </w:rPr>
        <w:t>附件5：</w:t>
      </w:r>
    </w:p>
    <w:p>
      <w:pPr>
        <w:spacing w:line="500" w:lineRule="exact"/>
        <w:ind w:firstLine="2650" w:firstLineChars="1100"/>
        <w:rPr>
          <w:rFonts w:hint="eastAsia" w:ascii="宋体" w:hAnsi="宋体" w:eastAsia="宋体" w:cs="宋体"/>
          <w:b/>
          <w:sz w:val="24"/>
        </w:rPr>
      </w:pPr>
      <w:r>
        <w:rPr>
          <w:rFonts w:hint="eastAsia" w:ascii="宋体" w:hAnsi="宋体" w:cs="宋体"/>
          <w:b/>
          <w:sz w:val="24"/>
          <w:lang w:eastAsia="zh-CN"/>
        </w:rPr>
        <w:t>总监理工程师</w:t>
      </w:r>
      <w:r>
        <w:rPr>
          <w:rFonts w:hint="eastAsia" w:ascii="宋体" w:hAnsi="宋体" w:eastAsia="宋体" w:cs="宋体"/>
          <w:b/>
          <w:sz w:val="24"/>
        </w:rPr>
        <w:t>和团队组成人员基本情况表</w:t>
      </w:r>
    </w:p>
    <w:p>
      <w:pPr>
        <w:jc w:val="center"/>
        <w:rPr>
          <w:rFonts w:hint="eastAsia" w:ascii="宋体" w:hAnsi="宋体" w:eastAsia="宋体" w:cs="宋体"/>
          <w:b/>
        </w:rPr>
      </w:pPr>
    </w:p>
    <w:p>
      <w:pPr>
        <w:jc w:val="center"/>
        <w:rPr>
          <w:rFonts w:hint="eastAsia" w:ascii="宋体" w:hAnsi="宋体" w:eastAsia="宋体" w:cs="宋体"/>
          <w:b/>
        </w:rPr>
      </w:pP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0"/>
        <w:gridCol w:w="1659"/>
        <w:gridCol w:w="1349"/>
        <w:gridCol w:w="2340"/>
        <w:gridCol w:w="19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4" w:hRule="atLeast"/>
        </w:trPr>
        <w:tc>
          <w:tcPr>
            <w:tcW w:w="2140" w:type="dxa"/>
            <w:tcBorders>
              <w:top w:val="single" w:color="auto" w:sz="12" w:space="0"/>
              <w:left w:val="single" w:color="auto" w:sz="12" w:space="0"/>
              <w:bottom w:val="single" w:color="auto" w:sz="6" w:space="0"/>
              <w:right w:val="single" w:color="auto" w:sz="6" w:space="0"/>
            </w:tcBorders>
            <w:vAlign w:val="center"/>
          </w:tcPr>
          <w:p>
            <w:pPr>
              <w:jc w:val="center"/>
              <w:rPr>
                <w:rFonts w:hint="eastAsia" w:ascii="宋体" w:hAnsi="宋体" w:eastAsia="宋体" w:cs="宋体"/>
                <w:sz w:val="24"/>
              </w:rPr>
            </w:pPr>
            <w:r>
              <w:rPr>
                <w:rFonts w:hint="eastAsia" w:ascii="宋体" w:hAnsi="宋体" w:eastAsia="宋体" w:cs="宋体"/>
                <w:sz w:val="24"/>
              </w:rPr>
              <w:t>人员安排</w:t>
            </w:r>
          </w:p>
        </w:tc>
        <w:tc>
          <w:tcPr>
            <w:tcW w:w="1659"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4"/>
              </w:rPr>
            </w:pPr>
            <w:r>
              <w:rPr>
                <w:rFonts w:hint="eastAsia" w:ascii="宋体" w:hAnsi="宋体" w:eastAsia="宋体" w:cs="宋体"/>
                <w:sz w:val="24"/>
              </w:rPr>
              <w:t>姓名</w:t>
            </w:r>
          </w:p>
        </w:tc>
        <w:tc>
          <w:tcPr>
            <w:tcW w:w="1349" w:type="dxa"/>
            <w:tcBorders>
              <w:top w:val="single" w:color="auto" w:sz="12" w:space="0"/>
              <w:left w:val="single" w:color="auto" w:sz="6" w:space="0"/>
              <w:bottom w:val="single" w:color="auto" w:sz="6" w:space="0"/>
              <w:right w:val="sing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性别</w:t>
            </w:r>
          </w:p>
        </w:tc>
        <w:tc>
          <w:tcPr>
            <w:tcW w:w="2340" w:type="dxa"/>
            <w:tcBorders>
              <w:top w:val="single" w:color="auto" w:sz="12" w:space="0"/>
              <w:left w:val="single" w:color="auto" w:sz="4" w:space="0"/>
              <w:bottom w:val="single" w:color="auto" w:sz="6" w:space="0"/>
              <w:right w:val="sing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所学专业</w:t>
            </w:r>
          </w:p>
        </w:tc>
        <w:tc>
          <w:tcPr>
            <w:tcW w:w="1980" w:type="dxa"/>
            <w:tcBorders>
              <w:top w:val="single" w:color="auto" w:sz="12" w:space="0"/>
              <w:left w:val="single" w:color="auto" w:sz="4" w:space="0"/>
              <w:bottom w:val="single" w:color="auto" w:sz="6" w:space="0"/>
              <w:right w:val="single" w:color="auto" w:sz="12" w:space="0"/>
            </w:tcBorders>
            <w:vAlign w:val="center"/>
          </w:tcPr>
          <w:p>
            <w:pPr>
              <w:jc w:val="center"/>
              <w:rPr>
                <w:rFonts w:hint="eastAsia" w:ascii="宋体" w:hAnsi="宋体" w:eastAsia="宋体" w:cs="宋体"/>
                <w:sz w:val="24"/>
              </w:rPr>
            </w:pPr>
            <w:r>
              <w:rPr>
                <w:rFonts w:hint="eastAsia" w:ascii="宋体" w:hAnsi="宋体" w:eastAsia="宋体" w:cs="宋体"/>
                <w:sz w:val="24"/>
              </w:rPr>
              <w:t>现任职务及职称或证书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rFonts w:hint="eastAsia" w:ascii="宋体" w:hAnsi="宋体" w:eastAsia="宋体" w:cs="宋体"/>
                <w:sz w:val="24"/>
              </w:rPr>
            </w:pPr>
          </w:p>
        </w:tc>
        <w:tc>
          <w:tcPr>
            <w:tcW w:w="1659"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eastAsia="宋体" w:cs="宋体"/>
                <w:sz w:val="24"/>
              </w:rPr>
            </w:pPr>
          </w:p>
        </w:tc>
        <w:tc>
          <w:tcPr>
            <w:tcW w:w="1349" w:type="dxa"/>
            <w:tcBorders>
              <w:top w:val="single" w:color="auto" w:sz="6" w:space="0"/>
              <w:left w:val="single" w:color="auto" w:sz="6" w:space="0"/>
              <w:bottom w:val="single" w:color="auto" w:sz="6" w:space="0"/>
              <w:right w:val="single" w:color="auto" w:sz="4" w:space="0"/>
            </w:tcBorders>
            <w:vAlign w:val="center"/>
          </w:tcPr>
          <w:p>
            <w:pPr>
              <w:rPr>
                <w:rFonts w:hint="eastAsia" w:ascii="宋体" w:hAnsi="宋体" w:eastAsia="宋体" w:cs="宋体"/>
                <w:sz w:val="24"/>
              </w:rPr>
            </w:pPr>
          </w:p>
        </w:tc>
        <w:tc>
          <w:tcPr>
            <w:tcW w:w="2340" w:type="dxa"/>
            <w:tcBorders>
              <w:top w:val="single" w:color="auto" w:sz="6" w:space="0"/>
              <w:left w:val="single" w:color="auto" w:sz="4" w:space="0"/>
              <w:bottom w:val="single" w:color="auto" w:sz="6" w:space="0"/>
              <w:right w:val="single" w:color="auto" w:sz="4" w:space="0"/>
            </w:tcBorders>
            <w:vAlign w:val="center"/>
          </w:tcPr>
          <w:p>
            <w:pPr>
              <w:rPr>
                <w:rFonts w:hint="eastAsia" w:ascii="宋体" w:hAnsi="宋体" w:eastAsia="宋体" w:cs="宋体"/>
                <w:sz w:val="24"/>
              </w:rPr>
            </w:pPr>
          </w:p>
        </w:tc>
        <w:tc>
          <w:tcPr>
            <w:tcW w:w="1980" w:type="dxa"/>
            <w:tcBorders>
              <w:top w:val="single" w:color="auto" w:sz="6" w:space="0"/>
              <w:left w:val="single" w:color="auto" w:sz="4" w:space="0"/>
              <w:bottom w:val="single" w:color="auto" w:sz="6" w:space="0"/>
              <w:right w:val="single" w:color="auto" w:sz="12" w:space="0"/>
            </w:tcBorders>
            <w:vAlign w:val="center"/>
          </w:tcPr>
          <w:p>
            <w:pPr>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rFonts w:hint="eastAsia" w:ascii="宋体" w:hAnsi="宋体" w:eastAsia="宋体" w:cs="宋体"/>
                <w:sz w:val="24"/>
              </w:rPr>
            </w:pPr>
          </w:p>
        </w:tc>
        <w:tc>
          <w:tcPr>
            <w:tcW w:w="1659"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eastAsia="宋体" w:cs="宋体"/>
                <w:sz w:val="24"/>
              </w:rPr>
            </w:pPr>
          </w:p>
        </w:tc>
        <w:tc>
          <w:tcPr>
            <w:tcW w:w="1349" w:type="dxa"/>
            <w:tcBorders>
              <w:top w:val="single" w:color="auto" w:sz="6" w:space="0"/>
              <w:left w:val="single" w:color="auto" w:sz="6" w:space="0"/>
              <w:bottom w:val="single" w:color="auto" w:sz="6" w:space="0"/>
              <w:right w:val="single" w:color="auto" w:sz="4" w:space="0"/>
            </w:tcBorders>
            <w:vAlign w:val="center"/>
          </w:tcPr>
          <w:p>
            <w:pPr>
              <w:rPr>
                <w:rFonts w:hint="eastAsia" w:ascii="宋体" w:hAnsi="宋体" w:eastAsia="宋体" w:cs="宋体"/>
                <w:sz w:val="24"/>
              </w:rPr>
            </w:pPr>
          </w:p>
        </w:tc>
        <w:tc>
          <w:tcPr>
            <w:tcW w:w="2340" w:type="dxa"/>
            <w:tcBorders>
              <w:top w:val="single" w:color="auto" w:sz="6" w:space="0"/>
              <w:left w:val="single" w:color="auto" w:sz="4" w:space="0"/>
              <w:bottom w:val="single" w:color="auto" w:sz="6" w:space="0"/>
              <w:right w:val="single" w:color="auto" w:sz="4" w:space="0"/>
            </w:tcBorders>
            <w:vAlign w:val="center"/>
          </w:tcPr>
          <w:p>
            <w:pPr>
              <w:rPr>
                <w:rFonts w:hint="eastAsia" w:ascii="宋体" w:hAnsi="宋体" w:eastAsia="宋体" w:cs="宋体"/>
                <w:sz w:val="24"/>
              </w:rPr>
            </w:pPr>
          </w:p>
        </w:tc>
        <w:tc>
          <w:tcPr>
            <w:tcW w:w="1980" w:type="dxa"/>
            <w:tcBorders>
              <w:top w:val="single" w:color="auto" w:sz="6" w:space="0"/>
              <w:left w:val="single" w:color="auto" w:sz="4" w:space="0"/>
              <w:bottom w:val="single" w:color="auto" w:sz="6" w:space="0"/>
              <w:right w:val="single" w:color="auto" w:sz="12" w:space="0"/>
            </w:tcBorders>
            <w:vAlign w:val="center"/>
          </w:tcPr>
          <w:p>
            <w:pPr>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rFonts w:hint="eastAsia" w:ascii="宋体" w:hAnsi="宋体" w:eastAsia="宋体" w:cs="宋体"/>
                <w:sz w:val="24"/>
              </w:rPr>
            </w:pPr>
          </w:p>
        </w:tc>
        <w:tc>
          <w:tcPr>
            <w:tcW w:w="1659"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eastAsia="宋体" w:cs="宋体"/>
                <w:sz w:val="24"/>
              </w:rPr>
            </w:pPr>
          </w:p>
        </w:tc>
        <w:tc>
          <w:tcPr>
            <w:tcW w:w="1349" w:type="dxa"/>
            <w:tcBorders>
              <w:top w:val="single" w:color="auto" w:sz="6" w:space="0"/>
              <w:left w:val="single" w:color="auto" w:sz="6" w:space="0"/>
              <w:bottom w:val="single" w:color="auto" w:sz="6" w:space="0"/>
              <w:right w:val="single" w:color="auto" w:sz="4" w:space="0"/>
            </w:tcBorders>
            <w:vAlign w:val="center"/>
          </w:tcPr>
          <w:p>
            <w:pPr>
              <w:rPr>
                <w:rFonts w:hint="eastAsia" w:ascii="宋体" w:hAnsi="宋体" w:eastAsia="宋体" w:cs="宋体"/>
                <w:sz w:val="24"/>
              </w:rPr>
            </w:pPr>
          </w:p>
        </w:tc>
        <w:tc>
          <w:tcPr>
            <w:tcW w:w="2340" w:type="dxa"/>
            <w:tcBorders>
              <w:top w:val="single" w:color="auto" w:sz="6" w:space="0"/>
              <w:left w:val="single" w:color="auto" w:sz="4" w:space="0"/>
              <w:bottom w:val="single" w:color="auto" w:sz="6" w:space="0"/>
              <w:right w:val="single" w:color="auto" w:sz="4" w:space="0"/>
            </w:tcBorders>
            <w:vAlign w:val="center"/>
          </w:tcPr>
          <w:p>
            <w:pPr>
              <w:rPr>
                <w:rFonts w:hint="eastAsia" w:ascii="宋体" w:hAnsi="宋体" w:eastAsia="宋体" w:cs="宋体"/>
                <w:sz w:val="24"/>
              </w:rPr>
            </w:pPr>
          </w:p>
        </w:tc>
        <w:tc>
          <w:tcPr>
            <w:tcW w:w="1980" w:type="dxa"/>
            <w:tcBorders>
              <w:top w:val="single" w:color="auto" w:sz="6" w:space="0"/>
              <w:left w:val="single" w:color="auto" w:sz="4" w:space="0"/>
              <w:bottom w:val="single" w:color="auto" w:sz="6" w:space="0"/>
              <w:right w:val="single" w:color="auto" w:sz="12" w:space="0"/>
            </w:tcBorders>
            <w:vAlign w:val="center"/>
          </w:tcPr>
          <w:p>
            <w:pPr>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rFonts w:hint="eastAsia" w:ascii="宋体" w:hAnsi="宋体" w:eastAsia="宋体" w:cs="宋体"/>
                <w:sz w:val="24"/>
              </w:rPr>
            </w:pPr>
          </w:p>
        </w:tc>
        <w:tc>
          <w:tcPr>
            <w:tcW w:w="1659"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eastAsia="宋体" w:cs="宋体"/>
                <w:sz w:val="24"/>
              </w:rPr>
            </w:pPr>
          </w:p>
        </w:tc>
        <w:tc>
          <w:tcPr>
            <w:tcW w:w="1349" w:type="dxa"/>
            <w:tcBorders>
              <w:top w:val="single" w:color="auto" w:sz="6" w:space="0"/>
              <w:left w:val="single" w:color="auto" w:sz="6" w:space="0"/>
              <w:bottom w:val="single" w:color="auto" w:sz="6" w:space="0"/>
              <w:right w:val="single" w:color="auto" w:sz="4" w:space="0"/>
            </w:tcBorders>
            <w:vAlign w:val="center"/>
          </w:tcPr>
          <w:p>
            <w:pPr>
              <w:rPr>
                <w:rFonts w:hint="eastAsia" w:ascii="宋体" w:hAnsi="宋体" w:eastAsia="宋体" w:cs="宋体"/>
                <w:sz w:val="24"/>
              </w:rPr>
            </w:pPr>
          </w:p>
        </w:tc>
        <w:tc>
          <w:tcPr>
            <w:tcW w:w="2340" w:type="dxa"/>
            <w:tcBorders>
              <w:top w:val="single" w:color="auto" w:sz="6" w:space="0"/>
              <w:left w:val="single" w:color="auto" w:sz="4" w:space="0"/>
              <w:bottom w:val="single" w:color="auto" w:sz="6" w:space="0"/>
              <w:right w:val="single" w:color="auto" w:sz="4" w:space="0"/>
            </w:tcBorders>
            <w:vAlign w:val="center"/>
          </w:tcPr>
          <w:p>
            <w:pPr>
              <w:rPr>
                <w:rFonts w:hint="eastAsia" w:ascii="宋体" w:hAnsi="宋体" w:eastAsia="宋体" w:cs="宋体"/>
                <w:sz w:val="24"/>
              </w:rPr>
            </w:pPr>
          </w:p>
        </w:tc>
        <w:tc>
          <w:tcPr>
            <w:tcW w:w="1980" w:type="dxa"/>
            <w:tcBorders>
              <w:top w:val="single" w:color="auto" w:sz="6" w:space="0"/>
              <w:left w:val="single" w:color="auto" w:sz="4" w:space="0"/>
              <w:bottom w:val="single" w:color="auto" w:sz="6" w:space="0"/>
              <w:right w:val="single" w:color="auto" w:sz="12" w:space="0"/>
            </w:tcBorders>
            <w:vAlign w:val="center"/>
          </w:tcPr>
          <w:p>
            <w:pPr>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2140" w:type="dxa"/>
            <w:tcBorders>
              <w:top w:val="single" w:color="auto" w:sz="6" w:space="0"/>
              <w:left w:val="single" w:color="auto" w:sz="12" w:space="0"/>
              <w:bottom w:val="single" w:color="auto" w:sz="12" w:space="0"/>
              <w:right w:val="single" w:color="auto" w:sz="6" w:space="0"/>
            </w:tcBorders>
            <w:vAlign w:val="center"/>
          </w:tcPr>
          <w:p>
            <w:pPr>
              <w:rPr>
                <w:rFonts w:hint="eastAsia" w:ascii="宋体" w:hAnsi="宋体" w:eastAsia="宋体" w:cs="宋体"/>
                <w:sz w:val="24"/>
              </w:rPr>
            </w:pPr>
          </w:p>
        </w:tc>
        <w:tc>
          <w:tcPr>
            <w:tcW w:w="1659" w:type="dxa"/>
            <w:tcBorders>
              <w:top w:val="single" w:color="auto" w:sz="6" w:space="0"/>
              <w:left w:val="single" w:color="auto" w:sz="6" w:space="0"/>
              <w:bottom w:val="single" w:color="auto" w:sz="12" w:space="0"/>
              <w:right w:val="single" w:color="auto" w:sz="6" w:space="0"/>
            </w:tcBorders>
            <w:vAlign w:val="center"/>
          </w:tcPr>
          <w:p>
            <w:pPr>
              <w:rPr>
                <w:rFonts w:hint="eastAsia" w:ascii="宋体" w:hAnsi="宋体" w:eastAsia="宋体" w:cs="宋体"/>
                <w:sz w:val="24"/>
              </w:rPr>
            </w:pPr>
          </w:p>
        </w:tc>
        <w:tc>
          <w:tcPr>
            <w:tcW w:w="1349" w:type="dxa"/>
            <w:tcBorders>
              <w:top w:val="single" w:color="auto" w:sz="6" w:space="0"/>
              <w:left w:val="single" w:color="auto" w:sz="6" w:space="0"/>
              <w:bottom w:val="single" w:color="auto" w:sz="12" w:space="0"/>
              <w:right w:val="single" w:color="auto" w:sz="4" w:space="0"/>
            </w:tcBorders>
            <w:vAlign w:val="center"/>
          </w:tcPr>
          <w:p>
            <w:pPr>
              <w:rPr>
                <w:rFonts w:hint="eastAsia" w:ascii="宋体" w:hAnsi="宋体" w:eastAsia="宋体" w:cs="宋体"/>
                <w:sz w:val="24"/>
              </w:rPr>
            </w:pPr>
          </w:p>
        </w:tc>
        <w:tc>
          <w:tcPr>
            <w:tcW w:w="2340" w:type="dxa"/>
            <w:tcBorders>
              <w:top w:val="single" w:color="auto" w:sz="6" w:space="0"/>
              <w:left w:val="single" w:color="auto" w:sz="4" w:space="0"/>
              <w:bottom w:val="single" w:color="auto" w:sz="12" w:space="0"/>
              <w:right w:val="single" w:color="auto" w:sz="4" w:space="0"/>
            </w:tcBorders>
            <w:vAlign w:val="center"/>
          </w:tcPr>
          <w:p>
            <w:pPr>
              <w:rPr>
                <w:rFonts w:hint="eastAsia" w:ascii="宋体" w:hAnsi="宋体" w:eastAsia="宋体" w:cs="宋体"/>
                <w:sz w:val="24"/>
              </w:rPr>
            </w:pPr>
          </w:p>
        </w:tc>
        <w:tc>
          <w:tcPr>
            <w:tcW w:w="1980" w:type="dxa"/>
            <w:tcBorders>
              <w:top w:val="single" w:color="auto" w:sz="6" w:space="0"/>
              <w:left w:val="single" w:color="auto" w:sz="4" w:space="0"/>
              <w:bottom w:val="single" w:color="auto" w:sz="12" w:space="0"/>
              <w:right w:val="single" w:color="auto" w:sz="12" w:space="0"/>
            </w:tcBorders>
            <w:vAlign w:val="center"/>
          </w:tcPr>
          <w:p>
            <w:pPr>
              <w:rPr>
                <w:rFonts w:hint="eastAsia" w:ascii="宋体" w:hAnsi="宋体" w:eastAsia="宋体" w:cs="宋体"/>
                <w:sz w:val="24"/>
              </w:rPr>
            </w:pPr>
          </w:p>
        </w:tc>
      </w:tr>
    </w:tbl>
    <w:p>
      <w:pPr>
        <w:rPr>
          <w:rFonts w:hint="eastAsia" w:ascii="宋体" w:hAnsi="宋体" w:eastAsia="宋体" w:cs="宋体"/>
          <w:bCs/>
          <w:sz w:val="18"/>
        </w:rPr>
      </w:pPr>
    </w:p>
    <w:p>
      <w:pPr>
        <w:rPr>
          <w:rFonts w:hint="eastAsia" w:ascii="宋体" w:hAnsi="宋体" w:eastAsia="宋体" w:cs="宋体"/>
          <w:bCs/>
          <w:sz w:val="18"/>
        </w:rPr>
      </w:pPr>
      <w:r>
        <w:rPr>
          <w:rFonts w:hint="eastAsia" w:ascii="宋体" w:hAnsi="宋体" w:eastAsia="宋体" w:cs="宋体"/>
          <w:bCs/>
          <w:sz w:val="18"/>
        </w:rPr>
        <w:t>注：供应商应根据磋商文件要求和采购项目的实际需要列出</w:t>
      </w:r>
      <w:r>
        <w:rPr>
          <w:rFonts w:hint="eastAsia" w:ascii="宋体" w:hAnsi="宋体" w:eastAsia="宋体" w:cs="宋体"/>
          <w:bCs/>
          <w:sz w:val="18"/>
          <w:lang w:eastAsia="zh-CN"/>
        </w:rPr>
        <w:t>总监理工程师</w:t>
      </w:r>
      <w:r>
        <w:rPr>
          <w:rFonts w:hint="eastAsia" w:ascii="宋体" w:hAnsi="宋体" w:eastAsia="宋体" w:cs="宋体"/>
          <w:bCs/>
          <w:sz w:val="18"/>
        </w:rPr>
        <w:t>和团队组成人员。</w:t>
      </w:r>
    </w:p>
    <w:p>
      <w:pPr>
        <w:spacing w:line="300" w:lineRule="exact"/>
        <w:rPr>
          <w:rFonts w:hint="eastAsia" w:ascii="宋体" w:hAnsi="宋体" w:eastAsia="宋体" w:cs="宋体"/>
        </w:rPr>
      </w:pPr>
    </w:p>
    <w:p>
      <w:pPr>
        <w:spacing w:line="400" w:lineRule="exact"/>
        <w:rPr>
          <w:rFonts w:hint="eastAsia" w:ascii="宋体" w:hAnsi="宋体" w:eastAsia="宋体" w:cs="宋体"/>
          <w:b/>
          <w:sz w:val="24"/>
        </w:rPr>
      </w:pPr>
    </w:p>
    <w:p>
      <w:pPr>
        <w:pStyle w:val="9"/>
        <w:rPr>
          <w:rFonts w:hint="eastAsia" w:ascii="宋体" w:hAnsi="宋体" w:eastAsia="宋体" w:cs="宋体"/>
        </w:rPr>
      </w:pPr>
    </w:p>
    <w:p>
      <w:pPr>
        <w:pStyle w:val="9"/>
        <w:rPr>
          <w:rFonts w:hint="eastAsia" w:ascii="宋体" w:hAnsi="宋体" w:eastAsia="宋体" w:cs="宋体"/>
        </w:rPr>
      </w:pPr>
    </w:p>
    <w:p>
      <w:pPr>
        <w:spacing w:line="360" w:lineRule="auto"/>
        <w:ind w:left="420"/>
        <w:rPr>
          <w:rFonts w:hint="eastAsia" w:ascii="宋体" w:hAnsi="宋体" w:eastAsia="宋体" w:cs="宋体"/>
          <w:sz w:val="24"/>
          <w:u w:val="single"/>
        </w:rPr>
      </w:pPr>
      <w:r>
        <w:rPr>
          <w:rFonts w:hint="eastAsia" w:ascii="宋体" w:hAnsi="宋体" w:eastAsia="宋体" w:cs="宋体"/>
          <w:sz w:val="24"/>
        </w:rPr>
        <w:t>谈判供应商名称（盖章）：</w:t>
      </w:r>
    </w:p>
    <w:p>
      <w:pPr>
        <w:spacing w:line="360" w:lineRule="auto"/>
        <w:ind w:left="420"/>
        <w:rPr>
          <w:rFonts w:hint="eastAsia" w:ascii="宋体" w:hAnsi="宋体" w:eastAsia="宋体" w:cs="宋体"/>
          <w:sz w:val="24"/>
        </w:rPr>
      </w:pPr>
    </w:p>
    <w:p>
      <w:pPr>
        <w:spacing w:line="360" w:lineRule="auto"/>
        <w:ind w:firstLine="435"/>
        <w:rPr>
          <w:rFonts w:hint="eastAsia" w:ascii="宋体" w:hAnsi="宋体" w:eastAsia="宋体" w:cs="宋体"/>
          <w:sz w:val="24"/>
        </w:rPr>
      </w:pPr>
      <w:r>
        <w:rPr>
          <w:rFonts w:hint="eastAsia" w:ascii="宋体" w:hAnsi="宋体" w:eastAsia="宋体" w:cs="宋体"/>
          <w:sz w:val="24"/>
        </w:rPr>
        <w:t>谈判供应商代表签字：</w:t>
      </w:r>
    </w:p>
    <w:p>
      <w:pPr>
        <w:spacing w:line="360" w:lineRule="auto"/>
        <w:ind w:firstLine="435"/>
        <w:rPr>
          <w:rFonts w:hint="eastAsia" w:ascii="宋体" w:hAnsi="宋体" w:eastAsia="宋体" w:cs="宋体"/>
          <w:sz w:val="24"/>
        </w:rPr>
      </w:pPr>
    </w:p>
    <w:p>
      <w:pPr>
        <w:spacing w:line="360" w:lineRule="auto"/>
        <w:ind w:firstLine="435"/>
        <w:rPr>
          <w:rFonts w:hint="eastAsia" w:ascii="宋体" w:hAnsi="宋体" w:eastAsia="宋体" w:cs="宋体"/>
          <w:b/>
          <w:sz w:val="28"/>
        </w:rPr>
      </w:pPr>
      <w:r>
        <w:rPr>
          <w:rFonts w:hint="eastAsia" w:ascii="宋体" w:hAnsi="宋体" w:eastAsia="宋体" w:cs="宋体"/>
          <w:sz w:val="24"/>
        </w:rPr>
        <w:t>日        期：</w:t>
      </w:r>
    </w:p>
    <w:p>
      <w:pPr>
        <w:autoSpaceDE w:val="0"/>
        <w:autoSpaceDN w:val="0"/>
        <w:adjustRightInd w:val="0"/>
        <w:spacing w:line="500" w:lineRule="exact"/>
        <w:jc w:val="right"/>
        <w:rPr>
          <w:rFonts w:hint="eastAsia" w:ascii="宋体" w:hAnsi="宋体" w:eastAsia="宋体" w:cs="宋体"/>
          <w:kern w:val="0"/>
          <w:sz w:val="24"/>
          <w:u w:val="single"/>
          <w:lang w:val="zh-CN"/>
        </w:rPr>
      </w:pPr>
    </w:p>
    <w:p>
      <w:pPr>
        <w:spacing w:line="500" w:lineRule="auto"/>
        <w:rPr>
          <w:rFonts w:hint="eastAsia" w:ascii="宋体" w:hAnsi="宋体" w:eastAsia="宋体" w:cs="宋体"/>
          <w:b/>
          <w:sz w:val="24"/>
        </w:rPr>
      </w:pPr>
    </w:p>
    <w:p>
      <w:pPr>
        <w:pStyle w:val="9"/>
        <w:rPr>
          <w:rFonts w:hint="eastAsia" w:ascii="宋体" w:hAnsi="宋体" w:eastAsia="宋体" w:cs="宋体"/>
        </w:rPr>
      </w:pPr>
    </w:p>
    <w:p>
      <w:pPr>
        <w:pStyle w:val="9"/>
        <w:rPr>
          <w:rFonts w:hint="eastAsia" w:ascii="宋体" w:hAnsi="宋体" w:eastAsia="宋体" w:cs="宋体"/>
        </w:rPr>
      </w:pPr>
    </w:p>
    <w:p>
      <w:pPr>
        <w:pStyle w:val="9"/>
        <w:rPr>
          <w:rFonts w:hint="eastAsia" w:ascii="宋体" w:hAnsi="宋体" w:eastAsia="宋体" w:cs="宋体"/>
        </w:rPr>
      </w:pPr>
    </w:p>
    <w:p>
      <w:pPr>
        <w:pStyle w:val="9"/>
        <w:rPr>
          <w:rFonts w:hint="eastAsia" w:ascii="宋体" w:hAnsi="宋体" w:eastAsia="宋体" w:cs="宋体"/>
        </w:rPr>
      </w:pPr>
    </w:p>
    <w:p>
      <w:pPr>
        <w:pStyle w:val="9"/>
        <w:rPr>
          <w:rFonts w:hint="eastAsia" w:ascii="宋体" w:hAnsi="宋体" w:eastAsia="宋体" w:cs="宋体"/>
        </w:rPr>
      </w:pPr>
    </w:p>
    <w:p>
      <w:pPr>
        <w:spacing w:line="360" w:lineRule="auto"/>
        <w:rPr>
          <w:rFonts w:hint="eastAsia" w:ascii="宋体" w:hAnsi="宋体" w:eastAsia="宋体" w:cs="宋体"/>
          <w:b/>
          <w:sz w:val="28"/>
        </w:rPr>
      </w:pPr>
    </w:p>
    <w:p>
      <w:pPr>
        <w:spacing w:line="360" w:lineRule="auto"/>
        <w:rPr>
          <w:rFonts w:hint="eastAsia" w:ascii="宋体" w:hAnsi="宋体" w:eastAsia="宋体" w:cs="宋体"/>
          <w:b/>
          <w:sz w:val="28"/>
        </w:rPr>
      </w:pPr>
      <w:r>
        <w:rPr>
          <w:rFonts w:hint="eastAsia" w:ascii="宋体" w:hAnsi="宋体" w:eastAsia="宋体" w:cs="宋体"/>
          <w:b/>
          <w:sz w:val="28"/>
        </w:rPr>
        <w:t>附件6：</w:t>
      </w:r>
    </w:p>
    <w:p>
      <w:pPr>
        <w:pStyle w:val="31"/>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项目类似业绩一览表</w:t>
      </w:r>
    </w:p>
    <w:tbl>
      <w:tblPr>
        <w:tblStyle w:val="20"/>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909"/>
        <w:gridCol w:w="1843"/>
        <w:gridCol w:w="212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vAlign w:val="center"/>
          </w:tcPr>
          <w:p>
            <w:pPr>
              <w:pStyle w:val="9"/>
              <w:tabs>
                <w:tab w:val="left" w:pos="8460"/>
                <w:tab w:val="left" w:pos="8640"/>
              </w:tabs>
              <w:ind w:right="25" w:rightChars="12"/>
              <w:jc w:val="center"/>
              <w:outlineLvl w:val="0"/>
              <w:rPr>
                <w:rFonts w:hint="eastAsia" w:ascii="宋体" w:hAnsi="宋体" w:eastAsia="宋体" w:cs="宋体"/>
              </w:rPr>
            </w:pPr>
            <w:r>
              <w:rPr>
                <w:rFonts w:hint="eastAsia" w:ascii="宋体" w:hAnsi="宋体" w:eastAsia="宋体" w:cs="宋体"/>
              </w:rPr>
              <w:t>序号</w:t>
            </w:r>
          </w:p>
        </w:tc>
        <w:tc>
          <w:tcPr>
            <w:tcW w:w="1909" w:type="dxa"/>
            <w:vAlign w:val="center"/>
          </w:tcPr>
          <w:p>
            <w:pPr>
              <w:pStyle w:val="9"/>
              <w:tabs>
                <w:tab w:val="left" w:pos="8460"/>
                <w:tab w:val="left" w:pos="8640"/>
              </w:tabs>
              <w:ind w:right="25" w:rightChars="12"/>
              <w:jc w:val="center"/>
              <w:outlineLvl w:val="0"/>
              <w:rPr>
                <w:rFonts w:hint="eastAsia" w:ascii="宋体" w:hAnsi="宋体" w:eastAsia="宋体" w:cs="宋体"/>
              </w:rPr>
            </w:pPr>
            <w:r>
              <w:rPr>
                <w:rFonts w:hint="eastAsia" w:ascii="宋体" w:hAnsi="宋体" w:eastAsia="宋体" w:cs="宋体"/>
              </w:rPr>
              <w:t>项目名称</w:t>
            </w:r>
          </w:p>
        </w:tc>
        <w:tc>
          <w:tcPr>
            <w:tcW w:w="1843" w:type="dxa"/>
            <w:vAlign w:val="center"/>
          </w:tcPr>
          <w:p>
            <w:pPr>
              <w:pStyle w:val="9"/>
              <w:tabs>
                <w:tab w:val="left" w:pos="8460"/>
                <w:tab w:val="left" w:pos="8640"/>
              </w:tabs>
              <w:ind w:right="25" w:rightChars="12"/>
              <w:jc w:val="center"/>
              <w:outlineLvl w:val="0"/>
              <w:rPr>
                <w:rFonts w:hint="eastAsia" w:ascii="宋体" w:hAnsi="宋体" w:eastAsia="宋体" w:cs="宋体"/>
              </w:rPr>
            </w:pPr>
            <w:r>
              <w:rPr>
                <w:rFonts w:hint="eastAsia" w:ascii="宋体" w:hAnsi="宋体" w:eastAsia="宋体" w:cs="宋体"/>
              </w:rPr>
              <w:t>业主单位</w:t>
            </w:r>
          </w:p>
        </w:tc>
        <w:tc>
          <w:tcPr>
            <w:tcW w:w="2126" w:type="dxa"/>
            <w:vAlign w:val="center"/>
          </w:tcPr>
          <w:p>
            <w:pPr>
              <w:pStyle w:val="9"/>
              <w:tabs>
                <w:tab w:val="left" w:pos="8460"/>
                <w:tab w:val="left" w:pos="8640"/>
              </w:tabs>
              <w:ind w:right="25" w:rightChars="12"/>
              <w:jc w:val="center"/>
              <w:outlineLvl w:val="0"/>
              <w:rPr>
                <w:rFonts w:hint="eastAsia" w:ascii="宋体" w:hAnsi="宋体" w:eastAsia="宋体" w:cs="宋体"/>
              </w:rPr>
            </w:pPr>
            <w:r>
              <w:rPr>
                <w:rFonts w:hint="eastAsia" w:ascii="宋体" w:hAnsi="宋体" w:eastAsia="宋体" w:cs="宋体"/>
              </w:rPr>
              <w:t>合同签订时间</w:t>
            </w:r>
          </w:p>
        </w:tc>
        <w:tc>
          <w:tcPr>
            <w:tcW w:w="1276" w:type="dxa"/>
            <w:vAlign w:val="center"/>
          </w:tcPr>
          <w:p>
            <w:pPr>
              <w:pStyle w:val="9"/>
              <w:tabs>
                <w:tab w:val="left" w:pos="8460"/>
                <w:tab w:val="left" w:pos="8640"/>
              </w:tabs>
              <w:ind w:right="25" w:rightChars="12"/>
              <w:jc w:val="center"/>
              <w:outlineLvl w:val="0"/>
              <w:rPr>
                <w:rFonts w:hint="eastAsia" w:ascii="宋体" w:hAnsi="宋体" w:eastAsia="宋体" w:cs="宋体"/>
              </w:rPr>
            </w:pPr>
            <w:r>
              <w:rPr>
                <w:rFonts w:hint="eastAsia" w:ascii="宋体" w:hAnsi="宋体" w:eastAsia="宋体" w:cs="宋体"/>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21" w:type="dxa"/>
          </w:tcPr>
          <w:p>
            <w:pPr>
              <w:pStyle w:val="9"/>
              <w:tabs>
                <w:tab w:val="left" w:pos="8460"/>
                <w:tab w:val="left" w:pos="8640"/>
              </w:tabs>
              <w:ind w:right="25" w:rightChars="12"/>
              <w:jc w:val="center"/>
              <w:outlineLvl w:val="0"/>
              <w:rPr>
                <w:rFonts w:hint="eastAsia" w:ascii="宋体" w:hAnsi="宋体" w:eastAsia="宋体" w:cs="宋体"/>
              </w:rPr>
            </w:pPr>
          </w:p>
        </w:tc>
        <w:tc>
          <w:tcPr>
            <w:tcW w:w="1909" w:type="dxa"/>
          </w:tcPr>
          <w:p>
            <w:pPr>
              <w:pStyle w:val="9"/>
              <w:tabs>
                <w:tab w:val="left" w:pos="8460"/>
                <w:tab w:val="left" w:pos="8640"/>
              </w:tabs>
              <w:ind w:right="25" w:rightChars="12"/>
              <w:jc w:val="center"/>
              <w:outlineLvl w:val="0"/>
              <w:rPr>
                <w:rFonts w:hint="eastAsia" w:ascii="宋体" w:hAnsi="宋体" w:eastAsia="宋体" w:cs="宋体"/>
              </w:rPr>
            </w:pPr>
          </w:p>
        </w:tc>
        <w:tc>
          <w:tcPr>
            <w:tcW w:w="1843" w:type="dxa"/>
          </w:tcPr>
          <w:p>
            <w:pPr>
              <w:pStyle w:val="9"/>
              <w:tabs>
                <w:tab w:val="left" w:pos="8460"/>
                <w:tab w:val="left" w:pos="8640"/>
              </w:tabs>
              <w:ind w:right="25" w:rightChars="12"/>
              <w:jc w:val="center"/>
              <w:outlineLvl w:val="0"/>
              <w:rPr>
                <w:rFonts w:hint="eastAsia" w:ascii="宋体" w:hAnsi="宋体" w:eastAsia="宋体" w:cs="宋体"/>
              </w:rPr>
            </w:pPr>
          </w:p>
        </w:tc>
        <w:tc>
          <w:tcPr>
            <w:tcW w:w="2126" w:type="dxa"/>
          </w:tcPr>
          <w:p>
            <w:pPr>
              <w:pStyle w:val="9"/>
              <w:tabs>
                <w:tab w:val="left" w:pos="8460"/>
                <w:tab w:val="left" w:pos="8640"/>
              </w:tabs>
              <w:ind w:right="25" w:rightChars="12"/>
              <w:jc w:val="center"/>
              <w:outlineLvl w:val="0"/>
              <w:rPr>
                <w:rFonts w:hint="eastAsia" w:ascii="宋体" w:hAnsi="宋体" w:eastAsia="宋体" w:cs="宋体"/>
              </w:rPr>
            </w:pPr>
          </w:p>
        </w:tc>
        <w:tc>
          <w:tcPr>
            <w:tcW w:w="1276" w:type="dxa"/>
          </w:tcPr>
          <w:p>
            <w:pPr>
              <w:pStyle w:val="9"/>
              <w:tabs>
                <w:tab w:val="left" w:pos="8460"/>
                <w:tab w:val="left" w:pos="8640"/>
              </w:tabs>
              <w:ind w:right="25" w:rightChars="12"/>
              <w:jc w:val="center"/>
              <w:outlineLvl w:val="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tcPr>
          <w:p>
            <w:pPr>
              <w:pStyle w:val="9"/>
              <w:tabs>
                <w:tab w:val="left" w:pos="8460"/>
                <w:tab w:val="left" w:pos="8640"/>
              </w:tabs>
              <w:ind w:right="25" w:rightChars="12"/>
              <w:jc w:val="center"/>
              <w:outlineLvl w:val="0"/>
              <w:rPr>
                <w:rFonts w:hint="eastAsia" w:ascii="宋体" w:hAnsi="宋体" w:eastAsia="宋体" w:cs="宋体"/>
              </w:rPr>
            </w:pPr>
          </w:p>
        </w:tc>
        <w:tc>
          <w:tcPr>
            <w:tcW w:w="1909" w:type="dxa"/>
          </w:tcPr>
          <w:p>
            <w:pPr>
              <w:pStyle w:val="9"/>
              <w:tabs>
                <w:tab w:val="left" w:pos="8460"/>
                <w:tab w:val="left" w:pos="8640"/>
              </w:tabs>
              <w:ind w:right="25" w:rightChars="12"/>
              <w:jc w:val="center"/>
              <w:outlineLvl w:val="0"/>
              <w:rPr>
                <w:rFonts w:hint="eastAsia" w:ascii="宋体" w:hAnsi="宋体" w:eastAsia="宋体" w:cs="宋体"/>
              </w:rPr>
            </w:pPr>
          </w:p>
        </w:tc>
        <w:tc>
          <w:tcPr>
            <w:tcW w:w="1843" w:type="dxa"/>
          </w:tcPr>
          <w:p>
            <w:pPr>
              <w:pStyle w:val="9"/>
              <w:tabs>
                <w:tab w:val="left" w:pos="8460"/>
                <w:tab w:val="left" w:pos="8640"/>
              </w:tabs>
              <w:ind w:right="25" w:rightChars="12"/>
              <w:jc w:val="center"/>
              <w:outlineLvl w:val="0"/>
              <w:rPr>
                <w:rFonts w:hint="eastAsia" w:ascii="宋体" w:hAnsi="宋体" w:eastAsia="宋体" w:cs="宋体"/>
              </w:rPr>
            </w:pPr>
          </w:p>
        </w:tc>
        <w:tc>
          <w:tcPr>
            <w:tcW w:w="2126" w:type="dxa"/>
          </w:tcPr>
          <w:p>
            <w:pPr>
              <w:pStyle w:val="9"/>
              <w:tabs>
                <w:tab w:val="left" w:pos="8460"/>
                <w:tab w:val="left" w:pos="8640"/>
              </w:tabs>
              <w:ind w:right="25" w:rightChars="12"/>
              <w:jc w:val="center"/>
              <w:outlineLvl w:val="0"/>
              <w:rPr>
                <w:rFonts w:hint="eastAsia" w:ascii="宋体" w:hAnsi="宋体" w:eastAsia="宋体" w:cs="宋体"/>
              </w:rPr>
            </w:pPr>
          </w:p>
        </w:tc>
        <w:tc>
          <w:tcPr>
            <w:tcW w:w="1276" w:type="dxa"/>
          </w:tcPr>
          <w:p>
            <w:pPr>
              <w:pStyle w:val="9"/>
              <w:tabs>
                <w:tab w:val="left" w:pos="8460"/>
                <w:tab w:val="left" w:pos="8640"/>
              </w:tabs>
              <w:ind w:right="25" w:rightChars="12"/>
              <w:jc w:val="center"/>
              <w:outlineLvl w:val="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tcPr>
          <w:p>
            <w:pPr>
              <w:pStyle w:val="9"/>
              <w:tabs>
                <w:tab w:val="left" w:pos="8460"/>
                <w:tab w:val="left" w:pos="8640"/>
              </w:tabs>
              <w:ind w:right="25" w:rightChars="12"/>
              <w:jc w:val="center"/>
              <w:outlineLvl w:val="0"/>
              <w:rPr>
                <w:rFonts w:hint="eastAsia" w:ascii="宋体" w:hAnsi="宋体" w:eastAsia="宋体" w:cs="宋体"/>
              </w:rPr>
            </w:pPr>
          </w:p>
        </w:tc>
        <w:tc>
          <w:tcPr>
            <w:tcW w:w="1909" w:type="dxa"/>
          </w:tcPr>
          <w:p>
            <w:pPr>
              <w:pStyle w:val="9"/>
              <w:tabs>
                <w:tab w:val="left" w:pos="8460"/>
                <w:tab w:val="left" w:pos="8640"/>
              </w:tabs>
              <w:ind w:right="25" w:rightChars="12"/>
              <w:jc w:val="center"/>
              <w:outlineLvl w:val="0"/>
              <w:rPr>
                <w:rFonts w:hint="eastAsia" w:ascii="宋体" w:hAnsi="宋体" w:eastAsia="宋体" w:cs="宋体"/>
              </w:rPr>
            </w:pPr>
          </w:p>
        </w:tc>
        <w:tc>
          <w:tcPr>
            <w:tcW w:w="1843" w:type="dxa"/>
          </w:tcPr>
          <w:p>
            <w:pPr>
              <w:pStyle w:val="9"/>
              <w:tabs>
                <w:tab w:val="left" w:pos="8460"/>
                <w:tab w:val="left" w:pos="8640"/>
              </w:tabs>
              <w:ind w:right="25" w:rightChars="12"/>
              <w:jc w:val="center"/>
              <w:outlineLvl w:val="0"/>
              <w:rPr>
                <w:rFonts w:hint="eastAsia" w:ascii="宋体" w:hAnsi="宋体" w:eastAsia="宋体" w:cs="宋体"/>
              </w:rPr>
            </w:pPr>
          </w:p>
        </w:tc>
        <w:tc>
          <w:tcPr>
            <w:tcW w:w="2126" w:type="dxa"/>
          </w:tcPr>
          <w:p>
            <w:pPr>
              <w:pStyle w:val="9"/>
              <w:tabs>
                <w:tab w:val="left" w:pos="8460"/>
                <w:tab w:val="left" w:pos="8640"/>
              </w:tabs>
              <w:ind w:right="25" w:rightChars="12"/>
              <w:jc w:val="center"/>
              <w:outlineLvl w:val="0"/>
              <w:rPr>
                <w:rFonts w:hint="eastAsia" w:ascii="宋体" w:hAnsi="宋体" w:eastAsia="宋体" w:cs="宋体"/>
              </w:rPr>
            </w:pPr>
          </w:p>
        </w:tc>
        <w:tc>
          <w:tcPr>
            <w:tcW w:w="1276" w:type="dxa"/>
          </w:tcPr>
          <w:p>
            <w:pPr>
              <w:pStyle w:val="9"/>
              <w:tabs>
                <w:tab w:val="left" w:pos="8460"/>
                <w:tab w:val="left" w:pos="8640"/>
              </w:tabs>
              <w:ind w:right="25" w:rightChars="12"/>
              <w:jc w:val="center"/>
              <w:outlineLvl w:val="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21" w:type="dxa"/>
          </w:tcPr>
          <w:p>
            <w:pPr>
              <w:pStyle w:val="9"/>
              <w:tabs>
                <w:tab w:val="left" w:pos="8460"/>
                <w:tab w:val="left" w:pos="8640"/>
              </w:tabs>
              <w:ind w:right="25" w:rightChars="12"/>
              <w:jc w:val="center"/>
              <w:outlineLvl w:val="0"/>
              <w:rPr>
                <w:rFonts w:hint="eastAsia" w:ascii="宋体" w:hAnsi="宋体" w:eastAsia="宋体" w:cs="宋体"/>
              </w:rPr>
            </w:pPr>
          </w:p>
        </w:tc>
        <w:tc>
          <w:tcPr>
            <w:tcW w:w="1909" w:type="dxa"/>
          </w:tcPr>
          <w:p>
            <w:pPr>
              <w:pStyle w:val="9"/>
              <w:tabs>
                <w:tab w:val="left" w:pos="8460"/>
                <w:tab w:val="left" w:pos="8640"/>
              </w:tabs>
              <w:ind w:right="25" w:rightChars="12"/>
              <w:jc w:val="center"/>
              <w:outlineLvl w:val="0"/>
              <w:rPr>
                <w:rFonts w:hint="eastAsia" w:ascii="宋体" w:hAnsi="宋体" w:eastAsia="宋体" w:cs="宋体"/>
              </w:rPr>
            </w:pPr>
          </w:p>
        </w:tc>
        <w:tc>
          <w:tcPr>
            <w:tcW w:w="1843" w:type="dxa"/>
          </w:tcPr>
          <w:p>
            <w:pPr>
              <w:pStyle w:val="9"/>
              <w:tabs>
                <w:tab w:val="left" w:pos="8460"/>
                <w:tab w:val="left" w:pos="8640"/>
              </w:tabs>
              <w:ind w:right="25" w:rightChars="12"/>
              <w:jc w:val="center"/>
              <w:outlineLvl w:val="0"/>
              <w:rPr>
                <w:rFonts w:hint="eastAsia" w:ascii="宋体" w:hAnsi="宋体" w:eastAsia="宋体" w:cs="宋体"/>
              </w:rPr>
            </w:pPr>
          </w:p>
        </w:tc>
        <w:tc>
          <w:tcPr>
            <w:tcW w:w="2126" w:type="dxa"/>
          </w:tcPr>
          <w:p>
            <w:pPr>
              <w:pStyle w:val="9"/>
              <w:tabs>
                <w:tab w:val="left" w:pos="8460"/>
                <w:tab w:val="left" w:pos="8640"/>
              </w:tabs>
              <w:ind w:right="25" w:rightChars="12"/>
              <w:jc w:val="center"/>
              <w:outlineLvl w:val="0"/>
              <w:rPr>
                <w:rFonts w:hint="eastAsia" w:ascii="宋体" w:hAnsi="宋体" w:eastAsia="宋体" w:cs="宋体"/>
              </w:rPr>
            </w:pPr>
          </w:p>
        </w:tc>
        <w:tc>
          <w:tcPr>
            <w:tcW w:w="1276" w:type="dxa"/>
          </w:tcPr>
          <w:p>
            <w:pPr>
              <w:pStyle w:val="9"/>
              <w:tabs>
                <w:tab w:val="left" w:pos="8460"/>
                <w:tab w:val="left" w:pos="8640"/>
              </w:tabs>
              <w:ind w:right="25" w:rightChars="12"/>
              <w:jc w:val="center"/>
              <w:outlineLvl w:val="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tcPr>
          <w:p>
            <w:pPr>
              <w:pStyle w:val="9"/>
              <w:tabs>
                <w:tab w:val="left" w:pos="8460"/>
                <w:tab w:val="left" w:pos="8640"/>
              </w:tabs>
              <w:ind w:right="25" w:rightChars="12"/>
              <w:jc w:val="center"/>
              <w:outlineLvl w:val="0"/>
              <w:rPr>
                <w:rFonts w:hint="eastAsia" w:ascii="宋体" w:hAnsi="宋体" w:eastAsia="宋体" w:cs="宋体"/>
              </w:rPr>
            </w:pPr>
          </w:p>
        </w:tc>
        <w:tc>
          <w:tcPr>
            <w:tcW w:w="1909" w:type="dxa"/>
          </w:tcPr>
          <w:p>
            <w:pPr>
              <w:pStyle w:val="9"/>
              <w:tabs>
                <w:tab w:val="left" w:pos="8460"/>
                <w:tab w:val="left" w:pos="8640"/>
              </w:tabs>
              <w:ind w:right="25" w:rightChars="12"/>
              <w:jc w:val="center"/>
              <w:outlineLvl w:val="0"/>
              <w:rPr>
                <w:rFonts w:hint="eastAsia" w:ascii="宋体" w:hAnsi="宋体" w:eastAsia="宋体" w:cs="宋体"/>
              </w:rPr>
            </w:pPr>
          </w:p>
        </w:tc>
        <w:tc>
          <w:tcPr>
            <w:tcW w:w="1843" w:type="dxa"/>
          </w:tcPr>
          <w:p>
            <w:pPr>
              <w:pStyle w:val="9"/>
              <w:tabs>
                <w:tab w:val="left" w:pos="8460"/>
                <w:tab w:val="left" w:pos="8640"/>
              </w:tabs>
              <w:ind w:right="25" w:rightChars="12"/>
              <w:jc w:val="center"/>
              <w:outlineLvl w:val="0"/>
              <w:rPr>
                <w:rFonts w:hint="eastAsia" w:ascii="宋体" w:hAnsi="宋体" w:eastAsia="宋体" w:cs="宋体"/>
              </w:rPr>
            </w:pPr>
          </w:p>
        </w:tc>
        <w:tc>
          <w:tcPr>
            <w:tcW w:w="2126" w:type="dxa"/>
          </w:tcPr>
          <w:p>
            <w:pPr>
              <w:pStyle w:val="9"/>
              <w:tabs>
                <w:tab w:val="left" w:pos="8460"/>
                <w:tab w:val="left" w:pos="8640"/>
              </w:tabs>
              <w:ind w:right="25" w:rightChars="12"/>
              <w:jc w:val="center"/>
              <w:outlineLvl w:val="0"/>
              <w:rPr>
                <w:rFonts w:hint="eastAsia" w:ascii="宋体" w:hAnsi="宋体" w:eastAsia="宋体" w:cs="宋体"/>
              </w:rPr>
            </w:pPr>
          </w:p>
        </w:tc>
        <w:tc>
          <w:tcPr>
            <w:tcW w:w="1276" w:type="dxa"/>
          </w:tcPr>
          <w:p>
            <w:pPr>
              <w:pStyle w:val="9"/>
              <w:tabs>
                <w:tab w:val="left" w:pos="8460"/>
                <w:tab w:val="left" w:pos="8640"/>
              </w:tabs>
              <w:ind w:right="25" w:rightChars="12"/>
              <w:jc w:val="center"/>
              <w:outlineLvl w:val="0"/>
              <w:rPr>
                <w:rFonts w:hint="eastAsia" w:ascii="宋体" w:hAnsi="宋体" w:eastAsia="宋体" w:cs="宋体"/>
              </w:rPr>
            </w:pPr>
          </w:p>
        </w:tc>
      </w:tr>
    </w:tbl>
    <w:p>
      <w:pPr>
        <w:pStyle w:val="28"/>
        <w:tabs>
          <w:tab w:val="left" w:pos="1050"/>
        </w:tabs>
        <w:spacing w:line="360" w:lineRule="auto"/>
        <w:rPr>
          <w:rFonts w:hint="eastAsia" w:ascii="宋体" w:hAnsi="宋体" w:eastAsia="宋体" w:cs="宋体"/>
          <w:szCs w:val="21"/>
        </w:rPr>
      </w:pPr>
      <w:r>
        <w:rPr>
          <w:rFonts w:hint="eastAsia" w:ascii="宋体" w:hAnsi="宋体" w:eastAsia="宋体" w:cs="宋体"/>
          <w:b/>
          <w:szCs w:val="21"/>
        </w:rPr>
        <w:t>要求：</w:t>
      </w:r>
    </w:p>
    <w:p>
      <w:pPr>
        <w:autoSpaceDE w:val="0"/>
        <w:autoSpaceDN w:val="0"/>
        <w:adjustRightInd w:val="0"/>
        <w:spacing w:beforeLines="50" w:line="360" w:lineRule="auto"/>
        <w:ind w:firstLine="424" w:firstLineChars="202"/>
        <w:rPr>
          <w:rFonts w:hint="eastAsia" w:ascii="宋体" w:hAnsi="宋体" w:eastAsia="宋体" w:cs="宋体"/>
          <w:b/>
          <w:szCs w:val="21"/>
        </w:rPr>
      </w:pPr>
      <w:r>
        <w:rPr>
          <w:rFonts w:hint="eastAsia" w:ascii="宋体" w:hAnsi="宋体" w:eastAsia="宋体" w:cs="宋体"/>
          <w:szCs w:val="21"/>
        </w:rPr>
        <w:t>1.业绩证明应提供证明材料（合同复印件可只提供首页、含金额页、盖章页并加盖谈判供应商公章），至少提供一个；</w:t>
      </w:r>
    </w:p>
    <w:p>
      <w:pPr>
        <w:spacing w:line="360" w:lineRule="auto"/>
        <w:ind w:firstLine="424" w:firstLineChars="202"/>
        <w:jc w:val="left"/>
        <w:rPr>
          <w:rFonts w:hint="eastAsia" w:ascii="宋体" w:hAnsi="宋体" w:eastAsia="宋体" w:cs="宋体"/>
          <w:szCs w:val="21"/>
        </w:rPr>
      </w:pPr>
      <w:r>
        <w:rPr>
          <w:rFonts w:hint="eastAsia" w:ascii="宋体" w:hAnsi="宋体" w:eastAsia="宋体" w:cs="宋体"/>
          <w:szCs w:val="21"/>
        </w:rPr>
        <w:t>2.谈判供应商可按此表格式复制。</w:t>
      </w:r>
    </w:p>
    <w:p>
      <w:pPr>
        <w:pStyle w:val="28"/>
        <w:tabs>
          <w:tab w:val="left" w:pos="1050"/>
        </w:tabs>
        <w:spacing w:line="360" w:lineRule="auto"/>
        <w:ind w:firstLine="424" w:firstLineChars="202"/>
        <w:rPr>
          <w:rFonts w:hint="eastAsia" w:ascii="宋体" w:hAnsi="宋体" w:eastAsia="宋体" w:cs="宋体"/>
          <w:szCs w:val="21"/>
        </w:rPr>
      </w:pPr>
    </w:p>
    <w:p>
      <w:pPr>
        <w:pStyle w:val="28"/>
        <w:tabs>
          <w:tab w:val="left" w:pos="1050"/>
        </w:tabs>
        <w:spacing w:line="360" w:lineRule="auto"/>
        <w:ind w:firstLine="720" w:firstLineChars="300"/>
        <w:rPr>
          <w:rFonts w:hint="eastAsia" w:ascii="宋体" w:hAnsi="宋体" w:eastAsia="宋体" w:cs="宋体"/>
          <w:sz w:val="24"/>
        </w:rPr>
      </w:pPr>
    </w:p>
    <w:p>
      <w:pPr>
        <w:pStyle w:val="28"/>
        <w:tabs>
          <w:tab w:val="left" w:pos="1050"/>
        </w:tabs>
        <w:spacing w:line="360" w:lineRule="auto"/>
        <w:ind w:firstLine="720" w:firstLineChars="300"/>
        <w:rPr>
          <w:rFonts w:hint="eastAsia" w:ascii="宋体" w:hAnsi="宋体" w:eastAsia="宋体" w:cs="宋体"/>
          <w:sz w:val="24"/>
        </w:rPr>
      </w:pPr>
    </w:p>
    <w:p>
      <w:pPr>
        <w:spacing w:line="360" w:lineRule="auto"/>
        <w:ind w:left="420"/>
        <w:rPr>
          <w:rFonts w:hint="eastAsia" w:ascii="宋体" w:hAnsi="宋体" w:eastAsia="宋体" w:cs="宋体"/>
          <w:sz w:val="24"/>
          <w:u w:val="single"/>
        </w:rPr>
      </w:pPr>
      <w:r>
        <w:rPr>
          <w:rFonts w:hint="eastAsia" w:ascii="宋体" w:hAnsi="宋体" w:eastAsia="宋体" w:cs="宋体"/>
          <w:sz w:val="24"/>
        </w:rPr>
        <w:t>谈判供应商名称（盖章）：</w:t>
      </w:r>
    </w:p>
    <w:p>
      <w:pPr>
        <w:spacing w:line="360" w:lineRule="auto"/>
        <w:ind w:left="420"/>
        <w:rPr>
          <w:rFonts w:hint="eastAsia" w:ascii="宋体" w:hAnsi="宋体" w:eastAsia="宋体" w:cs="宋体"/>
          <w:sz w:val="24"/>
        </w:rPr>
      </w:pPr>
    </w:p>
    <w:p>
      <w:pPr>
        <w:spacing w:line="360" w:lineRule="auto"/>
        <w:ind w:firstLine="435"/>
        <w:rPr>
          <w:rFonts w:hint="eastAsia" w:ascii="宋体" w:hAnsi="宋体" w:eastAsia="宋体" w:cs="宋体"/>
          <w:sz w:val="24"/>
        </w:rPr>
      </w:pPr>
      <w:r>
        <w:rPr>
          <w:rFonts w:hint="eastAsia" w:ascii="宋体" w:hAnsi="宋体" w:eastAsia="宋体" w:cs="宋体"/>
          <w:sz w:val="24"/>
        </w:rPr>
        <w:t>谈判供应商代表签字：</w:t>
      </w:r>
    </w:p>
    <w:p>
      <w:pPr>
        <w:spacing w:line="360" w:lineRule="auto"/>
        <w:ind w:firstLine="435"/>
        <w:rPr>
          <w:rFonts w:hint="eastAsia" w:ascii="宋体" w:hAnsi="宋体" w:eastAsia="宋体" w:cs="宋体"/>
          <w:sz w:val="24"/>
        </w:rPr>
      </w:pPr>
    </w:p>
    <w:p>
      <w:pPr>
        <w:spacing w:line="360" w:lineRule="auto"/>
        <w:ind w:firstLine="435"/>
        <w:rPr>
          <w:rFonts w:hint="eastAsia" w:ascii="宋体" w:hAnsi="宋体" w:eastAsia="宋体" w:cs="宋体"/>
          <w:sz w:val="24"/>
        </w:rPr>
      </w:pPr>
    </w:p>
    <w:p>
      <w:pPr>
        <w:spacing w:line="360" w:lineRule="auto"/>
        <w:ind w:firstLine="435"/>
        <w:rPr>
          <w:rFonts w:hint="eastAsia" w:ascii="宋体" w:hAnsi="宋体" w:eastAsia="宋体" w:cs="宋体"/>
          <w:b/>
          <w:sz w:val="28"/>
        </w:rPr>
      </w:pPr>
      <w:r>
        <w:rPr>
          <w:rFonts w:hint="eastAsia" w:ascii="宋体" w:hAnsi="宋体" w:eastAsia="宋体" w:cs="宋体"/>
          <w:sz w:val="24"/>
        </w:rPr>
        <w:t>日        期：</w:t>
      </w:r>
    </w:p>
    <w:p>
      <w:pPr>
        <w:autoSpaceDE w:val="0"/>
        <w:autoSpaceDN w:val="0"/>
        <w:adjustRightInd w:val="0"/>
        <w:spacing w:line="360" w:lineRule="auto"/>
        <w:rPr>
          <w:rFonts w:hint="eastAsia" w:ascii="宋体" w:hAnsi="宋体" w:eastAsia="宋体" w:cs="宋体"/>
          <w:sz w:val="24"/>
          <w:shd w:val="clear" w:color="FFFFFF" w:fill="D9D9D9"/>
        </w:rPr>
      </w:pPr>
    </w:p>
    <w:p>
      <w:pPr>
        <w:pStyle w:val="9"/>
        <w:rPr>
          <w:rFonts w:hint="eastAsia" w:ascii="宋体" w:hAnsi="宋体" w:eastAsia="宋体" w:cs="宋体"/>
        </w:rPr>
      </w:pPr>
    </w:p>
    <w:p>
      <w:pPr>
        <w:rPr>
          <w:rFonts w:hint="eastAsia" w:ascii="宋体" w:hAnsi="宋体" w:eastAsia="宋体" w:cs="宋体"/>
          <w:b/>
          <w:sz w:val="28"/>
        </w:rPr>
      </w:pPr>
    </w:p>
    <w:p>
      <w:pPr>
        <w:pStyle w:val="9"/>
        <w:rPr>
          <w:rFonts w:hint="eastAsia" w:ascii="宋体" w:hAnsi="宋体" w:eastAsia="宋体" w:cs="宋体"/>
        </w:rPr>
      </w:pPr>
    </w:p>
    <w:p>
      <w:pPr>
        <w:ind w:firstLine="2730" w:firstLineChars="1300"/>
        <w:rPr>
          <w:rFonts w:hint="eastAsia" w:ascii="宋体" w:hAnsi="宋体" w:eastAsia="宋体" w:cs="宋体"/>
        </w:rPr>
      </w:pPr>
    </w:p>
    <w:p>
      <w:pPr>
        <w:spacing w:line="360" w:lineRule="auto"/>
        <w:rPr>
          <w:rFonts w:hint="eastAsia" w:ascii="宋体" w:hAnsi="宋体" w:eastAsia="宋体" w:cs="宋体"/>
          <w:b/>
          <w:sz w:val="28"/>
        </w:rPr>
      </w:pPr>
      <w:r>
        <w:rPr>
          <w:rFonts w:hint="eastAsia" w:ascii="宋体" w:hAnsi="宋体" w:eastAsia="宋体" w:cs="宋体"/>
          <w:b/>
          <w:sz w:val="28"/>
        </w:rPr>
        <w:t>附件7：</w:t>
      </w:r>
    </w:p>
    <w:p>
      <w:pPr>
        <w:spacing w:line="360" w:lineRule="atLeast"/>
        <w:ind w:left="480"/>
        <w:jc w:val="center"/>
        <w:rPr>
          <w:rFonts w:hint="eastAsia" w:ascii="宋体" w:hAnsi="宋体" w:eastAsia="宋体" w:cs="宋体"/>
          <w:b/>
          <w:sz w:val="32"/>
          <w:szCs w:val="32"/>
        </w:rPr>
      </w:pPr>
      <w:r>
        <w:rPr>
          <w:rFonts w:hint="eastAsia" w:ascii="宋体" w:hAnsi="宋体" w:eastAsia="宋体" w:cs="宋体"/>
          <w:b/>
          <w:sz w:val="32"/>
          <w:szCs w:val="32"/>
        </w:rPr>
        <w:t>首次报价一览表</w:t>
      </w:r>
    </w:p>
    <w:p>
      <w:pPr>
        <w:spacing w:line="360" w:lineRule="atLeast"/>
        <w:ind w:left="480"/>
        <w:rPr>
          <w:rFonts w:hint="eastAsia" w:ascii="宋体" w:hAnsi="宋体" w:eastAsia="宋体" w:cs="宋体"/>
          <w:b/>
          <w:sz w:val="30"/>
        </w:rPr>
      </w:pPr>
    </w:p>
    <w:p>
      <w:pPr>
        <w:jc w:val="center"/>
        <w:rPr>
          <w:rFonts w:hint="eastAsia" w:ascii="宋体" w:hAnsi="宋体" w:eastAsia="宋体" w:cs="宋体"/>
        </w:rPr>
      </w:pPr>
    </w:p>
    <w:p>
      <w:pPr>
        <w:pStyle w:val="10"/>
        <w:spacing w:line="320" w:lineRule="exact"/>
        <w:rPr>
          <w:rFonts w:hint="eastAsia" w:ascii="宋体" w:hAnsi="宋体" w:eastAsia="宋体" w:cs="宋体"/>
          <w:b/>
          <w:sz w:val="24"/>
          <w:u w:val="single"/>
        </w:rPr>
      </w:pPr>
      <w:r>
        <w:rPr>
          <w:rFonts w:hint="eastAsia" w:ascii="宋体" w:hAnsi="宋体" w:eastAsia="宋体" w:cs="宋体"/>
          <w:b/>
          <w:sz w:val="24"/>
        </w:rPr>
        <w:t>项目编号：</w:t>
      </w:r>
    </w:p>
    <w:p>
      <w:pPr>
        <w:pStyle w:val="36"/>
        <w:spacing w:line="360" w:lineRule="auto"/>
        <w:ind w:right="480" w:firstLine="241" w:firstLineChars="100"/>
        <w:jc w:val="left"/>
        <w:rPr>
          <w:rFonts w:hint="eastAsia" w:ascii="宋体" w:hAnsi="宋体" w:eastAsia="宋体" w:cs="宋体"/>
          <w:sz w:val="24"/>
        </w:rPr>
      </w:pPr>
      <w:r>
        <w:rPr>
          <w:rFonts w:hint="eastAsia" w:ascii="宋体" w:hAnsi="宋体" w:eastAsia="宋体" w:cs="宋体"/>
          <w:b/>
          <w:sz w:val="24"/>
        </w:rPr>
        <w:t>项目名称：</w:t>
      </w:r>
      <w:r>
        <w:rPr>
          <w:rFonts w:hint="eastAsia" w:ascii="宋体" w:hAnsi="宋体" w:eastAsia="宋体" w:cs="宋体"/>
          <w:sz w:val="24"/>
        </w:rPr>
        <w:t xml:space="preserve">                [货币单位：人民币元]</w:t>
      </w:r>
    </w:p>
    <w:tbl>
      <w:tblPr>
        <w:tblStyle w:val="20"/>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hint="eastAsia" w:ascii="宋体" w:hAnsi="宋体" w:eastAsia="宋体" w:cs="宋体"/>
                <w:sz w:val="24"/>
              </w:rPr>
            </w:pPr>
            <w:r>
              <w:rPr>
                <w:rFonts w:hint="eastAsia" w:ascii="宋体" w:hAnsi="宋体" w:eastAsia="宋体" w:cs="宋体"/>
                <w:sz w:val="24"/>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hint="eastAsia" w:ascii="宋体" w:hAnsi="宋体" w:eastAsia="宋体" w:cs="宋体"/>
                <w:sz w:val="24"/>
              </w:rPr>
            </w:pPr>
            <w:r>
              <w:rPr>
                <w:rFonts w:hint="eastAsia" w:ascii="宋体" w:hAnsi="宋体" w:eastAsia="宋体" w:cs="宋体"/>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11" w:hRule="atLeast"/>
          <w:jc w:val="center"/>
        </w:trPr>
        <w:tc>
          <w:tcPr>
            <w:tcW w:w="2694" w:type="dxa"/>
            <w:vMerge w:val="continue"/>
            <w:tcBorders>
              <w:top w:val="single" w:color="auto" w:sz="12" w:space="0"/>
              <w:left w:val="single" w:color="auto" w:sz="12" w:space="0"/>
              <w:bottom w:val="single" w:color="auto" w:sz="12" w:space="0"/>
              <w:right w:val="single" w:color="auto" w:sz="4" w:space="0"/>
            </w:tcBorders>
            <w:vAlign w:val="center"/>
          </w:tcPr>
          <w:p>
            <w:pPr>
              <w:rPr>
                <w:rFonts w:hint="eastAsia" w:ascii="宋体" w:hAnsi="宋体" w:eastAsia="宋体" w:cs="宋体"/>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hint="eastAsia" w:ascii="宋体" w:hAnsi="宋体" w:eastAsia="宋体" w:cs="宋体"/>
                <w:sz w:val="24"/>
              </w:rPr>
            </w:pPr>
            <w:r>
              <w:rPr>
                <w:rFonts w:hint="eastAsia" w:ascii="宋体" w:hAnsi="宋体" w:eastAsia="宋体" w:cs="宋体"/>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4043" w:type="dxa"/>
            <w:gridSpan w:val="2"/>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hint="eastAsia" w:ascii="宋体" w:hAnsi="宋体" w:eastAsia="宋体" w:cs="宋体"/>
                <w:sz w:val="24"/>
              </w:rPr>
            </w:pPr>
            <w:r>
              <w:rPr>
                <w:rFonts w:hint="eastAsia" w:ascii="宋体" w:hAnsi="宋体" w:eastAsia="宋体" w:cs="宋体"/>
                <w:sz w:val="24"/>
              </w:rPr>
              <w:t>服务期</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hint="eastAsia" w:ascii="宋体" w:hAnsi="宋体" w:eastAsia="宋体" w:cs="宋体"/>
                <w:sz w:val="24"/>
              </w:rPr>
            </w:pPr>
            <w:r>
              <w:rPr>
                <w:rFonts w:hint="eastAsia" w:ascii="宋体" w:hAnsi="宋体" w:eastAsia="宋体" w:cs="宋体"/>
                <w:sz w:val="22"/>
              </w:rPr>
              <w:t>从施工监理合同签订之日起至工程竣工验收完成之日止（其中服务期为180天，缺陷责任期24个月）</w:t>
            </w:r>
          </w:p>
        </w:tc>
      </w:tr>
    </w:tbl>
    <w:p>
      <w:pPr>
        <w:spacing w:line="360" w:lineRule="auto"/>
        <w:rPr>
          <w:rFonts w:hint="eastAsia" w:ascii="宋体" w:hAnsi="宋体" w:eastAsia="宋体" w:cs="宋体"/>
          <w:b/>
          <w:szCs w:val="21"/>
        </w:rPr>
      </w:pPr>
      <w:r>
        <w:rPr>
          <w:rFonts w:hint="eastAsia" w:ascii="宋体" w:hAnsi="宋体" w:eastAsia="宋体" w:cs="宋体"/>
          <w:b/>
          <w:szCs w:val="21"/>
        </w:rPr>
        <w:t>填报说明：</w:t>
      </w:r>
    </w:p>
    <w:p>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1.总价包干，总报价应当包含为完成本项目所涉及相关一切所有风险责任等各项费用及不可预见费等所需的全部费用。未列明的工作内容视为已包含在其中。</w:t>
      </w:r>
    </w:p>
    <w:p>
      <w:pPr>
        <w:spacing w:line="360" w:lineRule="auto"/>
        <w:ind w:firstLine="420" w:firstLineChars="200"/>
        <w:rPr>
          <w:rFonts w:hint="eastAsia" w:ascii="宋体" w:hAnsi="宋体" w:eastAsia="宋体" w:cs="宋体"/>
          <w:b/>
          <w:i/>
          <w:szCs w:val="21"/>
          <w:u w:val="single"/>
        </w:rPr>
      </w:pPr>
      <w:r>
        <w:rPr>
          <w:rFonts w:hint="eastAsia" w:ascii="宋体" w:hAnsi="宋体" w:eastAsia="宋体" w:cs="宋体"/>
          <w:kern w:val="0"/>
          <w:szCs w:val="21"/>
        </w:rPr>
        <w:t>2.报价一经涂改，应在涂改处加盖单位公章，或者由法定代表人或全权代表签字或盖章，否则作无效响应处理。</w:t>
      </w:r>
    </w:p>
    <w:p>
      <w:pPr>
        <w:spacing w:line="320" w:lineRule="exact"/>
        <w:ind w:left="420"/>
        <w:rPr>
          <w:rFonts w:hint="eastAsia" w:ascii="宋体" w:hAnsi="宋体" w:eastAsia="宋体" w:cs="宋体"/>
          <w:sz w:val="24"/>
        </w:rPr>
      </w:pPr>
    </w:p>
    <w:p>
      <w:pPr>
        <w:spacing w:line="360" w:lineRule="auto"/>
        <w:ind w:left="420"/>
        <w:rPr>
          <w:rFonts w:hint="eastAsia" w:ascii="宋体" w:hAnsi="宋体" w:eastAsia="宋体" w:cs="宋体"/>
          <w:sz w:val="24"/>
          <w:u w:val="single"/>
        </w:rPr>
      </w:pPr>
      <w:r>
        <w:rPr>
          <w:rFonts w:hint="eastAsia" w:ascii="宋体" w:hAnsi="宋体" w:eastAsia="宋体" w:cs="宋体"/>
          <w:sz w:val="24"/>
        </w:rPr>
        <w:t>谈判供应商名称（盖章）：</w:t>
      </w:r>
    </w:p>
    <w:p>
      <w:pPr>
        <w:spacing w:line="360" w:lineRule="auto"/>
        <w:ind w:left="420"/>
        <w:rPr>
          <w:rFonts w:hint="eastAsia" w:ascii="宋体" w:hAnsi="宋体" w:eastAsia="宋体" w:cs="宋体"/>
          <w:sz w:val="24"/>
        </w:rPr>
      </w:pPr>
    </w:p>
    <w:p>
      <w:pPr>
        <w:spacing w:line="360" w:lineRule="auto"/>
        <w:ind w:firstLine="435"/>
        <w:rPr>
          <w:rFonts w:hint="eastAsia" w:ascii="宋体" w:hAnsi="宋体" w:eastAsia="宋体" w:cs="宋体"/>
          <w:sz w:val="24"/>
        </w:rPr>
      </w:pPr>
      <w:r>
        <w:rPr>
          <w:rFonts w:hint="eastAsia" w:ascii="宋体" w:hAnsi="宋体" w:eastAsia="宋体" w:cs="宋体"/>
          <w:sz w:val="24"/>
        </w:rPr>
        <w:t>谈判供应商代表签字：</w:t>
      </w:r>
    </w:p>
    <w:p>
      <w:pPr>
        <w:spacing w:line="360" w:lineRule="auto"/>
        <w:ind w:firstLine="435"/>
        <w:rPr>
          <w:rFonts w:hint="eastAsia" w:ascii="宋体" w:hAnsi="宋体" w:eastAsia="宋体" w:cs="宋体"/>
          <w:sz w:val="24"/>
        </w:rPr>
      </w:pPr>
    </w:p>
    <w:p>
      <w:pPr>
        <w:spacing w:line="360" w:lineRule="auto"/>
        <w:ind w:firstLine="435"/>
        <w:rPr>
          <w:rFonts w:hint="eastAsia" w:ascii="宋体" w:hAnsi="宋体" w:eastAsia="宋体" w:cs="宋体"/>
          <w:b/>
          <w:sz w:val="28"/>
        </w:rPr>
      </w:pPr>
      <w:r>
        <w:rPr>
          <w:rFonts w:hint="eastAsia" w:ascii="宋体" w:hAnsi="宋体" w:eastAsia="宋体" w:cs="宋体"/>
          <w:sz w:val="24"/>
        </w:rPr>
        <w:t>日        期：</w:t>
      </w:r>
    </w:p>
    <w:p>
      <w:pPr>
        <w:spacing w:line="320" w:lineRule="exact"/>
        <w:ind w:firstLine="435"/>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br w:type="page"/>
      </w:r>
    </w:p>
    <w:p>
      <w:pPr>
        <w:spacing w:line="360" w:lineRule="auto"/>
        <w:ind w:firstLine="435"/>
        <w:rPr>
          <w:rFonts w:hint="eastAsia" w:ascii="宋体" w:hAnsi="宋体" w:eastAsia="宋体" w:cs="宋体"/>
        </w:rPr>
      </w:pPr>
    </w:p>
    <w:p>
      <w:pPr>
        <w:spacing w:line="360" w:lineRule="atLeast"/>
        <w:ind w:left="480"/>
        <w:rPr>
          <w:rFonts w:hint="eastAsia" w:ascii="宋体" w:hAnsi="宋体" w:eastAsia="宋体" w:cs="宋体"/>
          <w:b/>
          <w:sz w:val="32"/>
          <w:szCs w:val="32"/>
        </w:rPr>
      </w:pPr>
      <w:r>
        <w:rPr>
          <w:rFonts w:hint="eastAsia" w:ascii="宋体" w:hAnsi="宋体" w:eastAsia="宋体" w:cs="宋体"/>
          <w:b/>
          <w:sz w:val="32"/>
          <w:szCs w:val="32"/>
        </w:rPr>
        <w:t>附：最终报价一览表 （提供格式 ）</w:t>
      </w:r>
    </w:p>
    <w:p>
      <w:pPr>
        <w:spacing w:line="360" w:lineRule="atLeast"/>
        <w:ind w:left="480"/>
        <w:rPr>
          <w:rFonts w:hint="eastAsia" w:ascii="宋体" w:hAnsi="宋体" w:eastAsia="宋体" w:cs="宋体"/>
          <w:b/>
          <w:sz w:val="30"/>
        </w:rPr>
      </w:pPr>
    </w:p>
    <w:p>
      <w:pPr>
        <w:jc w:val="center"/>
        <w:rPr>
          <w:rFonts w:hint="eastAsia" w:ascii="宋体" w:hAnsi="宋体" w:eastAsia="宋体" w:cs="宋体"/>
        </w:rPr>
      </w:pPr>
    </w:p>
    <w:p>
      <w:pPr>
        <w:pStyle w:val="10"/>
        <w:spacing w:line="320" w:lineRule="exact"/>
        <w:rPr>
          <w:rFonts w:hint="eastAsia" w:ascii="宋体" w:hAnsi="宋体" w:eastAsia="宋体" w:cs="宋体"/>
          <w:b/>
          <w:sz w:val="24"/>
          <w:u w:val="single"/>
        </w:rPr>
      </w:pPr>
      <w:r>
        <w:rPr>
          <w:rFonts w:hint="eastAsia" w:ascii="宋体" w:hAnsi="宋体" w:eastAsia="宋体" w:cs="宋体"/>
          <w:b/>
          <w:sz w:val="24"/>
        </w:rPr>
        <w:t>项目编号：</w:t>
      </w:r>
    </w:p>
    <w:p>
      <w:pPr>
        <w:pStyle w:val="36"/>
        <w:spacing w:line="360" w:lineRule="auto"/>
        <w:ind w:right="480"/>
        <w:jc w:val="left"/>
        <w:rPr>
          <w:rFonts w:hint="eastAsia" w:ascii="宋体" w:hAnsi="宋体" w:eastAsia="宋体" w:cs="宋体"/>
          <w:sz w:val="24"/>
        </w:rPr>
      </w:pPr>
      <w:r>
        <w:rPr>
          <w:rFonts w:hint="eastAsia" w:ascii="宋体" w:hAnsi="宋体" w:eastAsia="宋体" w:cs="宋体"/>
          <w:b/>
          <w:sz w:val="24"/>
        </w:rPr>
        <w:t>项目名称：</w:t>
      </w:r>
      <w:r>
        <w:rPr>
          <w:rFonts w:hint="eastAsia" w:ascii="宋体" w:hAnsi="宋体" w:eastAsia="宋体" w:cs="宋体"/>
          <w:sz w:val="24"/>
        </w:rPr>
        <w:t xml:space="preserve">                            [货币单位：人民币元]</w:t>
      </w:r>
    </w:p>
    <w:tbl>
      <w:tblPr>
        <w:tblStyle w:val="20"/>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hint="eastAsia" w:ascii="宋体" w:hAnsi="宋体" w:eastAsia="宋体" w:cs="宋体"/>
                <w:sz w:val="24"/>
              </w:rPr>
            </w:pPr>
            <w:r>
              <w:rPr>
                <w:rFonts w:hint="eastAsia" w:ascii="宋体" w:hAnsi="宋体" w:eastAsia="宋体" w:cs="宋体"/>
                <w:sz w:val="24"/>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hint="eastAsia" w:ascii="宋体" w:hAnsi="宋体" w:eastAsia="宋体" w:cs="宋体"/>
                <w:sz w:val="24"/>
              </w:rPr>
            </w:pPr>
            <w:r>
              <w:rPr>
                <w:rFonts w:hint="eastAsia" w:ascii="宋体" w:hAnsi="宋体" w:eastAsia="宋体" w:cs="宋体"/>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12" w:space="0"/>
              <w:right w:val="single" w:color="auto" w:sz="4" w:space="0"/>
            </w:tcBorders>
            <w:vAlign w:val="center"/>
          </w:tcPr>
          <w:p>
            <w:pPr>
              <w:rPr>
                <w:rFonts w:hint="eastAsia" w:ascii="宋体" w:hAnsi="宋体" w:eastAsia="宋体" w:cs="宋体"/>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hint="eastAsia" w:ascii="宋体" w:hAnsi="宋体" w:eastAsia="宋体" w:cs="宋体"/>
                <w:sz w:val="24"/>
              </w:rPr>
            </w:pPr>
            <w:r>
              <w:rPr>
                <w:rFonts w:hint="eastAsia" w:ascii="宋体" w:hAnsi="宋体" w:eastAsia="宋体" w:cs="宋体"/>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4043" w:type="dxa"/>
            <w:gridSpan w:val="2"/>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hint="eastAsia" w:ascii="宋体" w:hAnsi="宋体" w:eastAsia="宋体" w:cs="宋体"/>
                <w:sz w:val="24"/>
              </w:rPr>
            </w:pPr>
            <w:r>
              <w:rPr>
                <w:rFonts w:hint="eastAsia" w:ascii="宋体" w:hAnsi="宋体" w:eastAsia="宋体" w:cs="宋体"/>
                <w:sz w:val="24"/>
              </w:rPr>
              <w:t>服务期</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hint="eastAsia" w:ascii="宋体" w:hAnsi="宋体" w:eastAsia="宋体" w:cs="宋体"/>
                <w:sz w:val="24"/>
              </w:rPr>
            </w:pPr>
            <w:r>
              <w:rPr>
                <w:rFonts w:hint="eastAsia" w:ascii="宋体" w:hAnsi="宋体" w:eastAsia="宋体" w:cs="宋体"/>
                <w:sz w:val="22"/>
              </w:rPr>
              <w:t>从施工监理合同签订之日起至工程竣工验收完成之日止（其中服务期为180天，缺陷责任期24个月）</w:t>
            </w:r>
          </w:p>
        </w:tc>
      </w:tr>
    </w:tbl>
    <w:p>
      <w:pPr>
        <w:spacing w:line="360" w:lineRule="auto"/>
        <w:rPr>
          <w:rFonts w:hint="eastAsia" w:ascii="宋体" w:hAnsi="宋体" w:eastAsia="宋体" w:cs="宋体"/>
          <w:b/>
          <w:szCs w:val="21"/>
        </w:rPr>
      </w:pPr>
      <w:r>
        <w:rPr>
          <w:rFonts w:hint="eastAsia" w:ascii="宋体" w:hAnsi="宋体" w:eastAsia="宋体" w:cs="宋体"/>
          <w:b/>
          <w:szCs w:val="21"/>
        </w:rPr>
        <w:t>填报说明：</w:t>
      </w:r>
    </w:p>
    <w:p>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1.总价包干，总报价应当包含为完成本项目所涉及相关一切所有风险责任等各项费用及不可预见费等所需的全部费用。未列明的工作内容视为已包含在其中。</w:t>
      </w:r>
    </w:p>
    <w:p>
      <w:pPr>
        <w:spacing w:line="360" w:lineRule="auto"/>
        <w:ind w:firstLine="420" w:firstLineChars="200"/>
        <w:rPr>
          <w:rFonts w:hint="eastAsia" w:ascii="宋体" w:hAnsi="宋体" w:eastAsia="宋体" w:cs="宋体"/>
          <w:b/>
          <w:i/>
          <w:szCs w:val="21"/>
          <w:u w:val="single"/>
        </w:rPr>
      </w:pPr>
      <w:r>
        <w:rPr>
          <w:rFonts w:hint="eastAsia" w:ascii="宋体" w:hAnsi="宋体" w:eastAsia="宋体" w:cs="宋体"/>
          <w:kern w:val="0"/>
          <w:szCs w:val="21"/>
        </w:rPr>
        <w:t>2.报价一经涂改，应在涂改处加盖单位公章，或者由法定代表人或全权代表签字或盖章，否则作无效响应处理。</w:t>
      </w:r>
    </w:p>
    <w:p>
      <w:pPr>
        <w:spacing w:line="320" w:lineRule="exact"/>
        <w:ind w:left="420"/>
        <w:rPr>
          <w:rFonts w:hint="eastAsia" w:ascii="宋体" w:hAnsi="宋体" w:eastAsia="宋体" w:cs="宋体"/>
          <w:sz w:val="24"/>
        </w:rPr>
      </w:pPr>
    </w:p>
    <w:p>
      <w:pPr>
        <w:spacing w:line="360" w:lineRule="auto"/>
        <w:ind w:left="420"/>
        <w:rPr>
          <w:rFonts w:hint="eastAsia" w:ascii="宋体" w:hAnsi="宋体" w:eastAsia="宋体" w:cs="宋体"/>
          <w:sz w:val="24"/>
          <w:u w:val="single"/>
        </w:rPr>
      </w:pPr>
      <w:r>
        <w:rPr>
          <w:rFonts w:hint="eastAsia" w:ascii="宋体" w:hAnsi="宋体" w:eastAsia="宋体" w:cs="宋体"/>
          <w:sz w:val="24"/>
        </w:rPr>
        <w:t>谈判供应商名称（盖章）：</w:t>
      </w:r>
    </w:p>
    <w:p>
      <w:pPr>
        <w:spacing w:line="360" w:lineRule="auto"/>
        <w:ind w:left="420"/>
        <w:rPr>
          <w:rFonts w:hint="eastAsia" w:ascii="宋体" w:hAnsi="宋体" w:eastAsia="宋体" w:cs="宋体"/>
          <w:sz w:val="24"/>
        </w:rPr>
      </w:pPr>
    </w:p>
    <w:p>
      <w:pPr>
        <w:spacing w:line="360" w:lineRule="auto"/>
        <w:ind w:firstLine="435"/>
        <w:rPr>
          <w:rFonts w:hint="eastAsia" w:ascii="宋体" w:hAnsi="宋体" w:eastAsia="宋体" w:cs="宋体"/>
          <w:sz w:val="24"/>
        </w:rPr>
      </w:pPr>
      <w:r>
        <w:rPr>
          <w:rFonts w:hint="eastAsia" w:ascii="宋体" w:hAnsi="宋体" w:eastAsia="宋体" w:cs="宋体"/>
          <w:sz w:val="24"/>
        </w:rPr>
        <w:t>谈判供应商代表签字：</w:t>
      </w:r>
    </w:p>
    <w:p>
      <w:pPr>
        <w:spacing w:line="360" w:lineRule="auto"/>
        <w:ind w:firstLine="435"/>
        <w:rPr>
          <w:rFonts w:hint="eastAsia" w:ascii="宋体" w:hAnsi="宋体" w:eastAsia="宋体" w:cs="宋体"/>
          <w:sz w:val="24"/>
        </w:rPr>
      </w:pPr>
    </w:p>
    <w:p>
      <w:pPr>
        <w:spacing w:line="360" w:lineRule="auto"/>
        <w:ind w:firstLine="435"/>
        <w:rPr>
          <w:rFonts w:hint="eastAsia" w:ascii="宋体" w:hAnsi="宋体" w:eastAsia="宋体" w:cs="宋体"/>
          <w:b/>
          <w:sz w:val="28"/>
        </w:rPr>
      </w:pPr>
      <w:r>
        <w:rPr>
          <w:rFonts w:hint="eastAsia" w:ascii="宋体" w:hAnsi="宋体" w:eastAsia="宋体" w:cs="宋体"/>
          <w:sz w:val="24"/>
        </w:rPr>
        <w:t>日        期：</w:t>
      </w:r>
    </w:p>
    <w:p>
      <w:pPr>
        <w:spacing w:line="320" w:lineRule="exact"/>
        <w:ind w:firstLine="435"/>
        <w:rPr>
          <w:rFonts w:hint="eastAsia" w:ascii="宋体" w:hAnsi="宋体" w:eastAsia="宋体" w:cs="宋体"/>
          <w:sz w:val="24"/>
        </w:rPr>
      </w:pPr>
    </w:p>
    <w:p>
      <w:pPr>
        <w:spacing w:line="320" w:lineRule="exact"/>
        <w:ind w:firstLine="435"/>
        <w:rPr>
          <w:rFonts w:hint="eastAsia" w:ascii="宋体" w:hAnsi="宋体" w:eastAsia="宋体" w:cs="宋体"/>
          <w:sz w:val="24"/>
        </w:rPr>
      </w:pPr>
    </w:p>
    <w:p>
      <w:pPr>
        <w:spacing w:line="360" w:lineRule="auto"/>
        <w:ind w:firstLine="435"/>
        <w:rPr>
          <w:rFonts w:hint="eastAsia" w:ascii="宋体" w:hAnsi="宋体" w:eastAsia="宋体" w:cs="宋体"/>
        </w:rPr>
      </w:pPr>
      <w:r>
        <w:rPr>
          <w:rFonts w:hint="eastAsia" w:ascii="宋体" w:hAnsi="宋体" w:eastAsia="宋体" w:cs="宋体"/>
        </w:rPr>
        <w:t>注：投标人自行准备。</w:t>
      </w:r>
    </w:p>
    <w:sectPr>
      <w:headerReference r:id="rId3" w:type="default"/>
      <w:footerReference r:id="rId4" w:type="default"/>
      <w:pgSz w:w="11906" w:h="16838"/>
      <w:pgMar w:top="1383" w:right="1678" w:bottom="1383" w:left="168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wBWkJDACAABTBAAADgAAAAAAAAABACAAAAAhAQAAZHJzL2Uyb0RvYy54bWxQSwUG&#10;AAAAAAYABgBZAQAAwwU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16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sz w:val="1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8CB5E"/>
    <w:multiLevelType w:val="singleLevel"/>
    <w:tmpl w:val="89F8CB5E"/>
    <w:lvl w:ilvl="0" w:tentative="0">
      <w:start w:val="1"/>
      <w:numFmt w:val="decimal"/>
      <w:pStyle w:val="5"/>
      <w:lvlText w:val="%1."/>
      <w:lvlJc w:val="left"/>
      <w:pPr>
        <w:tabs>
          <w:tab w:val="left" w:pos="360"/>
        </w:tabs>
        <w:ind w:left="360" w:hanging="360"/>
      </w:pPr>
    </w:lvl>
  </w:abstractNum>
  <w:abstractNum w:abstractNumId="1">
    <w:nsid w:val="AAF7B2CA"/>
    <w:multiLevelType w:val="singleLevel"/>
    <w:tmpl w:val="AAF7B2CA"/>
    <w:lvl w:ilvl="0" w:tentative="0">
      <w:start w:val="1"/>
      <w:numFmt w:val="decimal"/>
      <w:suff w:val="nothing"/>
      <w:lvlText w:val="%1、"/>
      <w:lvlJc w:val="left"/>
    </w:lvl>
  </w:abstractNum>
  <w:abstractNum w:abstractNumId="2">
    <w:nsid w:val="40C0B4A3"/>
    <w:multiLevelType w:val="singleLevel"/>
    <w:tmpl w:val="40C0B4A3"/>
    <w:lvl w:ilvl="0" w:tentative="0">
      <w:start w:val="3"/>
      <w:numFmt w:val="chineseCounting"/>
      <w:suff w:val="space"/>
      <w:lvlText w:val="第%1章"/>
      <w:lvlJc w:val="left"/>
      <w:rPr>
        <w:rFonts w:hint="eastAsia"/>
      </w:rPr>
    </w:lvl>
  </w:abstractNum>
  <w:abstractNum w:abstractNumId="3">
    <w:nsid w:val="4EBA0EA9"/>
    <w:multiLevelType w:val="singleLevel"/>
    <w:tmpl w:val="4EBA0EA9"/>
    <w:lvl w:ilvl="0" w:tentative="0">
      <w:start w:val="1"/>
      <w:numFmt w:val="chineseCounting"/>
      <w:suff w:val="nothing"/>
      <w:lvlText w:val="%1、"/>
      <w:lvlJc w:val="left"/>
      <w:rPr>
        <w:rFonts w:hint="eastAsia"/>
      </w:rPr>
    </w:lvl>
  </w:abstractNum>
  <w:abstractNum w:abstractNumId="4">
    <w:nsid w:val="7C791003"/>
    <w:multiLevelType w:val="multilevel"/>
    <w:tmpl w:val="7C791003"/>
    <w:lvl w:ilvl="0" w:tentative="0">
      <w:start w:val="8"/>
      <w:numFmt w:val="japaneseCounting"/>
      <w:lvlText w:val="第%1条"/>
      <w:lvlJc w:val="left"/>
      <w:pPr>
        <w:tabs>
          <w:tab w:val="left" w:pos="1290"/>
        </w:tabs>
        <w:ind w:left="1290" w:hanging="855"/>
      </w:pPr>
      <w:rPr>
        <w:rFonts w:hint="default"/>
        <w:b/>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AzNGQ5N2UxZDFhY2ExZThlZDMyOGM0ZGI2MzE4NWQifQ=="/>
  </w:docVars>
  <w:rsids>
    <w:rsidRoot w:val="20AE4D64"/>
    <w:rsid w:val="000513C6"/>
    <w:rsid w:val="00055194"/>
    <w:rsid w:val="00074F42"/>
    <w:rsid w:val="00097C6E"/>
    <w:rsid w:val="000B43F5"/>
    <w:rsid w:val="000E7913"/>
    <w:rsid w:val="00102878"/>
    <w:rsid w:val="00105D85"/>
    <w:rsid w:val="001149A3"/>
    <w:rsid w:val="00167DBD"/>
    <w:rsid w:val="001749E7"/>
    <w:rsid w:val="001913B5"/>
    <w:rsid w:val="001C19BB"/>
    <w:rsid w:val="001C650F"/>
    <w:rsid w:val="001D2968"/>
    <w:rsid w:val="00207812"/>
    <w:rsid w:val="00210E6E"/>
    <w:rsid w:val="00231AF6"/>
    <w:rsid w:val="00251CE4"/>
    <w:rsid w:val="00265C67"/>
    <w:rsid w:val="00272AD3"/>
    <w:rsid w:val="00273926"/>
    <w:rsid w:val="00277154"/>
    <w:rsid w:val="00282109"/>
    <w:rsid w:val="00282AEC"/>
    <w:rsid w:val="00282F6E"/>
    <w:rsid w:val="00292BAB"/>
    <w:rsid w:val="002A6CDA"/>
    <w:rsid w:val="002B3D08"/>
    <w:rsid w:val="002B7A1F"/>
    <w:rsid w:val="002F7BE6"/>
    <w:rsid w:val="003103E8"/>
    <w:rsid w:val="003B0B61"/>
    <w:rsid w:val="003E7C4B"/>
    <w:rsid w:val="003F0599"/>
    <w:rsid w:val="004013D4"/>
    <w:rsid w:val="00401658"/>
    <w:rsid w:val="004203AA"/>
    <w:rsid w:val="00511D41"/>
    <w:rsid w:val="00520CFD"/>
    <w:rsid w:val="0052419F"/>
    <w:rsid w:val="00552FC0"/>
    <w:rsid w:val="00564584"/>
    <w:rsid w:val="00574A57"/>
    <w:rsid w:val="00582585"/>
    <w:rsid w:val="005976EC"/>
    <w:rsid w:val="00622C5B"/>
    <w:rsid w:val="0063348F"/>
    <w:rsid w:val="006D1273"/>
    <w:rsid w:val="006D6DBD"/>
    <w:rsid w:val="00762E3A"/>
    <w:rsid w:val="00777404"/>
    <w:rsid w:val="00810128"/>
    <w:rsid w:val="00861854"/>
    <w:rsid w:val="00872702"/>
    <w:rsid w:val="00872FDD"/>
    <w:rsid w:val="0089349D"/>
    <w:rsid w:val="008C0F91"/>
    <w:rsid w:val="008D0BBE"/>
    <w:rsid w:val="008F4530"/>
    <w:rsid w:val="00907303"/>
    <w:rsid w:val="0093777D"/>
    <w:rsid w:val="009A1D3F"/>
    <w:rsid w:val="009F261C"/>
    <w:rsid w:val="00A44AF3"/>
    <w:rsid w:val="00A5768F"/>
    <w:rsid w:val="00AA3376"/>
    <w:rsid w:val="00AF0651"/>
    <w:rsid w:val="00B436B3"/>
    <w:rsid w:val="00B52714"/>
    <w:rsid w:val="00B70DB2"/>
    <w:rsid w:val="00B93B6E"/>
    <w:rsid w:val="00BB00AA"/>
    <w:rsid w:val="00BE1DF2"/>
    <w:rsid w:val="00BF673A"/>
    <w:rsid w:val="00C01752"/>
    <w:rsid w:val="00C0508D"/>
    <w:rsid w:val="00C44CAC"/>
    <w:rsid w:val="00C852D5"/>
    <w:rsid w:val="00C93215"/>
    <w:rsid w:val="00C93C83"/>
    <w:rsid w:val="00CC441E"/>
    <w:rsid w:val="00CC48A5"/>
    <w:rsid w:val="00CF5758"/>
    <w:rsid w:val="00D135EC"/>
    <w:rsid w:val="00D17C36"/>
    <w:rsid w:val="00D40D69"/>
    <w:rsid w:val="00D43DF8"/>
    <w:rsid w:val="00D73788"/>
    <w:rsid w:val="00DA5939"/>
    <w:rsid w:val="00DC46AE"/>
    <w:rsid w:val="00DE1E24"/>
    <w:rsid w:val="00E26FE7"/>
    <w:rsid w:val="00E84345"/>
    <w:rsid w:val="00EA0E26"/>
    <w:rsid w:val="00EA38CE"/>
    <w:rsid w:val="00ED7E40"/>
    <w:rsid w:val="00EE2293"/>
    <w:rsid w:val="00F05194"/>
    <w:rsid w:val="00F14928"/>
    <w:rsid w:val="00F42458"/>
    <w:rsid w:val="00F77838"/>
    <w:rsid w:val="00F94618"/>
    <w:rsid w:val="00FB1FEC"/>
    <w:rsid w:val="00FC2F13"/>
    <w:rsid w:val="010C0D51"/>
    <w:rsid w:val="01106CEC"/>
    <w:rsid w:val="01164E88"/>
    <w:rsid w:val="013C0A09"/>
    <w:rsid w:val="014F757B"/>
    <w:rsid w:val="01574618"/>
    <w:rsid w:val="01AC75F0"/>
    <w:rsid w:val="01EB07B6"/>
    <w:rsid w:val="01F9009E"/>
    <w:rsid w:val="01FF43AC"/>
    <w:rsid w:val="01FF483A"/>
    <w:rsid w:val="02031BCE"/>
    <w:rsid w:val="02115BA0"/>
    <w:rsid w:val="02184DBF"/>
    <w:rsid w:val="022A16E3"/>
    <w:rsid w:val="022C4C06"/>
    <w:rsid w:val="02545635"/>
    <w:rsid w:val="026C7AE0"/>
    <w:rsid w:val="0277374D"/>
    <w:rsid w:val="027E1B15"/>
    <w:rsid w:val="027F5F79"/>
    <w:rsid w:val="02B16EEE"/>
    <w:rsid w:val="02CC05CE"/>
    <w:rsid w:val="02D73796"/>
    <w:rsid w:val="02E404B1"/>
    <w:rsid w:val="02E85BEB"/>
    <w:rsid w:val="03020609"/>
    <w:rsid w:val="030E27A6"/>
    <w:rsid w:val="031935D0"/>
    <w:rsid w:val="0321400D"/>
    <w:rsid w:val="03222884"/>
    <w:rsid w:val="033458EA"/>
    <w:rsid w:val="034D5382"/>
    <w:rsid w:val="035B314B"/>
    <w:rsid w:val="03685798"/>
    <w:rsid w:val="03AD58A1"/>
    <w:rsid w:val="03D2770C"/>
    <w:rsid w:val="03E94B2B"/>
    <w:rsid w:val="03EC0177"/>
    <w:rsid w:val="03EE0A04"/>
    <w:rsid w:val="03F93545"/>
    <w:rsid w:val="042D7443"/>
    <w:rsid w:val="044C50BA"/>
    <w:rsid w:val="046B647B"/>
    <w:rsid w:val="047B14FB"/>
    <w:rsid w:val="049D75E6"/>
    <w:rsid w:val="04A5517D"/>
    <w:rsid w:val="04CB5FDF"/>
    <w:rsid w:val="05024EB6"/>
    <w:rsid w:val="050A4167"/>
    <w:rsid w:val="05633FD3"/>
    <w:rsid w:val="05771429"/>
    <w:rsid w:val="057B4DB9"/>
    <w:rsid w:val="059D3E1F"/>
    <w:rsid w:val="05BA41E2"/>
    <w:rsid w:val="05C173E2"/>
    <w:rsid w:val="061237B5"/>
    <w:rsid w:val="0627175F"/>
    <w:rsid w:val="06532730"/>
    <w:rsid w:val="06711330"/>
    <w:rsid w:val="06735475"/>
    <w:rsid w:val="06A76A12"/>
    <w:rsid w:val="06CB7AB3"/>
    <w:rsid w:val="06D7708A"/>
    <w:rsid w:val="06DE785A"/>
    <w:rsid w:val="06EC611F"/>
    <w:rsid w:val="06FB17DA"/>
    <w:rsid w:val="070555B4"/>
    <w:rsid w:val="070B125C"/>
    <w:rsid w:val="0730592D"/>
    <w:rsid w:val="075B5D40"/>
    <w:rsid w:val="076444C8"/>
    <w:rsid w:val="07703B11"/>
    <w:rsid w:val="078C69A8"/>
    <w:rsid w:val="07985999"/>
    <w:rsid w:val="079C6007"/>
    <w:rsid w:val="07AA637F"/>
    <w:rsid w:val="07D10D10"/>
    <w:rsid w:val="07D522C1"/>
    <w:rsid w:val="07E80134"/>
    <w:rsid w:val="08365E65"/>
    <w:rsid w:val="08393FDE"/>
    <w:rsid w:val="084560A8"/>
    <w:rsid w:val="084C38DA"/>
    <w:rsid w:val="08666C76"/>
    <w:rsid w:val="08730E67"/>
    <w:rsid w:val="087B5974"/>
    <w:rsid w:val="087C0F16"/>
    <w:rsid w:val="08AA1E9B"/>
    <w:rsid w:val="08AE54D9"/>
    <w:rsid w:val="08AF4DCF"/>
    <w:rsid w:val="08C6368D"/>
    <w:rsid w:val="08D541C1"/>
    <w:rsid w:val="08DB07BA"/>
    <w:rsid w:val="08DC3355"/>
    <w:rsid w:val="08F44139"/>
    <w:rsid w:val="090541F3"/>
    <w:rsid w:val="09124027"/>
    <w:rsid w:val="0933305D"/>
    <w:rsid w:val="0942383E"/>
    <w:rsid w:val="095A3EE5"/>
    <w:rsid w:val="09665A85"/>
    <w:rsid w:val="097350C6"/>
    <w:rsid w:val="09AD106C"/>
    <w:rsid w:val="09BA6230"/>
    <w:rsid w:val="09BF49CD"/>
    <w:rsid w:val="09DE1C64"/>
    <w:rsid w:val="0A2A36C1"/>
    <w:rsid w:val="0A2B03D8"/>
    <w:rsid w:val="0A342C69"/>
    <w:rsid w:val="0A5D35C4"/>
    <w:rsid w:val="0A686817"/>
    <w:rsid w:val="0A6A3B86"/>
    <w:rsid w:val="0ABA361B"/>
    <w:rsid w:val="0ACE6EF1"/>
    <w:rsid w:val="0ADC11B1"/>
    <w:rsid w:val="0AE41D1F"/>
    <w:rsid w:val="0AF748BC"/>
    <w:rsid w:val="0AF94694"/>
    <w:rsid w:val="0AFC383B"/>
    <w:rsid w:val="0B303030"/>
    <w:rsid w:val="0B393F8E"/>
    <w:rsid w:val="0B4C7F1B"/>
    <w:rsid w:val="0B513D39"/>
    <w:rsid w:val="0BAD388F"/>
    <w:rsid w:val="0BBB027E"/>
    <w:rsid w:val="0BD7150A"/>
    <w:rsid w:val="0BE35B49"/>
    <w:rsid w:val="0C210BDA"/>
    <w:rsid w:val="0C2E1201"/>
    <w:rsid w:val="0C3C3623"/>
    <w:rsid w:val="0C3F607C"/>
    <w:rsid w:val="0C4E2F8C"/>
    <w:rsid w:val="0C58211D"/>
    <w:rsid w:val="0C5D76C8"/>
    <w:rsid w:val="0C607F3A"/>
    <w:rsid w:val="0CA37CC2"/>
    <w:rsid w:val="0CCC40ED"/>
    <w:rsid w:val="0CDA6704"/>
    <w:rsid w:val="0CDD2F01"/>
    <w:rsid w:val="0D0B5B12"/>
    <w:rsid w:val="0D35747E"/>
    <w:rsid w:val="0D42453D"/>
    <w:rsid w:val="0D5A5E7A"/>
    <w:rsid w:val="0D8431E3"/>
    <w:rsid w:val="0D8E4A18"/>
    <w:rsid w:val="0DAB4BFF"/>
    <w:rsid w:val="0DAE56DC"/>
    <w:rsid w:val="0DFB1017"/>
    <w:rsid w:val="0DFF1591"/>
    <w:rsid w:val="0DFF205C"/>
    <w:rsid w:val="0E022DF8"/>
    <w:rsid w:val="0E1019EA"/>
    <w:rsid w:val="0E413012"/>
    <w:rsid w:val="0E554F90"/>
    <w:rsid w:val="0EC94FC1"/>
    <w:rsid w:val="0ED02B9A"/>
    <w:rsid w:val="0F027559"/>
    <w:rsid w:val="0F252A4B"/>
    <w:rsid w:val="0F4134DC"/>
    <w:rsid w:val="0F5F53D6"/>
    <w:rsid w:val="0F704352"/>
    <w:rsid w:val="0F8F0D59"/>
    <w:rsid w:val="0FBE3FC1"/>
    <w:rsid w:val="0FCC5C6D"/>
    <w:rsid w:val="100119EE"/>
    <w:rsid w:val="101127EF"/>
    <w:rsid w:val="10120F66"/>
    <w:rsid w:val="102801DB"/>
    <w:rsid w:val="102C4235"/>
    <w:rsid w:val="10460632"/>
    <w:rsid w:val="107B7EE8"/>
    <w:rsid w:val="10817E99"/>
    <w:rsid w:val="10910E09"/>
    <w:rsid w:val="10AA58FA"/>
    <w:rsid w:val="10BC5375"/>
    <w:rsid w:val="10D64689"/>
    <w:rsid w:val="10D75D0B"/>
    <w:rsid w:val="1102722C"/>
    <w:rsid w:val="111D0738"/>
    <w:rsid w:val="11360C84"/>
    <w:rsid w:val="11362F00"/>
    <w:rsid w:val="11397047"/>
    <w:rsid w:val="1145567D"/>
    <w:rsid w:val="115327F4"/>
    <w:rsid w:val="1155443C"/>
    <w:rsid w:val="11794674"/>
    <w:rsid w:val="118E3827"/>
    <w:rsid w:val="1196758E"/>
    <w:rsid w:val="11A36EF9"/>
    <w:rsid w:val="11A541B3"/>
    <w:rsid w:val="11A74070"/>
    <w:rsid w:val="11B2040F"/>
    <w:rsid w:val="11C70EE4"/>
    <w:rsid w:val="11D23397"/>
    <w:rsid w:val="11FF19BD"/>
    <w:rsid w:val="120253D5"/>
    <w:rsid w:val="12041361"/>
    <w:rsid w:val="1232769D"/>
    <w:rsid w:val="124413D6"/>
    <w:rsid w:val="1255603E"/>
    <w:rsid w:val="12637049"/>
    <w:rsid w:val="127A2D8F"/>
    <w:rsid w:val="129E2F84"/>
    <w:rsid w:val="12C72A17"/>
    <w:rsid w:val="12F76BB0"/>
    <w:rsid w:val="130152C1"/>
    <w:rsid w:val="1310193B"/>
    <w:rsid w:val="13217712"/>
    <w:rsid w:val="132F4907"/>
    <w:rsid w:val="134D1AEA"/>
    <w:rsid w:val="1355697C"/>
    <w:rsid w:val="137342B3"/>
    <w:rsid w:val="139B5716"/>
    <w:rsid w:val="139E03CC"/>
    <w:rsid w:val="13B62550"/>
    <w:rsid w:val="13BB6257"/>
    <w:rsid w:val="13BF36D9"/>
    <w:rsid w:val="13C95656"/>
    <w:rsid w:val="13E33F47"/>
    <w:rsid w:val="13EA6669"/>
    <w:rsid w:val="141170ED"/>
    <w:rsid w:val="143F60A1"/>
    <w:rsid w:val="14773350"/>
    <w:rsid w:val="148F7F3B"/>
    <w:rsid w:val="14950DA5"/>
    <w:rsid w:val="14CC39AA"/>
    <w:rsid w:val="14F27488"/>
    <w:rsid w:val="14F670A8"/>
    <w:rsid w:val="150101C7"/>
    <w:rsid w:val="150F4288"/>
    <w:rsid w:val="151A28C4"/>
    <w:rsid w:val="151D37B8"/>
    <w:rsid w:val="152C44F1"/>
    <w:rsid w:val="152E7175"/>
    <w:rsid w:val="15392488"/>
    <w:rsid w:val="154230D9"/>
    <w:rsid w:val="156D6C3E"/>
    <w:rsid w:val="157967E7"/>
    <w:rsid w:val="15814D74"/>
    <w:rsid w:val="159F1C43"/>
    <w:rsid w:val="15A42C21"/>
    <w:rsid w:val="15B75830"/>
    <w:rsid w:val="15E600A1"/>
    <w:rsid w:val="15E676E2"/>
    <w:rsid w:val="15E725EE"/>
    <w:rsid w:val="15EC04AB"/>
    <w:rsid w:val="160D399F"/>
    <w:rsid w:val="16261599"/>
    <w:rsid w:val="16307CB6"/>
    <w:rsid w:val="163358C0"/>
    <w:rsid w:val="166603FD"/>
    <w:rsid w:val="16CF5E02"/>
    <w:rsid w:val="17016D54"/>
    <w:rsid w:val="170E7965"/>
    <w:rsid w:val="1712032D"/>
    <w:rsid w:val="1718715C"/>
    <w:rsid w:val="1727538E"/>
    <w:rsid w:val="17353138"/>
    <w:rsid w:val="17487C59"/>
    <w:rsid w:val="176E6589"/>
    <w:rsid w:val="17AC6D5A"/>
    <w:rsid w:val="17C90DA1"/>
    <w:rsid w:val="17D937B8"/>
    <w:rsid w:val="17DB3A96"/>
    <w:rsid w:val="17DC0852"/>
    <w:rsid w:val="17F77A2B"/>
    <w:rsid w:val="180A2A78"/>
    <w:rsid w:val="181000CB"/>
    <w:rsid w:val="182851D8"/>
    <w:rsid w:val="182B65DD"/>
    <w:rsid w:val="1834516C"/>
    <w:rsid w:val="18453655"/>
    <w:rsid w:val="186056C3"/>
    <w:rsid w:val="18710FBD"/>
    <w:rsid w:val="1876405C"/>
    <w:rsid w:val="18793B0E"/>
    <w:rsid w:val="188831C0"/>
    <w:rsid w:val="18884545"/>
    <w:rsid w:val="188F79AD"/>
    <w:rsid w:val="18936806"/>
    <w:rsid w:val="18C805C0"/>
    <w:rsid w:val="18E02C8F"/>
    <w:rsid w:val="19012FE9"/>
    <w:rsid w:val="190E3E70"/>
    <w:rsid w:val="19134A90"/>
    <w:rsid w:val="193F35D6"/>
    <w:rsid w:val="194D79BA"/>
    <w:rsid w:val="19727D31"/>
    <w:rsid w:val="1978558C"/>
    <w:rsid w:val="19810F0A"/>
    <w:rsid w:val="198C4A98"/>
    <w:rsid w:val="19A55B3A"/>
    <w:rsid w:val="19AD200F"/>
    <w:rsid w:val="19AD39A3"/>
    <w:rsid w:val="19B9221A"/>
    <w:rsid w:val="19D92463"/>
    <w:rsid w:val="19EE52E8"/>
    <w:rsid w:val="1A105ED9"/>
    <w:rsid w:val="1A5956D4"/>
    <w:rsid w:val="1A7D0845"/>
    <w:rsid w:val="1A7F1D7E"/>
    <w:rsid w:val="1A993B9B"/>
    <w:rsid w:val="1AA52903"/>
    <w:rsid w:val="1AB24D72"/>
    <w:rsid w:val="1ABE41DE"/>
    <w:rsid w:val="1AC144F3"/>
    <w:rsid w:val="1AC800EE"/>
    <w:rsid w:val="1AD01E05"/>
    <w:rsid w:val="1ADA520C"/>
    <w:rsid w:val="1AE300CE"/>
    <w:rsid w:val="1B4632DB"/>
    <w:rsid w:val="1B4A3310"/>
    <w:rsid w:val="1B4B17D0"/>
    <w:rsid w:val="1B527F6D"/>
    <w:rsid w:val="1B6B3610"/>
    <w:rsid w:val="1B7A21A1"/>
    <w:rsid w:val="1B7E6CC9"/>
    <w:rsid w:val="1BA84DBA"/>
    <w:rsid w:val="1BB414A5"/>
    <w:rsid w:val="1BC6588C"/>
    <w:rsid w:val="1BE539D2"/>
    <w:rsid w:val="1C096AA1"/>
    <w:rsid w:val="1C6A36D0"/>
    <w:rsid w:val="1C9B49AF"/>
    <w:rsid w:val="1CA73C34"/>
    <w:rsid w:val="1CB475FC"/>
    <w:rsid w:val="1CE53A93"/>
    <w:rsid w:val="1D0A2C19"/>
    <w:rsid w:val="1D0A5A7E"/>
    <w:rsid w:val="1D1A58FD"/>
    <w:rsid w:val="1D204054"/>
    <w:rsid w:val="1D2D27A4"/>
    <w:rsid w:val="1D2D7963"/>
    <w:rsid w:val="1D3514A3"/>
    <w:rsid w:val="1D385D84"/>
    <w:rsid w:val="1D62322C"/>
    <w:rsid w:val="1D63664D"/>
    <w:rsid w:val="1D6D4A66"/>
    <w:rsid w:val="1D7A0D26"/>
    <w:rsid w:val="1D980134"/>
    <w:rsid w:val="1DD51824"/>
    <w:rsid w:val="1DF0665E"/>
    <w:rsid w:val="1E0B0E3C"/>
    <w:rsid w:val="1E204FCB"/>
    <w:rsid w:val="1E4045E4"/>
    <w:rsid w:val="1E4946EC"/>
    <w:rsid w:val="1E58204D"/>
    <w:rsid w:val="1E6B1DFF"/>
    <w:rsid w:val="1E844D84"/>
    <w:rsid w:val="1E9171B2"/>
    <w:rsid w:val="1EA83EC1"/>
    <w:rsid w:val="1EDF02EC"/>
    <w:rsid w:val="1EEE13B0"/>
    <w:rsid w:val="1EF57C82"/>
    <w:rsid w:val="1EFC2D62"/>
    <w:rsid w:val="1EFE4483"/>
    <w:rsid w:val="1F0D4FE5"/>
    <w:rsid w:val="1F15059D"/>
    <w:rsid w:val="1F195701"/>
    <w:rsid w:val="1F216A4B"/>
    <w:rsid w:val="1F26058A"/>
    <w:rsid w:val="1F292A3B"/>
    <w:rsid w:val="1F3C7CB4"/>
    <w:rsid w:val="1F7B7C84"/>
    <w:rsid w:val="1FAA7B63"/>
    <w:rsid w:val="1FB10AE4"/>
    <w:rsid w:val="1FC74966"/>
    <w:rsid w:val="1FFB17B7"/>
    <w:rsid w:val="201B2A0A"/>
    <w:rsid w:val="20523790"/>
    <w:rsid w:val="20532F76"/>
    <w:rsid w:val="2054207F"/>
    <w:rsid w:val="206C2D05"/>
    <w:rsid w:val="2073324F"/>
    <w:rsid w:val="209B63CC"/>
    <w:rsid w:val="20AE4D64"/>
    <w:rsid w:val="20B0387C"/>
    <w:rsid w:val="20CD132A"/>
    <w:rsid w:val="20D02B87"/>
    <w:rsid w:val="20DF30E6"/>
    <w:rsid w:val="211A703C"/>
    <w:rsid w:val="21216BE9"/>
    <w:rsid w:val="212E3725"/>
    <w:rsid w:val="21336F8E"/>
    <w:rsid w:val="21773DE4"/>
    <w:rsid w:val="21945F50"/>
    <w:rsid w:val="21B21E49"/>
    <w:rsid w:val="22493A3A"/>
    <w:rsid w:val="224C130A"/>
    <w:rsid w:val="225770F7"/>
    <w:rsid w:val="225E7824"/>
    <w:rsid w:val="22610BC9"/>
    <w:rsid w:val="22641058"/>
    <w:rsid w:val="22661E00"/>
    <w:rsid w:val="22691119"/>
    <w:rsid w:val="226D042D"/>
    <w:rsid w:val="22971D30"/>
    <w:rsid w:val="22BF67AD"/>
    <w:rsid w:val="22C813D7"/>
    <w:rsid w:val="22D43A1F"/>
    <w:rsid w:val="22E46CCB"/>
    <w:rsid w:val="22E80C02"/>
    <w:rsid w:val="22FA1E99"/>
    <w:rsid w:val="234179D0"/>
    <w:rsid w:val="23482DA4"/>
    <w:rsid w:val="234B6118"/>
    <w:rsid w:val="236773C3"/>
    <w:rsid w:val="238250E6"/>
    <w:rsid w:val="238B0807"/>
    <w:rsid w:val="239D0DD9"/>
    <w:rsid w:val="23A46000"/>
    <w:rsid w:val="23B819CC"/>
    <w:rsid w:val="23D573B1"/>
    <w:rsid w:val="23E04680"/>
    <w:rsid w:val="23F16521"/>
    <w:rsid w:val="23FE659D"/>
    <w:rsid w:val="24414364"/>
    <w:rsid w:val="244478F4"/>
    <w:rsid w:val="24A04C31"/>
    <w:rsid w:val="24CA4591"/>
    <w:rsid w:val="24CD41C9"/>
    <w:rsid w:val="24E215B7"/>
    <w:rsid w:val="24F66817"/>
    <w:rsid w:val="252B4B4C"/>
    <w:rsid w:val="25401C79"/>
    <w:rsid w:val="25567319"/>
    <w:rsid w:val="25880578"/>
    <w:rsid w:val="259629BB"/>
    <w:rsid w:val="25A050BA"/>
    <w:rsid w:val="25A44134"/>
    <w:rsid w:val="25C97EC1"/>
    <w:rsid w:val="25CB1E8B"/>
    <w:rsid w:val="25D0361F"/>
    <w:rsid w:val="25D66A40"/>
    <w:rsid w:val="25E40D22"/>
    <w:rsid w:val="25E41B55"/>
    <w:rsid w:val="25E817E2"/>
    <w:rsid w:val="25E83EDB"/>
    <w:rsid w:val="26143691"/>
    <w:rsid w:val="261B4FE8"/>
    <w:rsid w:val="264B6F29"/>
    <w:rsid w:val="266C5624"/>
    <w:rsid w:val="266D685D"/>
    <w:rsid w:val="267F3779"/>
    <w:rsid w:val="268559B2"/>
    <w:rsid w:val="269F6C33"/>
    <w:rsid w:val="26D201B9"/>
    <w:rsid w:val="26EB511C"/>
    <w:rsid w:val="26FA2EB8"/>
    <w:rsid w:val="272730F1"/>
    <w:rsid w:val="275E5211"/>
    <w:rsid w:val="276A0DD8"/>
    <w:rsid w:val="27F9665F"/>
    <w:rsid w:val="282D2F84"/>
    <w:rsid w:val="282E6701"/>
    <w:rsid w:val="287F04D5"/>
    <w:rsid w:val="28AA3100"/>
    <w:rsid w:val="28B050B3"/>
    <w:rsid w:val="28D86A41"/>
    <w:rsid w:val="290C527E"/>
    <w:rsid w:val="290E3619"/>
    <w:rsid w:val="290F1CEF"/>
    <w:rsid w:val="29294BE2"/>
    <w:rsid w:val="292A6F0D"/>
    <w:rsid w:val="296A18B2"/>
    <w:rsid w:val="29B544CB"/>
    <w:rsid w:val="29B951BF"/>
    <w:rsid w:val="29C46B1F"/>
    <w:rsid w:val="29CC4423"/>
    <w:rsid w:val="29D73489"/>
    <w:rsid w:val="2A0A5EC3"/>
    <w:rsid w:val="2A0C3CF0"/>
    <w:rsid w:val="2A0E0C0E"/>
    <w:rsid w:val="2A176E5A"/>
    <w:rsid w:val="2A1D70A5"/>
    <w:rsid w:val="2A1D741D"/>
    <w:rsid w:val="2A3569EE"/>
    <w:rsid w:val="2A393743"/>
    <w:rsid w:val="2A3C3357"/>
    <w:rsid w:val="2A5C6243"/>
    <w:rsid w:val="2A5D0BE6"/>
    <w:rsid w:val="2A5E77DF"/>
    <w:rsid w:val="2A6E4C53"/>
    <w:rsid w:val="2A7C33D9"/>
    <w:rsid w:val="2AA54903"/>
    <w:rsid w:val="2AAD1589"/>
    <w:rsid w:val="2AF12EA2"/>
    <w:rsid w:val="2B0A3B26"/>
    <w:rsid w:val="2B361B54"/>
    <w:rsid w:val="2B3714C9"/>
    <w:rsid w:val="2B4A1AA4"/>
    <w:rsid w:val="2B502411"/>
    <w:rsid w:val="2B5342DB"/>
    <w:rsid w:val="2B6F39F7"/>
    <w:rsid w:val="2B6F535F"/>
    <w:rsid w:val="2B7B25FE"/>
    <w:rsid w:val="2B817EA8"/>
    <w:rsid w:val="2BC53A0F"/>
    <w:rsid w:val="2BC713E7"/>
    <w:rsid w:val="2BC82BD4"/>
    <w:rsid w:val="2BDB08D4"/>
    <w:rsid w:val="2BE2483F"/>
    <w:rsid w:val="2BF728D6"/>
    <w:rsid w:val="2C29646F"/>
    <w:rsid w:val="2C3D0323"/>
    <w:rsid w:val="2C573936"/>
    <w:rsid w:val="2C9C632F"/>
    <w:rsid w:val="2CAB231A"/>
    <w:rsid w:val="2CD66FB7"/>
    <w:rsid w:val="2CE373A9"/>
    <w:rsid w:val="2CED280E"/>
    <w:rsid w:val="2CF70B02"/>
    <w:rsid w:val="2D12425D"/>
    <w:rsid w:val="2D320BAE"/>
    <w:rsid w:val="2D4F7AED"/>
    <w:rsid w:val="2D8E211C"/>
    <w:rsid w:val="2DAA57E8"/>
    <w:rsid w:val="2DBB56A8"/>
    <w:rsid w:val="2DD87CE1"/>
    <w:rsid w:val="2DE665E8"/>
    <w:rsid w:val="2DF950BB"/>
    <w:rsid w:val="2DFA1068"/>
    <w:rsid w:val="2E3A4791"/>
    <w:rsid w:val="2E4024E3"/>
    <w:rsid w:val="2E4245CE"/>
    <w:rsid w:val="2E524B68"/>
    <w:rsid w:val="2E6B306B"/>
    <w:rsid w:val="2E80364A"/>
    <w:rsid w:val="2E9138AA"/>
    <w:rsid w:val="2E956BCD"/>
    <w:rsid w:val="2EA55052"/>
    <w:rsid w:val="2ED54665"/>
    <w:rsid w:val="2EE73C39"/>
    <w:rsid w:val="2F0361F1"/>
    <w:rsid w:val="2F067FB6"/>
    <w:rsid w:val="2F18005F"/>
    <w:rsid w:val="2F3E2B5F"/>
    <w:rsid w:val="2F4D5B32"/>
    <w:rsid w:val="2F5E24AA"/>
    <w:rsid w:val="2F7F7991"/>
    <w:rsid w:val="2F842669"/>
    <w:rsid w:val="2F996B35"/>
    <w:rsid w:val="2FA572A9"/>
    <w:rsid w:val="2FAC34A4"/>
    <w:rsid w:val="2FAC4ADB"/>
    <w:rsid w:val="2FD359F9"/>
    <w:rsid w:val="2FD815FA"/>
    <w:rsid w:val="2FDE20ED"/>
    <w:rsid w:val="2FE8509F"/>
    <w:rsid w:val="2FEB5B81"/>
    <w:rsid w:val="302D4EEC"/>
    <w:rsid w:val="302F3016"/>
    <w:rsid w:val="305A5C53"/>
    <w:rsid w:val="30A6037F"/>
    <w:rsid w:val="30AA08EF"/>
    <w:rsid w:val="30D92FB5"/>
    <w:rsid w:val="30DC3AAA"/>
    <w:rsid w:val="310F13C3"/>
    <w:rsid w:val="314362E6"/>
    <w:rsid w:val="31490769"/>
    <w:rsid w:val="316073F8"/>
    <w:rsid w:val="317A5D95"/>
    <w:rsid w:val="317F3A60"/>
    <w:rsid w:val="31942B43"/>
    <w:rsid w:val="319B60D4"/>
    <w:rsid w:val="31B71D2B"/>
    <w:rsid w:val="31C202C9"/>
    <w:rsid w:val="31C63504"/>
    <w:rsid w:val="31D1667F"/>
    <w:rsid w:val="320C1861"/>
    <w:rsid w:val="32171FB4"/>
    <w:rsid w:val="322841C1"/>
    <w:rsid w:val="322D17D7"/>
    <w:rsid w:val="3236068C"/>
    <w:rsid w:val="325D0058"/>
    <w:rsid w:val="326C2C15"/>
    <w:rsid w:val="32A00C08"/>
    <w:rsid w:val="32A36583"/>
    <w:rsid w:val="32A8398C"/>
    <w:rsid w:val="32B05191"/>
    <w:rsid w:val="32BE7BA9"/>
    <w:rsid w:val="32DB2893"/>
    <w:rsid w:val="32F37509"/>
    <w:rsid w:val="33171E4C"/>
    <w:rsid w:val="333464B6"/>
    <w:rsid w:val="33497065"/>
    <w:rsid w:val="334C616B"/>
    <w:rsid w:val="33915616"/>
    <w:rsid w:val="33F5213B"/>
    <w:rsid w:val="34054907"/>
    <w:rsid w:val="341D5A2C"/>
    <w:rsid w:val="34264730"/>
    <w:rsid w:val="343E71D5"/>
    <w:rsid w:val="34400BFD"/>
    <w:rsid w:val="346149D8"/>
    <w:rsid w:val="3462204E"/>
    <w:rsid w:val="349C7866"/>
    <w:rsid w:val="34AC0058"/>
    <w:rsid w:val="34BB18E5"/>
    <w:rsid w:val="34C5219B"/>
    <w:rsid w:val="34CC7F76"/>
    <w:rsid w:val="34FC6565"/>
    <w:rsid w:val="35181ABF"/>
    <w:rsid w:val="352E1AEE"/>
    <w:rsid w:val="35802873"/>
    <w:rsid w:val="35B00FE9"/>
    <w:rsid w:val="35BE3871"/>
    <w:rsid w:val="35F024CB"/>
    <w:rsid w:val="35FC63E7"/>
    <w:rsid w:val="362A69C6"/>
    <w:rsid w:val="363A0D8F"/>
    <w:rsid w:val="367554E4"/>
    <w:rsid w:val="36A823AB"/>
    <w:rsid w:val="36D44917"/>
    <w:rsid w:val="36F51E14"/>
    <w:rsid w:val="36FB00F6"/>
    <w:rsid w:val="371B6F58"/>
    <w:rsid w:val="372D2A3F"/>
    <w:rsid w:val="374057AF"/>
    <w:rsid w:val="374E0BBE"/>
    <w:rsid w:val="37567FE3"/>
    <w:rsid w:val="376B0DD8"/>
    <w:rsid w:val="377B1BD4"/>
    <w:rsid w:val="37A479AF"/>
    <w:rsid w:val="37AC699F"/>
    <w:rsid w:val="37B17BA0"/>
    <w:rsid w:val="37B51DE9"/>
    <w:rsid w:val="37E943F6"/>
    <w:rsid w:val="37E95D88"/>
    <w:rsid w:val="380D162F"/>
    <w:rsid w:val="38273543"/>
    <w:rsid w:val="38545275"/>
    <w:rsid w:val="38616F1D"/>
    <w:rsid w:val="387326EF"/>
    <w:rsid w:val="387E2D8D"/>
    <w:rsid w:val="38CC3AF8"/>
    <w:rsid w:val="38CE1C4C"/>
    <w:rsid w:val="38DF32A5"/>
    <w:rsid w:val="38E452E6"/>
    <w:rsid w:val="393128D6"/>
    <w:rsid w:val="394903CE"/>
    <w:rsid w:val="39763F29"/>
    <w:rsid w:val="39987E7E"/>
    <w:rsid w:val="39AA02FF"/>
    <w:rsid w:val="39AA2248"/>
    <w:rsid w:val="39C742BF"/>
    <w:rsid w:val="39F31E8B"/>
    <w:rsid w:val="3A284BB1"/>
    <w:rsid w:val="3A2D0EA5"/>
    <w:rsid w:val="3A596CEF"/>
    <w:rsid w:val="3A6E1007"/>
    <w:rsid w:val="3A8E028C"/>
    <w:rsid w:val="3A922AF8"/>
    <w:rsid w:val="3A923363"/>
    <w:rsid w:val="3AAC47DA"/>
    <w:rsid w:val="3AC86B87"/>
    <w:rsid w:val="3AD2116E"/>
    <w:rsid w:val="3AD76784"/>
    <w:rsid w:val="3AFD149F"/>
    <w:rsid w:val="3B035435"/>
    <w:rsid w:val="3B11089D"/>
    <w:rsid w:val="3B14525A"/>
    <w:rsid w:val="3B1C0B6E"/>
    <w:rsid w:val="3B2F0390"/>
    <w:rsid w:val="3B4303BE"/>
    <w:rsid w:val="3B6C010B"/>
    <w:rsid w:val="3B6E4699"/>
    <w:rsid w:val="3B787F08"/>
    <w:rsid w:val="3BBA2CAE"/>
    <w:rsid w:val="3BF61194"/>
    <w:rsid w:val="3BF82ECA"/>
    <w:rsid w:val="3C0333DC"/>
    <w:rsid w:val="3C13650D"/>
    <w:rsid w:val="3C157F81"/>
    <w:rsid w:val="3C4313CD"/>
    <w:rsid w:val="3C457228"/>
    <w:rsid w:val="3C553232"/>
    <w:rsid w:val="3C641E8A"/>
    <w:rsid w:val="3C6940E0"/>
    <w:rsid w:val="3C797AF3"/>
    <w:rsid w:val="3C8D09FD"/>
    <w:rsid w:val="3CAB785A"/>
    <w:rsid w:val="3CB21BAF"/>
    <w:rsid w:val="3CB87BCB"/>
    <w:rsid w:val="3CCA2A44"/>
    <w:rsid w:val="3CD03524"/>
    <w:rsid w:val="3CDF6479"/>
    <w:rsid w:val="3CF03B2D"/>
    <w:rsid w:val="3CF233ED"/>
    <w:rsid w:val="3D0756A5"/>
    <w:rsid w:val="3D333646"/>
    <w:rsid w:val="3D6764E5"/>
    <w:rsid w:val="3D74475E"/>
    <w:rsid w:val="3DAF507D"/>
    <w:rsid w:val="3E051F47"/>
    <w:rsid w:val="3E1B1155"/>
    <w:rsid w:val="3E1F1198"/>
    <w:rsid w:val="3E2A1172"/>
    <w:rsid w:val="3E37795A"/>
    <w:rsid w:val="3E5A54F8"/>
    <w:rsid w:val="3E76638E"/>
    <w:rsid w:val="3E776D19"/>
    <w:rsid w:val="3E80396A"/>
    <w:rsid w:val="3E920795"/>
    <w:rsid w:val="3EA832D5"/>
    <w:rsid w:val="3EAB41B0"/>
    <w:rsid w:val="3EB93463"/>
    <w:rsid w:val="3EFC123C"/>
    <w:rsid w:val="3F414D6B"/>
    <w:rsid w:val="3F634577"/>
    <w:rsid w:val="3F720FC5"/>
    <w:rsid w:val="3F7A0A43"/>
    <w:rsid w:val="3F8734E8"/>
    <w:rsid w:val="3F8B3ED6"/>
    <w:rsid w:val="3F957496"/>
    <w:rsid w:val="3F963DE8"/>
    <w:rsid w:val="3FAA26B9"/>
    <w:rsid w:val="3FAB016F"/>
    <w:rsid w:val="3FB1250C"/>
    <w:rsid w:val="3FB12DDB"/>
    <w:rsid w:val="3FC30BFD"/>
    <w:rsid w:val="3FD74F15"/>
    <w:rsid w:val="3FD846AB"/>
    <w:rsid w:val="3FD9402E"/>
    <w:rsid w:val="3FE7116A"/>
    <w:rsid w:val="3FF164A8"/>
    <w:rsid w:val="3FFE7AEE"/>
    <w:rsid w:val="401F5B52"/>
    <w:rsid w:val="40207594"/>
    <w:rsid w:val="403C67A1"/>
    <w:rsid w:val="40476412"/>
    <w:rsid w:val="40507300"/>
    <w:rsid w:val="40A62923"/>
    <w:rsid w:val="40BE6480"/>
    <w:rsid w:val="41035892"/>
    <w:rsid w:val="4105404B"/>
    <w:rsid w:val="4114603C"/>
    <w:rsid w:val="412A3AB2"/>
    <w:rsid w:val="41674CBA"/>
    <w:rsid w:val="416845DA"/>
    <w:rsid w:val="41734954"/>
    <w:rsid w:val="41CD0576"/>
    <w:rsid w:val="41E12D3C"/>
    <w:rsid w:val="41FE1BAA"/>
    <w:rsid w:val="420F4A55"/>
    <w:rsid w:val="421A58D4"/>
    <w:rsid w:val="42495BE1"/>
    <w:rsid w:val="424D2825"/>
    <w:rsid w:val="42611755"/>
    <w:rsid w:val="427C35D9"/>
    <w:rsid w:val="42AB4175"/>
    <w:rsid w:val="42B07FE6"/>
    <w:rsid w:val="42C27D1A"/>
    <w:rsid w:val="42E77D57"/>
    <w:rsid w:val="42EE5405"/>
    <w:rsid w:val="42EF4FB3"/>
    <w:rsid w:val="42F77DB2"/>
    <w:rsid w:val="4305750D"/>
    <w:rsid w:val="431E145C"/>
    <w:rsid w:val="433E55F2"/>
    <w:rsid w:val="436C1BF2"/>
    <w:rsid w:val="436C1C65"/>
    <w:rsid w:val="438039FD"/>
    <w:rsid w:val="43D446A6"/>
    <w:rsid w:val="43DB1B48"/>
    <w:rsid w:val="440C56F0"/>
    <w:rsid w:val="44110B65"/>
    <w:rsid w:val="44182BFA"/>
    <w:rsid w:val="44240C8C"/>
    <w:rsid w:val="442456F7"/>
    <w:rsid w:val="445A2D40"/>
    <w:rsid w:val="446A0812"/>
    <w:rsid w:val="449562C2"/>
    <w:rsid w:val="44985191"/>
    <w:rsid w:val="449B251C"/>
    <w:rsid w:val="44B5097E"/>
    <w:rsid w:val="44BC11EE"/>
    <w:rsid w:val="44C6570C"/>
    <w:rsid w:val="45225C85"/>
    <w:rsid w:val="45264590"/>
    <w:rsid w:val="45271423"/>
    <w:rsid w:val="454B48C7"/>
    <w:rsid w:val="4553014C"/>
    <w:rsid w:val="457101E5"/>
    <w:rsid w:val="45710425"/>
    <w:rsid w:val="457C4B03"/>
    <w:rsid w:val="458953C0"/>
    <w:rsid w:val="45B353BE"/>
    <w:rsid w:val="45B87682"/>
    <w:rsid w:val="45E0386B"/>
    <w:rsid w:val="462D09CB"/>
    <w:rsid w:val="464A4A8E"/>
    <w:rsid w:val="466A31D5"/>
    <w:rsid w:val="467D46CC"/>
    <w:rsid w:val="46DC7AF7"/>
    <w:rsid w:val="46F8012D"/>
    <w:rsid w:val="470A0087"/>
    <w:rsid w:val="47140325"/>
    <w:rsid w:val="47397233"/>
    <w:rsid w:val="474A6DAC"/>
    <w:rsid w:val="476A6C4D"/>
    <w:rsid w:val="47B21C97"/>
    <w:rsid w:val="47B22768"/>
    <w:rsid w:val="481C6D19"/>
    <w:rsid w:val="48396CD0"/>
    <w:rsid w:val="486D3868"/>
    <w:rsid w:val="48860D1B"/>
    <w:rsid w:val="48873598"/>
    <w:rsid w:val="48A35DF0"/>
    <w:rsid w:val="48B7139D"/>
    <w:rsid w:val="48C54A7C"/>
    <w:rsid w:val="48F20D92"/>
    <w:rsid w:val="490F7AD2"/>
    <w:rsid w:val="49281852"/>
    <w:rsid w:val="49425710"/>
    <w:rsid w:val="49545A1F"/>
    <w:rsid w:val="49555633"/>
    <w:rsid w:val="495734D1"/>
    <w:rsid w:val="495856EB"/>
    <w:rsid w:val="495D3092"/>
    <w:rsid w:val="497E4B1E"/>
    <w:rsid w:val="49811E6F"/>
    <w:rsid w:val="498A0955"/>
    <w:rsid w:val="49A2349F"/>
    <w:rsid w:val="49B54467"/>
    <w:rsid w:val="49BA174B"/>
    <w:rsid w:val="49BE56DF"/>
    <w:rsid w:val="49CD79C0"/>
    <w:rsid w:val="49D67E3C"/>
    <w:rsid w:val="49ED2C7B"/>
    <w:rsid w:val="4A072498"/>
    <w:rsid w:val="4A2A4922"/>
    <w:rsid w:val="4A425675"/>
    <w:rsid w:val="4A5C6DE3"/>
    <w:rsid w:val="4A89083C"/>
    <w:rsid w:val="4A984459"/>
    <w:rsid w:val="4AC2068B"/>
    <w:rsid w:val="4AD43CD9"/>
    <w:rsid w:val="4AE900CF"/>
    <w:rsid w:val="4AEC7676"/>
    <w:rsid w:val="4AF237BA"/>
    <w:rsid w:val="4AF513C6"/>
    <w:rsid w:val="4AFE50CA"/>
    <w:rsid w:val="4B2C15A5"/>
    <w:rsid w:val="4B555479"/>
    <w:rsid w:val="4B7104B4"/>
    <w:rsid w:val="4B7B71B2"/>
    <w:rsid w:val="4B8464B4"/>
    <w:rsid w:val="4B872035"/>
    <w:rsid w:val="4B9A31A5"/>
    <w:rsid w:val="4BA87148"/>
    <w:rsid w:val="4BAD60A9"/>
    <w:rsid w:val="4BC96765"/>
    <w:rsid w:val="4BCB1A32"/>
    <w:rsid w:val="4BF7554D"/>
    <w:rsid w:val="4C1A363A"/>
    <w:rsid w:val="4C1E41E4"/>
    <w:rsid w:val="4C2555A1"/>
    <w:rsid w:val="4C575324"/>
    <w:rsid w:val="4C645CB3"/>
    <w:rsid w:val="4C954D37"/>
    <w:rsid w:val="4CA7723E"/>
    <w:rsid w:val="4CC0351C"/>
    <w:rsid w:val="4CC77FFC"/>
    <w:rsid w:val="4CDD757B"/>
    <w:rsid w:val="4CF11A34"/>
    <w:rsid w:val="4D244F58"/>
    <w:rsid w:val="4D3A32CE"/>
    <w:rsid w:val="4D445EFB"/>
    <w:rsid w:val="4D600DBA"/>
    <w:rsid w:val="4D81203C"/>
    <w:rsid w:val="4D9A32EF"/>
    <w:rsid w:val="4D9C4455"/>
    <w:rsid w:val="4DA54844"/>
    <w:rsid w:val="4DCF6871"/>
    <w:rsid w:val="4DE51079"/>
    <w:rsid w:val="4DE85357"/>
    <w:rsid w:val="4DEB6377"/>
    <w:rsid w:val="4E2F2707"/>
    <w:rsid w:val="4E766588"/>
    <w:rsid w:val="4E7749FB"/>
    <w:rsid w:val="4E781808"/>
    <w:rsid w:val="4E810F3B"/>
    <w:rsid w:val="4E9118CB"/>
    <w:rsid w:val="4E987E0F"/>
    <w:rsid w:val="4EA506D4"/>
    <w:rsid w:val="4EB570D6"/>
    <w:rsid w:val="4EC70A40"/>
    <w:rsid w:val="4ECB6AE3"/>
    <w:rsid w:val="4ECE59A9"/>
    <w:rsid w:val="4EEF1E97"/>
    <w:rsid w:val="4F00309C"/>
    <w:rsid w:val="4F296101"/>
    <w:rsid w:val="4F487C7B"/>
    <w:rsid w:val="4F852BD8"/>
    <w:rsid w:val="4F8B3084"/>
    <w:rsid w:val="4FA87474"/>
    <w:rsid w:val="4FB16637"/>
    <w:rsid w:val="4FBA24A4"/>
    <w:rsid w:val="4FDB3FC3"/>
    <w:rsid w:val="4FE3400D"/>
    <w:rsid w:val="500053FA"/>
    <w:rsid w:val="501B0CF8"/>
    <w:rsid w:val="5035107D"/>
    <w:rsid w:val="504479A3"/>
    <w:rsid w:val="50590586"/>
    <w:rsid w:val="50630D8E"/>
    <w:rsid w:val="507D7B10"/>
    <w:rsid w:val="50AB0883"/>
    <w:rsid w:val="50D26409"/>
    <w:rsid w:val="50DA577A"/>
    <w:rsid w:val="50E929C7"/>
    <w:rsid w:val="511D0EE3"/>
    <w:rsid w:val="51351856"/>
    <w:rsid w:val="513B0679"/>
    <w:rsid w:val="514F4B41"/>
    <w:rsid w:val="5159150B"/>
    <w:rsid w:val="5177744F"/>
    <w:rsid w:val="51B51175"/>
    <w:rsid w:val="51C13FBE"/>
    <w:rsid w:val="51C63383"/>
    <w:rsid w:val="51E75C4A"/>
    <w:rsid w:val="51ED7B9B"/>
    <w:rsid w:val="51F94E98"/>
    <w:rsid w:val="52210B95"/>
    <w:rsid w:val="52297D26"/>
    <w:rsid w:val="52334072"/>
    <w:rsid w:val="526112FD"/>
    <w:rsid w:val="52801B73"/>
    <w:rsid w:val="52D13EF1"/>
    <w:rsid w:val="52D567CE"/>
    <w:rsid w:val="52D62D14"/>
    <w:rsid w:val="52EA5031"/>
    <w:rsid w:val="5309169A"/>
    <w:rsid w:val="531C5DDF"/>
    <w:rsid w:val="531D0413"/>
    <w:rsid w:val="53492E20"/>
    <w:rsid w:val="53496FFE"/>
    <w:rsid w:val="53655F60"/>
    <w:rsid w:val="5382095F"/>
    <w:rsid w:val="53884592"/>
    <w:rsid w:val="53A106A3"/>
    <w:rsid w:val="53A368F5"/>
    <w:rsid w:val="53A96AB8"/>
    <w:rsid w:val="53B51A6B"/>
    <w:rsid w:val="5422243B"/>
    <w:rsid w:val="54311D2D"/>
    <w:rsid w:val="54374074"/>
    <w:rsid w:val="546B1B9A"/>
    <w:rsid w:val="549F7B0E"/>
    <w:rsid w:val="54D03D98"/>
    <w:rsid w:val="54DE330D"/>
    <w:rsid w:val="552F56E3"/>
    <w:rsid w:val="553E76D4"/>
    <w:rsid w:val="556A04C9"/>
    <w:rsid w:val="556E78AD"/>
    <w:rsid w:val="55990DAE"/>
    <w:rsid w:val="55C66E9A"/>
    <w:rsid w:val="55CF0C66"/>
    <w:rsid w:val="55F3226C"/>
    <w:rsid w:val="56042BE9"/>
    <w:rsid w:val="562B1021"/>
    <w:rsid w:val="563567D0"/>
    <w:rsid w:val="564407DB"/>
    <w:rsid w:val="56590074"/>
    <w:rsid w:val="5660136B"/>
    <w:rsid w:val="5663028C"/>
    <w:rsid w:val="566633B0"/>
    <w:rsid w:val="56784F2E"/>
    <w:rsid w:val="568323E0"/>
    <w:rsid w:val="56BE7921"/>
    <w:rsid w:val="56C24475"/>
    <w:rsid w:val="56D461FC"/>
    <w:rsid w:val="56DC71A4"/>
    <w:rsid w:val="56E94F57"/>
    <w:rsid w:val="571F086D"/>
    <w:rsid w:val="5727354B"/>
    <w:rsid w:val="575B5025"/>
    <w:rsid w:val="57756FDC"/>
    <w:rsid w:val="577B01AE"/>
    <w:rsid w:val="57852006"/>
    <w:rsid w:val="57B8376D"/>
    <w:rsid w:val="57EB5B3D"/>
    <w:rsid w:val="57ED327A"/>
    <w:rsid w:val="58375678"/>
    <w:rsid w:val="583848AE"/>
    <w:rsid w:val="58396983"/>
    <w:rsid w:val="58497EC4"/>
    <w:rsid w:val="587278A4"/>
    <w:rsid w:val="588F3F02"/>
    <w:rsid w:val="58900246"/>
    <w:rsid w:val="589B20E7"/>
    <w:rsid w:val="58F7528F"/>
    <w:rsid w:val="58F767DC"/>
    <w:rsid w:val="593C3BD6"/>
    <w:rsid w:val="597D5BEC"/>
    <w:rsid w:val="598E766E"/>
    <w:rsid w:val="5992589F"/>
    <w:rsid w:val="59966557"/>
    <w:rsid w:val="59B241EC"/>
    <w:rsid w:val="59C93469"/>
    <w:rsid w:val="59DB4D16"/>
    <w:rsid w:val="59EF2D2D"/>
    <w:rsid w:val="59F65B70"/>
    <w:rsid w:val="59F67F50"/>
    <w:rsid w:val="5A1A0A49"/>
    <w:rsid w:val="5A253572"/>
    <w:rsid w:val="5A3B500C"/>
    <w:rsid w:val="5A3B68D8"/>
    <w:rsid w:val="5A571569"/>
    <w:rsid w:val="5A66184A"/>
    <w:rsid w:val="5A7D54A8"/>
    <w:rsid w:val="5AAC4B5A"/>
    <w:rsid w:val="5AD23AED"/>
    <w:rsid w:val="5AF73408"/>
    <w:rsid w:val="5B3A1D68"/>
    <w:rsid w:val="5B3E2AE5"/>
    <w:rsid w:val="5B7644D9"/>
    <w:rsid w:val="5B7D5546"/>
    <w:rsid w:val="5B85528C"/>
    <w:rsid w:val="5BB562E8"/>
    <w:rsid w:val="5BC3729A"/>
    <w:rsid w:val="5BE00234"/>
    <w:rsid w:val="5BE40467"/>
    <w:rsid w:val="5BEF5E5C"/>
    <w:rsid w:val="5BF963C6"/>
    <w:rsid w:val="5C044DE6"/>
    <w:rsid w:val="5C0927D4"/>
    <w:rsid w:val="5C5A5D5F"/>
    <w:rsid w:val="5C8311ED"/>
    <w:rsid w:val="5C8F1E71"/>
    <w:rsid w:val="5CA46825"/>
    <w:rsid w:val="5CA57360"/>
    <w:rsid w:val="5CB83B68"/>
    <w:rsid w:val="5CDF21A3"/>
    <w:rsid w:val="5CF1327E"/>
    <w:rsid w:val="5CF526AD"/>
    <w:rsid w:val="5D5E0913"/>
    <w:rsid w:val="5D6648D9"/>
    <w:rsid w:val="5D6B6D13"/>
    <w:rsid w:val="5D855D1C"/>
    <w:rsid w:val="5DA1333E"/>
    <w:rsid w:val="5DDA5A28"/>
    <w:rsid w:val="5DE51216"/>
    <w:rsid w:val="5E041844"/>
    <w:rsid w:val="5E0469CB"/>
    <w:rsid w:val="5E394EDC"/>
    <w:rsid w:val="5E7319BE"/>
    <w:rsid w:val="5E7B225D"/>
    <w:rsid w:val="5E9213A6"/>
    <w:rsid w:val="5ED42A92"/>
    <w:rsid w:val="5EF268A9"/>
    <w:rsid w:val="5EF3152F"/>
    <w:rsid w:val="5F053373"/>
    <w:rsid w:val="5F1A23BD"/>
    <w:rsid w:val="5F234E10"/>
    <w:rsid w:val="5F2419AE"/>
    <w:rsid w:val="5F257F36"/>
    <w:rsid w:val="5F67741C"/>
    <w:rsid w:val="5F905D30"/>
    <w:rsid w:val="5FA30DD6"/>
    <w:rsid w:val="5FBA6417"/>
    <w:rsid w:val="5FBF6BDA"/>
    <w:rsid w:val="5FE54122"/>
    <w:rsid w:val="5FF17AC1"/>
    <w:rsid w:val="5FFA3C16"/>
    <w:rsid w:val="60024AD2"/>
    <w:rsid w:val="6042276E"/>
    <w:rsid w:val="604E560C"/>
    <w:rsid w:val="60521AFB"/>
    <w:rsid w:val="60A32AE1"/>
    <w:rsid w:val="60BF5188"/>
    <w:rsid w:val="60D402BB"/>
    <w:rsid w:val="60F11A9E"/>
    <w:rsid w:val="6122546D"/>
    <w:rsid w:val="612A50BB"/>
    <w:rsid w:val="61453F40"/>
    <w:rsid w:val="614A7618"/>
    <w:rsid w:val="614B335F"/>
    <w:rsid w:val="61566196"/>
    <w:rsid w:val="618C61BD"/>
    <w:rsid w:val="61AE63F0"/>
    <w:rsid w:val="61C45960"/>
    <w:rsid w:val="61DE2A42"/>
    <w:rsid w:val="62051491"/>
    <w:rsid w:val="62121952"/>
    <w:rsid w:val="623532B2"/>
    <w:rsid w:val="625047E0"/>
    <w:rsid w:val="625B28DF"/>
    <w:rsid w:val="62606029"/>
    <w:rsid w:val="6266346F"/>
    <w:rsid w:val="62884193"/>
    <w:rsid w:val="629D1EDE"/>
    <w:rsid w:val="62A82630"/>
    <w:rsid w:val="62B87EB2"/>
    <w:rsid w:val="62BF1E14"/>
    <w:rsid w:val="62D43425"/>
    <w:rsid w:val="631065BB"/>
    <w:rsid w:val="631D43B5"/>
    <w:rsid w:val="6330576E"/>
    <w:rsid w:val="636F3392"/>
    <w:rsid w:val="638E2DB3"/>
    <w:rsid w:val="638F36EE"/>
    <w:rsid w:val="63901F4D"/>
    <w:rsid w:val="63960810"/>
    <w:rsid w:val="63993E1C"/>
    <w:rsid w:val="639C5F6D"/>
    <w:rsid w:val="63B34D5F"/>
    <w:rsid w:val="63BB3118"/>
    <w:rsid w:val="63D753FC"/>
    <w:rsid w:val="63EA70FA"/>
    <w:rsid w:val="63F03A35"/>
    <w:rsid w:val="640D12F1"/>
    <w:rsid w:val="643C535D"/>
    <w:rsid w:val="64A84A1A"/>
    <w:rsid w:val="64B17EC2"/>
    <w:rsid w:val="64B54B60"/>
    <w:rsid w:val="64D00D34"/>
    <w:rsid w:val="64FB7776"/>
    <w:rsid w:val="65047DE8"/>
    <w:rsid w:val="651D2E62"/>
    <w:rsid w:val="652D2AA9"/>
    <w:rsid w:val="65337D65"/>
    <w:rsid w:val="658D4F5E"/>
    <w:rsid w:val="65AE7F5E"/>
    <w:rsid w:val="65B826F6"/>
    <w:rsid w:val="65CB4FB4"/>
    <w:rsid w:val="65E202AA"/>
    <w:rsid w:val="65EE63E9"/>
    <w:rsid w:val="65F073B7"/>
    <w:rsid w:val="65FC2722"/>
    <w:rsid w:val="660E01CF"/>
    <w:rsid w:val="661C136B"/>
    <w:rsid w:val="661D3B82"/>
    <w:rsid w:val="66482160"/>
    <w:rsid w:val="66487A9B"/>
    <w:rsid w:val="664B1D39"/>
    <w:rsid w:val="666845B1"/>
    <w:rsid w:val="669B50CD"/>
    <w:rsid w:val="66AE0B57"/>
    <w:rsid w:val="66C11D69"/>
    <w:rsid w:val="66C178A1"/>
    <w:rsid w:val="66D6776C"/>
    <w:rsid w:val="66DE2DA5"/>
    <w:rsid w:val="66E66DEF"/>
    <w:rsid w:val="66E9022F"/>
    <w:rsid w:val="66FE3167"/>
    <w:rsid w:val="67020C1C"/>
    <w:rsid w:val="67071D61"/>
    <w:rsid w:val="67137B2E"/>
    <w:rsid w:val="67573040"/>
    <w:rsid w:val="67627950"/>
    <w:rsid w:val="676D6AC2"/>
    <w:rsid w:val="67710F90"/>
    <w:rsid w:val="6772728E"/>
    <w:rsid w:val="677E0166"/>
    <w:rsid w:val="67AA672F"/>
    <w:rsid w:val="67CD2C91"/>
    <w:rsid w:val="67D97B4F"/>
    <w:rsid w:val="67E23030"/>
    <w:rsid w:val="67EB7E54"/>
    <w:rsid w:val="67ED314E"/>
    <w:rsid w:val="67F56318"/>
    <w:rsid w:val="68017844"/>
    <w:rsid w:val="683C5C98"/>
    <w:rsid w:val="685E7F2A"/>
    <w:rsid w:val="68646B16"/>
    <w:rsid w:val="686B5D50"/>
    <w:rsid w:val="686D34BE"/>
    <w:rsid w:val="68790CF7"/>
    <w:rsid w:val="68AA10EF"/>
    <w:rsid w:val="68AE74D7"/>
    <w:rsid w:val="68CC3822"/>
    <w:rsid w:val="68D16748"/>
    <w:rsid w:val="68FA675C"/>
    <w:rsid w:val="691D5D8B"/>
    <w:rsid w:val="69222900"/>
    <w:rsid w:val="692D1D9D"/>
    <w:rsid w:val="6931512E"/>
    <w:rsid w:val="69393E80"/>
    <w:rsid w:val="69485BC5"/>
    <w:rsid w:val="696743F4"/>
    <w:rsid w:val="697B69F4"/>
    <w:rsid w:val="69981207"/>
    <w:rsid w:val="699E02E9"/>
    <w:rsid w:val="69A068A5"/>
    <w:rsid w:val="69B10074"/>
    <w:rsid w:val="69C01F93"/>
    <w:rsid w:val="6A092F08"/>
    <w:rsid w:val="6A222CC8"/>
    <w:rsid w:val="6A3212DD"/>
    <w:rsid w:val="6A35263C"/>
    <w:rsid w:val="6A6E0B73"/>
    <w:rsid w:val="6A753D05"/>
    <w:rsid w:val="6A7C3B33"/>
    <w:rsid w:val="6A844937"/>
    <w:rsid w:val="6A91341D"/>
    <w:rsid w:val="6ADC2A57"/>
    <w:rsid w:val="6AEA7E4A"/>
    <w:rsid w:val="6AF76C4E"/>
    <w:rsid w:val="6B0961DC"/>
    <w:rsid w:val="6B6431DC"/>
    <w:rsid w:val="6BAE1909"/>
    <w:rsid w:val="6BBC7B30"/>
    <w:rsid w:val="6BD15356"/>
    <w:rsid w:val="6C0C42EF"/>
    <w:rsid w:val="6C2106D5"/>
    <w:rsid w:val="6C3A30F7"/>
    <w:rsid w:val="6C702A55"/>
    <w:rsid w:val="6C7F12E2"/>
    <w:rsid w:val="6CAC7E49"/>
    <w:rsid w:val="6CB14353"/>
    <w:rsid w:val="6CD8589C"/>
    <w:rsid w:val="6CE1133A"/>
    <w:rsid w:val="6CFC278F"/>
    <w:rsid w:val="6D1D0041"/>
    <w:rsid w:val="6D1F392F"/>
    <w:rsid w:val="6D464F20"/>
    <w:rsid w:val="6D620E02"/>
    <w:rsid w:val="6D650A49"/>
    <w:rsid w:val="6D6A27B2"/>
    <w:rsid w:val="6D6D06FE"/>
    <w:rsid w:val="6D8243FA"/>
    <w:rsid w:val="6D8368A4"/>
    <w:rsid w:val="6D885538"/>
    <w:rsid w:val="6DB826FA"/>
    <w:rsid w:val="6DC9002B"/>
    <w:rsid w:val="6DC9723B"/>
    <w:rsid w:val="6DE05374"/>
    <w:rsid w:val="6DE153BD"/>
    <w:rsid w:val="6DE704B1"/>
    <w:rsid w:val="6DF5169D"/>
    <w:rsid w:val="6E121E82"/>
    <w:rsid w:val="6E846DA2"/>
    <w:rsid w:val="6EAF4A25"/>
    <w:rsid w:val="6EB304C9"/>
    <w:rsid w:val="6EBF249E"/>
    <w:rsid w:val="6EC73E49"/>
    <w:rsid w:val="6EDE5E5B"/>
    <w:rsid w:val="6EE17BAD"/>
    <w:rsid w:val="6EE5042A"/>
    <w:rsid w:val="6EEB5BB0"/>
    <w:rsid w:val="6F1F5674"/>
    <w:rsid w:val="6F3306FD"/>
    <w:rsid w:val="6F4404C5"/>
    <w:rsid w:val="6F661FE4"/>
    <w:rsid w:val="6F9B10F5"/>
    <w:rsid w:val="6FA9423E"/>
    <w:rsid w:val="6FBD596D"/>
    <w:rsid w:val="6FC30AAA"/>
    <w:rsid w:val="6FC36CFC"/>
    <w:rsid w:val="6FE6726B"/>
    <w:rsid w:val="6FFD49D5"/>
    <w:rsid w:val="701C51E0"/>
    <w:rsid w:val="70250C6C"/>
    <w:rsid w:val="70301AC4"/>
    <w:rsid w:val="706968CA"/>
    <w:rsid w:val="70945799"/>
    <w:rsid w:val="71072464"/>
    <w:rsid w:val="710735E0"/>
    <w:rsid w:val="711879DE"/>
    <w:rsid w:val="712A1006"/>
    <w:rsid w:val="712E5CA0"/>
    <w:rsid w:val="71435219"/>
    <w:rsid w:val="715618F0"/>
    <w:rsid w:val="71570FAB"/>
    <w:rsid w:val="71610F1B"/>
    <w:rsid w:val="717A343A"/>
    <w:rsid w:val="7199260E"/>
    <w:rsid w:val="71B106F1"/>
    <w:rsid w:val="71BB6942"/>
    <w:rsid w:val="71BC3A02"/>
    <w:rsid w:val="71BE7E9D"/>
    <w:rsid w:val="71CA21A3"/>
    <w:rsid w:val="71F31FD4"/>
    <w:rsid w:val="71F64380"/>
    <w:rsid w:val="720F6228"/>
    <w:rsid w:val="72102E08"/>
    <w:rsid w:val="723D5D11"/>
    <w:rsid w:val="724E4994"/>
    <w:rsid w:val="725B08A3"/>
    <w:rsid w:val="725B17F6"/>
    <w:rsid w:val="72834047"/>
    <w:rsid w:val="728B1977"/>
    <w:rsid w:val="72945A1B"/>
    <w:rsid w:val="72AA2480"/>
    <w:rsid w:val="72CA6450"/>
    <w:rsid w:val="72D94790"/>
    <w:rsid w:val="73023120"/>
    <w:rsid w:val="732C03BE"/>
    <w:rsid w:val="734E7A1D"/>
    <w:rsid w:val="73525A20"/>
    <w:rsid w:val="73783BE7"/>
    <w:rsid w:val="739117FE"/>
    <w:rsid w:val="73A10219"/>
    <w:rsid w:val="73BA2008"/>
    <w:rsid w:val="73BD7F75"/>
    <w:rsid w:val="73CC592C"/>
    <w:rsid w:val="73E07E7C"/>
    <w:rsid w:val="73E27605"/>
    <w:rsid w:val="73F04C8A"/>
    <w:rsid w:val="7413163D"/>
    <w:rsid w:val="741848D2"/>
    <w:rsid w:val="74247608"/>
    <w:rsid w:val="7425406A"/>
    <w:rsid w:val="74327333"/>
    <w:rsid w:val="7439449A"/>
    <w:rsid w:val="74494E20"/>
    <w:rsid w:val="74600FBD"/>
    <w:rsid w:val="7473106F"/>
    <w:rsid w:val="7490682C"/>
    <w:rsid w:val="74B37CA4"/>
    <w:rsid w:val="74B500D9"/>
    <w:rsid w:val="74B91264"/>
    <w:rsid w:val="74BB7635"/>
    <w:rsid w:val="74BB7CD2"/>
    <w:rsid w:val="74CD31C8"/>
    <w:rsid w:val="74E80720"/>
    <w:rsid w:val="74ED19D0"/>
    <w:rsid w:val="75045DEC"/>
    <w:rsid w:val="752404C1"/>
    <w:rsid w:val="753820DF"/>
    <w:rsid w:val="75C4217A"/>
    <w:rsid w:val="75C82D10"/>
    <w:rsid w:val="75E06F6E"/>
    <w:rsid w:val="75E579CC"/>
    <w:rsid w:val="76184A54"/>
    <w:rsid w:val="7625451A"/>
    <w:rsid w:val="76277FE4"/>
    <w:rsid w:val="768802BE"/>
    <w:rsid w:val="7691205A"/>
    <w:rsid w:val="769C16AE"/>
    <w:rsid w:val="76A93D14"/>
    <w:rsid w:val="76C85A2E"/>
    <w:rsid w:val="76D41F29"/>
    <w:rsid w:val="76D4359C"/>
    <w:rsid w:val="76E934EC"/>
    <w:rsid w:val="76EC257D"/>
    <w:rsid w:val="771A5453"/>
    <w:rsid w:val="774249AA"/>
    <w:rsid w:val="7762733E"/>
    <w:rsid w:val="777313C8"/>
    <w:rsid w:val="77781184"/>
    <w:rsid w:val="778A7A9E"/>
    <w:rsid w:val="778B26E3"/>
    <w:rsid w:val="778E16A8"/>
    <w:rsid w:val="77D34B77"/>
    <w:rsid w:val="77DD6D13"/>
    <w:rsid w:val="77EA11AE"/>
    <w:rsid w:val="77FB5BDB"/>
    <w:rsid w:val="78023A99"/>
    <w:rsid w:val="78231089"/>
    <w:rsid w:val="782507E4"/>
    <w:rsid w:val="783C4886"/>
    <w:rsid w:val="78437C24"/>
    <w:rsid w:val="785901FD"/>
    <w:rsid w:val="7864163A"/>
    <w:rsid w:val="786A3CA7"/>
    <w:rsid w:val="78844EFD"/>
    <w:rsid w:val="788D1EB3"/>
    <w:rsid w:val="789E6BA4"/>
    <w:rsid w:val="78C27AE2"/>
    <w:rsid w:val="78C53A3D"/>
    <w:rsid w:val="78CA4734"/>
    <w:rsid w:val="78F9181C"/>
    <w:rsid w:val="791169A5"/>
    <w:rsid w:val="79136649"/>
    <w:rsid w:val="791B54B2"/>
    <w:rsid w:val="79465703"/>
    <w:rsid w:val="794A4DB8"/>
    <w:rsid w:val="795E5E72"/>
    <w:rsid w:val="79866A5F"/>
    <w:rsid w:val="798C0DCC"/>
    <w:rsid w:val="79BC33A0"/>
    <w:rsid w:val="79FA0714"/>
    <w:rsid w:val="7A612B7B"/>
    <w:rsid w:val="7A684727"/>
    <w:rsid w:val="7ABE7226"/>
    <w:rsid w:val="7AC04563"/>
    <w:rsid w:val="7AD87FBE"/>
    <w:rsid w:val="7B0168B7"/>
    <w:rsid w:val="7B265752"/>
    <w:rsid w:val="7B340AAD"/>
    <w:rsid w:val="7B5353D8"/>
    <w:rsid w:val="7B5B24DE"/>
    <w:rsid w:val="7B8215DA"/>
    <w:rsid w:val="7B9C6873"/>
    <w:rsid w:val="7BAB76D7"/>
    <w:rsid w:val="7BB04B1E"/>
    <w:rsid w:val="7BC00E6F"/>
    <w:rsid w:val="7C421C4B"/>
    <w:rsid w:val="7C615002"/>
    <w:rsid w:val="7C6F1CA9"/>
    <w:rsid w:val="7C7948A4"/>
    <w:rsid w:val="7C7F6B25"/>
    <w:rsid w:val="7C92500C"/>
    <w:rsid w:val="7C950D10"/>
    <w:rsid w:val="7CF049E6"/>
    <w:rsid w:val="7CF5053A"/>
    <w:rsid w:val="7D6513F2"/>
    <w:rsid w:val="7D6F2CEF"/>
    <w:rsid w:val="7D8B31EC"/>
    <w:rsid w:val="7D902BB0"/>
    <w:rsid w:val="7D9B5213"/>
    <w:rsid w:val="7DA913BD"/>
    <w:rsid w:val="7DAC4AB3"/>
    <w:rsid w:val="7DDA1DE0"/>
    <w:rsid w:val="7DE646E6"/>
    <w:rsid w:val="7DF10ED8"/>
    <w:rsid w:val="7E0E51E5"/>
    <w:rsid w:val="7E0F54FB"/>
    <w:rsid w:val="7E1B0471"/>
    <w:rsid w:val="7E2D63B4"/>
    <w:rsid w:val="7E344208"/>
    <w:rsid w:val="7E524171"/>
    <w:rsid w:val="7E6F639F"/>
    <w:rsid w:val="7E795817"/>
    <w:rsid w:val="7E7A7C5E"/>
    <w:rsid w:val="7E8F2BCB"/>
    <w:rsid w:val="7E9607E8"/>
    <w:rsid w:val="7EB770FE"/>
    <w:rsid w:val="7EC32874"/>
    <w:rsid w:val="7ED33DFB"/>
    <w:rsid w:val="7ED44A81"/>
    <w:rsid w:val="7EEA30A2"/>
    <w:rsid w:val="7EF51CB2"/>
    <w:rsid w:val="7EFE01A1"/>
    <w:rsid w:val="7F0013D2"/>
    <w:rsid w:val="7F2B36F6"/>
    <w:rsid w:val="7F432727"/>
    <w:rsid w:val="7F46377F"/>
    <w:rsid w:val="7F490034"/>
    <w:rsid w:val="7F5561D9"/>
    <w:rsid w:val="7F5833AF"/>
    <w:rsid w:val="7F5B3220"/>
    <w:rsid w:val="7F6D458E"/>
    <w:rsid w:val="7F9E7A9A"/>
    <w:rsid w:val="7FA81805"/>
    <w:rsid w:val="7FB91910"/>
    <w:rsid w:val="7FCB7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4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szCs w:val="20"/>
    </w:rPr>
  </w:style>
  <w:style w:type="paragraph" w:styleId="7">
    <w:name w:val="caption"/>
    <w:basedOn w:val="1"/>
    <w:next w:val="1"/>
    <w:semiHidden/>
    <w:unhideWhenUsed/>
    <w:qFormat/>
    <w:uiPriority w:val="0"/>
    <w:pPr>
      <w:spacing w:before="152" w:after="160"/>
    </w:pPr>
    <w:rPr>
      <w:rFonts w:ascii="Arial" w:hAnsi="Arial" w:eastAsia="黑体" w:cs="Arial"/>
      <w:sz w:val="20"/>
      <w:szCs w:val="20"/>
    </w:rPr>
  </w:style>
  <w:style w:type="paragraph" w:styleId="8">
    <w:name w:val="annotation text"/>
    <w:basedOn w:val="1"/>
    <w:qFormat/>
    <w:uiPriority w:val="0"/>
    <w:pPr>
      <w:jc w:val="left"/>
    </w:pPr>
  </w:style>
  <w:style w:type="paragraph" w:styleId="9">
    <w:name w:val="Body Text"/>
    <w:basedOn w:val="1"/>
    <w:qFormat/>
    <w:uiPriority w:val="0"/>
    <w:pPr>
      <w:spacing w:line="360" w:lineRule="exact"/>
    </w:pPr>
    <w:rPr>
      <w:sz w:val="24"/>
    </w:rPr>
  </w:style>
  <w:style w:type="paragraph" w:styleId="10">
    <w:name w:val="Plain Text"/>
    <w:basedOn w:val="1"/>
    <w:next w:val="11"/>
    <w:link w:val="33"/>
    <w:qFormat/>
    <w:uiPriority w:val="99"/>
    <w:rPr>
      <w:rFonts w:ascii="宋体" w:hAnsi="Courier New" w:cstheme="minorBidi"/>
    </w:rPr>
  </w:style>
  <w:style w:type="paragraph" w:styleId="11">
    <w:name w:val="Date"/>
    <w:basedOn w:val="1"/>
    <w:next w:val="1"/>
    <w:qFormat/>
    <w:uiPriority w:val="0"/>
    <w:rPr>
      <w:rFonts w:ascii="宋体"/>
      <w:color w:val="000000"/>
      <w:kern w:val="0"/>
      <w:sz w:val="24"/>
    </w:rPr>
  </w:style>
  <w:style w:type="paragraph" w:styleId="12">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List"/>
    <w:basedOn w:val="1"/>
    <w:qFormat/>
    <w:uiPriority w:val="0"/>
    <w:pPr>
      <w:ind w:left="200" w:hanging="200" w:hangingChars="200"/>
    </w:pPr>
    <w:rPr>
      <w:sz w:val="28"/>
    </w:rPr>
  </w:style>
  <w:style w:type="paragraph" w:styleId="16">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17">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8">
    <w:name w:val="Title"/>
    <w:basedOn w:val="1"/>
    <w:next w:val="1"/>
    <w:link w:val="40"/>
    <w:qFormat/>
    <w:uiPriority w:val="0"/>
    <w:pPr>
      <w:spacing w:before="240" w:after="60"/>
      <w:jc w:val="center"/>
      <w:outlineLvl w:val="0"/>
    </w:pPr>
    <w:rPr>
      <w:rFonts w:asciiTheme="majorHAnsi" w:hAnsiTheme="majorHAnsi" w:cstheme="majorBidi"/>
      <w:b/>
      <w:bCs/>
      <w:sz w:val="32"/>
      <w:szCs w:val="32"/>
    </w:rPr>
  </w:style>
  <w:style w:type="paragraph" w:styleId="19">
    <w:name w:val="Body Text First Indent"/>
    <w:basedOn w:val="9"/>
    <w:next w:val="1"/>
    <w:qFormat/>
    <w:uiPriority w:val="0"/>
    <w:pPr>
      <w:autoSpaceDE w:val="0"/>
      <w:autoSpaceDN w:val="0"/>
      <w:adjustRightInd w:val="0"/>
      <w:ind w:firstLine="420" w:firstLineChars="100"/>
      <w:textAlignment w:val="baseline"/>
    </w:pPr>
    <w:rPr>
      <w:szCs w:val="20"/>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Hyperlink"/>
    <w:basedOn w:val="22"/>
    <w:qFormat/>
    <w:uiPriority w:val="0"/>
    <w:rPr>
      <w:color w:val="0000FF"/>
      <w:u w:val="single"/>
    </w:rPr>
  </w:style>
  <w:style w:type="paragraph" w:styleId="25">
    <w:name w:val="List Paragraph"/>
    <w:basedOn w:val="1"/>
    <w:qFormat/>
    <w:uiPriority w:val="34"/>
    <w:pPr>
      <w:ind w:firstLine="420" w:firstLineChars="200"/>
    </w:pPr>
    <w:rPr>
      <w:rFonts w:ascii="Calibri" w:hAnsi="Calibri"/>
      <w:szCs w:val="22"/>
    </w:rPr>
  </w:style>
  <w:style w:type="paragraph" w:customStyle="1" w:styleId="26">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27">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正文_14"/>
    <w:qFormat/>
    <w:uiPriority w:val="0"/>
    <w:rPr>
      <w:rFonts w:ascii="Times New Roman" w:hAnsi="Times New Roman" w:eastAsia="宋体" w:cs="Times New Roman"/>
      <w:sz w:val="21"/>
      <w:lang w:val="en-US" w:eastAsia="zh-CN" w:bidi="ar-SA"/>
    </w:rPr>
  </w:style>
  <w:style w:type="paragraph" w:customStyle="1" w:styleId="3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
    <w:name w:val="纯文本 Char"/>
    <w:basedOn w:val="22"/>
    <w:link w:val="10"/>
    <w:qFormat/>
    <w:uiPriority w:val="99"/>
    <w:rPr>
      <w:rFonts w:ascii="宋体" w:hAnsi="Courier New" w:eastAsia="宋体"/>
      <w:kern w:val="2"/>
      <w:sz w:val="21"/>
      <w:szCs w:val="24"/>
    </w:rPr>
  </w:style>
  <w:style w:type="paragraph" w:customStyle="1" w:styleId="34">
    <w:name w:val="纯文本_0_1"/>
    <w:basedOn w:val="1"/>
    <w:qFormat/>
    <w:uiPriority w:val="0"/>
    <w:pPr>
      <w:widowControl/>
      <w:jc w:val="left"/>
    </w:pPr>
    <w:rPr>
      <w:rFonts w:ascii="宋体" w:hAnsi="Courier New" w:eastAsiaTheme="minorEastAsia" w:cstheme="minorBidi"/>
      <w:szCs w:val="21"/>
    </w:rPr>
  </w:style>
  <w:style w:type="paragraph" w:customStyle="1" w:styleId="3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纯文本_3"/>
    <w:basedOn w:val="32"/>
    <w:qFormat/>
    <w:uiPriority w:val="0"/>
    <w:pPr>
      <w:widowControl/>
      <w:jc w:val="left"/>
    </w:pPr>
    <w:rPr>
      <w:rFonts w:ascii="宋体" w:hAnsi="Courier New" w:eastAsiaTheme="minorEastAsia" w:cstheme="minorBidi"/>
      <w:szCs w:val="21"/>
    </w:rPr>
  </w:style>
  <w:style w:type="character" w:customStyle="1" w:styleId="40">
    <w:name w:val="标题 Char"/>
    <w:basedOn w:val="22"/>
    <w:link w:val="18"/>
    <w:qFormat/>
    <w:uiPriority w:val="0"/>
    <w:rPr>
      <w:rFonts w:asciiTheme="majorHAnsi" w:hAnsiTheme="majorHAnsi" w:cstheme="majorBidi"/>
      <w:b/>
      <w:bCs/>
      <w:kern w:val="2"/>
      <w:sz w:val="32"/>
      <w:szCs w:val="32"/>
    </w:rPr>
  </w:style>
  <w:style w:type="character" w:customStyle="1" w:styleId="41">
    <w:name w:val="标题 2 Char"/>
    <w:basedOn w:val="22"/>
    <w:link w:val="3"/>
    <w:qFormat/>
    <w:uiPriority w:val="0"/>
    <w:rPr>
      <w:rFonts w:asciiTheme="majorHAnsi" w:hAnsiTheme="majorHAnsi" w:eastAsiaTheme="majorEastAsia" w:cstheme="majorBidi"/>
      <w:b/>
      <w:bCs/>
      <w:kern w:val="2"/>
      <w:sz w:val="32"/>
      <w:szCs w:val="32"/>
    </w:rPr>
  </w:style>
  <w:style w:type="paragraph" w:customStyle="1" w:styleId="42">
    <w:name w:val="Body Text First Indent 21"/>
    <w:basedOn w:val="43"/>
    <w:qFormat/>
    <w:uiPriority w:val="0"/>
    <w:pPr>
      <w:ind w:firstLine="420"/>
    </w:pPr>
  </w:style>
  <w:style w:type="paragraph" w:customStyle="1" w:styleId="43">
    <w:name w:val="Body Text Indent1"/>
    <w:basedOn w:val="1"/>
    <w:qFormat/>
    <w:uiPriority w:val="0"/>
    <w:pPr>
      <w:ind w:left="420" w:leftChars="200"/>
    </w:pPr>
  </w:style>
  <w:style w:type="paragraph" w:customStyle="1" w:styleId="44">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正文_0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24070</Words>
  <Characters>24956</Characters>
  <Lines>99</Lines>
  <Paragraphs>27</Paragraphs>
  <TotalTime>31</TotalTime>
  <ScaleCrop>false</ScaleCrop>
  <LinksUpToDate>false</LinksUpToDate>
  <CharactersWithSpaces>27942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2022-01-24T12:00:00Z</dcterms:created>
  <dc:creator>S-mile</dc:creator>
  <cp:lastModifiedBy>吴越</cp:lastModifiedBy>
  <cp:lastPrinted>2022-05-26T08:54:00Z</cp:lastPrinted>
  <dcterms:modified xsi:type="dcterms:W3CDTF">2022-06-13T02:06:41Z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79A39ACA933C46139139DFD1C654820A</vt:lpwstr>
  </property>
</Properties>
</file>