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hint="eastAsia" w:eastAsia="宋体"/>
          <w:b/>
          <w:sz w:val="36"/>
          <w:szCs w:val="36"/>
          <w:lang w:eastAsia="zh-CN"/>
        </w:rPr>
      </w:pPr>
      <w:r>
        <w:rPr>
          <w:rFonts w:hint="eastAsia"/>
          <w:b/>
          <w:sz w:val="36"/>
          <w:szCs w:val="36"/>
          <w:lang w:eastAsia="zh-CN"/>
        </w:rPr>
        <w:t>三门县滨海科技城大周塘区块产业研究及概念规划项目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hint="eastAsia" w:ascii="宋体" w:hAnsi="宋体"/>
          <w:b/>
          <w:bCs/>
          <w:sz w:val="36"/>
          <w:szCs w:val="36"/>
        </w:rPr>
        <w:t>竞争性磋商文件</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黑体" w:eastAsia="黑体"/>
          <w:b/>
          <w:bCs/>
          <w:sz w:val="36"/>
          <w:szCs w:val="36"/>
          <w:lang w:val="zh-CN"/>
        </w:rPr>
      </w:pPr>
      <w:r>
        <w:rPr>
          <w:rFonts w:hint="eastAsia" w:ascii="宋体" w:hAnsi="宋体"/>
          <w:b/>
          <w:bCs/>
          <w:sz w:val="36"/>
          <w:szCs w:val="36"/>
        </w:rPr>
        <w:t>项目编号：浙</w:t>
      </w:r>
      <w:r>
        <w:rPr>
          <w:rFonts w:hint="eastAsia" w:ascii="宋体" w:hAnsi="宋体"/>
          <w:b/>
          <w:bCs/>
          <w:sz w:val="36"/>
          <w:szCs w:val="36"/>
          <w:lang w:eastAsia="zh-CN"/>
        </w:rPr>
        <w:t>希</w:t>
      </w:r>
      <w:r>
        <w:rPr>
          <w:rFonts w:hint="eastAsia" w:ascii="宋体" w:hAnsi="宋体"/>
          <w:b/>
          <w:bCs/>
          <w:sz w:val="36"/>
          <w:szCs w:val="36"/>
        </w:rPr>
        <w:t>招备-20</w:t>
      </w:r>
      <w:r>
        <w:rPr>
          <w:rFonts w:hint="eastAsia" w:ascii="宋体" w:hAnsi="宋体"/>
          <w:b/>
          <w:bCs/>
          <w:sz w:val="36"/>
          <w:szCs w:val="36"/>
          <w:lang w:val="en-US" w:eastAsia="zh-CN"/>
        </w:rPr>
        <w:t>21</w:t>
      </w:r>
      <w:r>
        <w:rPr>
          <w:rFonts w:hint="eastAsia" w:ascii="宋体" w:hAnsi="宋体"/>
          <w:b/>
          <w:bCs/>
          <w:sz w:val="36"/>
          <w:szCs w:val="36"/>
        </w:rPr>
        <w:t>-</w:t>
      </w:r>
      <w:r>
        <w:rPr>
          <w:rFonts w:hint="eastAsia" w:ascii="宋体" w:hAnsi="宋体"/>
          <w:b/>
          <w:bCs/>
          <w:sz w:val="36"/>
          <w:szCs w:val="36"/>
          <w:lang w:val="en-US" w:eastAsia="zh-CN"/>
        </w:rPr>
        <w:t>010</w:t>
      </w:r>
      <w:r>
        <w:rPr>
          <w:rFonts w:hint="eastAsia" w:ascii="宋体" w:hAnsi="宋体"/>
          <w:b/>
          <w:bCs/>
          <w:sz w:val="36"/>
          <w:szCs w:val="36"/>
        </w:rPr>
        <w:t>号</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18"/>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rPr>
          <w:rFonts w:ascii="宋体" w:hAnsi="宋体"/>
          <w:b/>
          <w:sz w:val="28"/>
        </w:rPr>
      </w:pPr>
    </w:p>
    <w:p>
      <w:pPr>
        <w:spacing w:line="360" w:lineRule="auto"/>
        <w:rPr>
          <w:rFonts w:ascii="宋体" w:hAnsi="宋体"/>
          <w:b/>
          <w:sz w:val="28"/>
        </w:rPr>
      </w:pPr>
    </w:p>
    <w:p>
      <w:pPr>
        <w:spacing w:line="360" w:lineRule="auto"/>
        <w:ind w:firstLine="640" w:firstLineChars="200"/>
        <w:jc w:val="left"/>
        <w:rPr>
          <w:rFonts w:hint="eastAsia" w:ascii="宋体" w:hAnsi="宋体" w:eastAsia="宋体"/>
          <w:sz w:val="32"/>
          <w:szCs w:val="32"/>
          <w:lang w:eastAsia="zh-CN"/>
        </w:rPr>
      </w:pPr>
      <w:r>
        <w:rPr>
          <w:rFonts w:hint="eastAsia" w:ascii="宋体" w:hAnsi="宋体"/>
          <w:sz w:val="32"/>
          <w:szCs w:val="32"/>
        </w:rPr>
        <w:t>采购单位：三门县</w:t>
      </w:r>
      <w:r>
        <w:rPr>
          <w:rFonts w:hint="eastAsia" w:ascii="宋体" w:hAnsi="宋体"/>
          <w:sz w:val="32"/>
          <w:szCs w:val="32"/>
          <w:lang w:eastAsia="zh-CN"/>
        </w:rPr>
        <w:t>滨海科技城开发建设有限公司</w:t>
      </w:r>
    </w:p>
    <w:p>
      <w:pPr>
        <w:spacing w:line="360" w:lineRule="auto"/>
        <w:ind w:firstLine="640" w:firstLineChars="200"/>
        <w:jc w:val="left"/>
        <w:rPr>
          <w:rFonts w:ascii="宋体" w:hAnsi="宋体"/>
          <w:sz w:val="32"/>
          <w:szCs w:val="32"/>
        </w:rPr>
      </w:pPr>
      <w:r>
        <w:rPr>
          <w:rFonts w:hint="eastAsia" w:ascii="宋体" w:hAnsi="宋体"/>
          <w:sz w:val="32"/>
          <w:szCs w:val="32"/>
        </w:rPr>
        <w:t>采购代理机构：</w:t>
      </w:r>
      <w:r>
        <w:rPr>
          <w:rFonts w:hint="eastAsia" w:ascii="宋体" w:hAnsi="宋体"/>
          <w:sz w:val="32"/>
          <w:szCs w:val="32"/>
          <w:lang w:eastAsia="zh-CN"/>
        </w:rPr>
        <w:t>浙江希霖工程咨询</w:t>
      </w:r>
      <w:r>
        <w:rPr>
          <w:rFonts w:hint="eastAsia" w:ascii="宋体" w:hAnsi="宋体"/>
          <w:sz w:val="32"/>
          <w:szCs w:val="32"/>
        </w:rPr>
        <w:t>有限公司</w:t>
      </w:r>
    </w:p>
    <w:p>
      <w:pPr>
        <w:spacing w:line="360" w:lineRule="auto"/>
        <w:ind w:firstLine="520" w:firstLineChars="200"/>
        <w:rPr>
          <w:rFonts w:ascii="宋体" w:hAnsi="宋体"/>
          <w:spacing w:val="-20"/>
          <w:sz w:val="30"/>
          <w:szCs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992" w:firstLineChars="850"/>
        <w:rPr>
          <w:rFonts w:hint="eastAsia" w:ascii="宋体" w:hAnsi="宋体"/>
          <w:spacing w:val="16"/>
          <w:sz w:val="32"/>
          <w:szCs w:val="20"/>
        </w:rPr>
      </w:pPr>
      <w:r>
        <w:rPr>
          <w:rFonts w:hint="eastAsia" w:ascii="宋体" w:hAnsi="宋体"/>
          <w:spacing w:val="16"/>
          <w:sz w:val="32"/>
          <w:szCs w:val="20"/>
        </w:rPr>
        <w:t xml:space="preserve">二 ○ </w:t>
      </w:r>
      <w:r>
        <w:rPr>
          <w:rFonts w:hint="eastAsia" w:ascii="宋体" w:hAnsi="宋体"/>
          <w:spacing w:val="16"/>
          <w:sz w:val="32"/>
          <w:szCs w:val="20"/>
          <w:lang w:eastAsia="zh-CN"/>
        </w:rPr>
        <w:t>二一</w:t>
      </w:r>
      <w:r>
        <w:rPr>
          <w:rFonts w:hint="eastAsia" w:ascii="宋体" w:hAnsi="宋体"/>
          <w:spacing w:val="16"/>
          <w:sz w:val="32"/>
          <w:szCs w:val="20"/>
        </w:rPr>
        <w:t xml:space="preserve"> 年 </w:t>
      </w:r>
      <w:r>
        <w:rPr>
          <w:rFonts w:hint="eastAsia" w:ascii="宋体" w:hAnsi="宋体"/>
          <w:spacing w:val="16"/>
          <w:sz w:val="32"/>
          <w:szCs w:val="20"/>
          <w:lang w:eastAsia="zh-CN"/>
        </w:rPr>
        <w:t>十一</w:t>
      </w:r>
      <w:r>
        <w:rPr>
          <w:rFonts w:hint="eastAsia" w:ascii="宋体" w:hAnsi="宋体"/>
          <w:spacing w:val="16"/>
          <w:sz w:val="32"/>
          <w:szCs w:val="20"/>
        </w:rPr>
        <w:t>月</w:t>
      </w:r>
    </w:p>
    <w:p>
      <w:pPr>
        <w:widowControl/>
        <w:jc w:val="center"/>
        <w:rPr>
          <w:rFonts w:hint="eastAsia"/>
          <w:sz w:val="52"/>
          <w:szCs w:val="52"/>
        </w:rPr>
      </w:pPr>
      <w:r>
        <w:br w:type="page"/>
      </w:r>
      <w:r>
        <w:rPr>
          <w:rFonts w:hint="eastAsia"/>
          <w:sz w:val="52"/>
          <w:szCs w:val="52"/>
        </w:rPr>
        <w:t>目  录</w:t>
      </w:r>
    </w:p>
    <w:p>
      <w:pPr>
        <w:pStyle w:val="2"/>
      </w:pPr>
    </w:p>
    <w:p>
      <w:pPr>
        <w:pStyle w:val="16"/>
        <w:tabs>
          <w:tab w:val="right" w:leader="dot" w:pos="9496"/>
        </w:tabs>
      </w:pPr>
      <w:r>
        <w:rPr>
          <w:sz w:val="36"/>
          <w:szCs w:val="36"/>
        </w:rPr>
        <w:fldChar w:fldCharType="begin"/>
      </w:r>
      <w:r>
        <w:rPr>
          <w:sz w:val="36"/>
          <w:szCs w:val="36"/>
        </w:rPr>
        <w:instrText xml:space="preserve"> TOC \o "1-3" \h \z \u </w:instrText>
      </w:r>
      <w:r>
        <w:rPr>
          <w:sz w:val="36"/>
          <w:szCs w:val="36"/>
        </w:rPr>
        <w:fldChar w:fldCharType="separate"/>
      </w:r>
      <w:r>
        <w:rPr>
          <w:szCs w:val="36"/>
        </w:rPr>
        <w:fldChar w:fldCharType="begin"/>
      </w:r>
      <w:r>
        <w:rPr>
          <w:szCs w:val="36"/>
        </w:rPr>
        <w:instrText xml:space="preserve"> HYPERLINK \l _Toc18649 </w:instrText>
      </w:r>
      <w:r>
        <w:rPr>
          <w:szCs w:val="36"/>
        </w:rPr>
        <w:fldChar w:fldCharType="separate"/>
      </w:r>
      <w:r>
        <w:rPr>
          <w:rFonts w:hint="eastAsia"/>
        </w:rPr>
        <w:t>第一章  竞争性磋商公告</w:t>
      </w:r>
      <w:r>
        <w:tab/>
      </w:r>
      <w:r>
        <w:fldChar w:fldCharType="begin"/>
      </w:r>
      <w:r>
        <w:instrText xml:space="preserve"> PAGEREF _Toc18649 \h </w:instrText>
      </w:r>
      <w:r>
        <w:fldChar w:fldCharType="separate"/>
      </w:r>
      <w:r>
        <w:t>3</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_Toc30961 </w:instrText>
      </w:r>
      <w:r>
        <w:rPr>
          <w:szCs w:val="36"/>
        </w:rPr>
        <w:fldChar w:fldCharType="separate"/>
      </w:r>
      <w:r>
        <w:rPr>
          <w:rFonts w:hint="eastAsia"/>
        </w:rPr>
        <w:t>第二章  供应商须知</w:t>
      </w:r>
      <w:r>
        <w:tab/>
      </w:r>
      <w:r>
        <w:fldChar w:fldCharType="begin"/>
      </w:r>
      <w:r>
        <w:instrText xml:space="preserve"> PAGEREF _Toc30961 \h </w:instrText>
      </w:r>
      <w:r>
        <w:fldChar w:fldCharType="separate"/>
      </w:r>
      <w:r>
        <w:t>5</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_Toc13963 </w:instrText>
      </w:r>
      <w:r>
        <w:rPr>
          <w:szCs w:val="36"/>
        </w:rPr>
        <w:fldChar w:fldCharType="separate"/>
      </w:r>
      <w:r>
        <w:rPr>
          <w:rFonts w:hint="eastAsia"/>
          <w:szCs w:val="36"/>
        </w:rPr>
        <w:t>前附表</w:t>
      </w:r>
      <w:r>
        <w:tab/>
      </w:r>
      <w:r>
        <w:fldChar w:fldCharType="begin"/>
      </w:r>
      <w:r>
        <w:instrText xml:space="preserve"> PAGEREF _Toc13963 \h </w:instrText>
      </w:r>
      <w:r>
        <w:fldChar w:fldCharType="separate"/>
      </w:r>
      <w:r>
        <w:t>5</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_Toc19210 </w:instrText>
      </w:r>
      <w:r>
        <w:rPr>
          <w:szCs w:val="36"/>
        </w:rPr>
        <w:fldChar w:fldCharType="separate"/>
      </w:r>
      <w:r>
        <w:rPr>
          <w:rFonts w:hint="eastAsia"/>
          <w:szCs w:val="36"/>
        </w:rPr>
        <w:t>一 、总  则</w:t>
      </w:r>
      <w:r>
        <w:tab/>
      </w:r>
      <w:r>
        <w:fldChar w:fldCharType="begin"/>
      </w:r>
      <w:r>
        <w:instrText xml:space="preserve"> PAGEREF _Toc19210 \h </w:instrText>
      </w:r>
      <w:r>
        <w:fldChar w:fldCharType="separate"/>
      </w:r>
      <w:r>
        <w:t>6</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_Toc16598 </w:instrText>
      </w:r>
      <w:r>
        <w:rPr>
          <w:szCs w:val="36"/>
        </w:rPr>
        <w:fldChar w:fldCharType="separate"/>
      </w:r>
      <w:r>
        <w:rPr>
          <w:rFonts w:hint="eastAsia"/>
          <w:szCs w:val="36"/>
        </w:rPr>
        <w:t>二、磋商</w:t>
      </w:r>
      <w:r>
        <w:rPr>
          <w:szCs w:val="36"/>
        </w:rPr>
        <w:t>响应</w:t>
      </w:r>
      <w:r>
        <w:rPr>
          <w:rFonts w:hint="eastAsia"/>
          <w:szCs w:val="36"/>
        </w:rPr>
        <w:t>文件</w:t>
      </w:r>
      <w:r>
        <w:tab/>
      </w:r>
      <w:r>
        <w:fldChar w:fldCharType="begin"/>
      </w:r>
      <w:r>
        <w:instrText xml:space="preserve"> PAGEREF _Toc16598 \h </w:instrText>
      </w:r>
      <w:r>
        <w:fldChar w:fldCharType="separate"/>
      </w:r>
      <w:r>
        <w:t>7</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_Toc13321 </w:instrText>
      </w:r>
      <w:r>
        <w:rPr>
          <w:szCs w:val="36"/>
        </w:rPr>
        <w:fldChar w:fldCharType="separate"/>
      </w:r>
      <w:r>
        <w:rPr>
          <w:rFonts w:hint="eastAsia"/>
          <w:szCs w:val="36"/>
          <w:highlight w:val="none"/>
        </w:rPr>
        <w:t>三、磋商保证金</w:t>
      </w:r>
      <w:r>
        <w:tab/>
      </w:r>
      <w:r>
        <w:fldChar w:fldCharType="begin"/>
      </w:r>
      <w:r>
        <w:instrText xml:space="preserve"> PAGEREF _Toc13321 \h </w:instrText>
      </w:r>
      <w:r>
        <w:fldChar w:fldCharType="separate"/>
      </w:r>
      <w:r>
        <w:t>10</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_Toc20831 </w:instrText>
      </w:r>
      <w:r>
        <w:rPr>
          <w:szCs w:val="36"/>
        </w:rPr>
        <w:fldChar w:fldCharType="separate"/>
      </w:r>
      <w:r>
        <w:rPr>
          <w:rFonts w:hint="eastAsia"/>
          <w:szCs w:val="36"/>
        </w:rPr>
        <w:t>四、磋商</w:t>
      </w:r>
      <w:r>
        <w:tab/>
      </w:r>
      <w:r>
        <w:fldChar w:fldCharType="begin"/>
      </w:r>
      <w:r>
        <w:instrText xml:space="preserve"> PAGEREF _Toc20831 \h </w:instrText>
      </w:r>
      <w:r>
        <w:fldChar w:fldCharType="separate"/>
      </w:r>
      <w:r>
        <w:t>10</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_Toc30333 </w:instrText>
      </w:r>
      <w:r>
        <w:rPr>
          <w:szCs w:val="36"/>
        </w:rPr>
        <w:fldChar w:fldCharType="separate"/>
      </w:r>
      <w:r>
        <w:rPr>
          <w:szCs w:val="36"/>
        </w:rPr>
        <w:t>五、磋商结果确定</w:t>
      </w:r>
      <w:r>
        <w:tab/>
      </w:r>
      <w:r>
        <w:fldChar w:fldCharType="begin"/>
      </w:r>
      <w:r>
        <w:instrText xml:space="preserve"> PAGEREF _Toc30333 \h </w:instrText>
      </w:r>
      <w:r>
        <w:fldChar w:fldCharType="separate"/>
      </w:r>
      <w:r>
        <w:t>13</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_Toc10737 </w:instrText>
      </w:r>
      <w:r>
        <w:rPr>
          <w:szCs w:val="36"/>
        </w:rPr>
        <w:fldChar w:fldCharType="separate"/>
      </w:r>
      <w:r>
        <w:rPr>
          <w:rFonts w:hint="eastAsia"/>
          <w:szCs w:val="36"/>
        </w:rPr>
        <w:t>六、合同签订及公告</w:t>
      </w:r>
      <w:r>
        <w:tab/>
      </w:r>
      <w:r>
        <w:fldChar w:fldCharType="begin"/>
      </w:r>
      <w:r>
        <w:instrText xml:space="preserve"> PAGEREF _Toc10737 \h </w:instrText>
      </w:r>
      <w:r>
        <w:fldChar w:fldCharType="separate"/>
      </w:r>
      <w:r>
        <w:t>13</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_Toc6299 </w:instrText>
      </w:r>
      <w:r>
        <w:rPr>
          <w:szCs w:val="36"/>
        </w:rPr>
        <w:fldChar w:fldCharType="separate"/>
      </w:r>
      <w:r>
        <w:rPr>
          <w:rFonts w:hint="eastAsia"/>
        </w:rPr>
        <w:t>第三章　评审办法及评审标准</w:t>
      </w:r>
      <w:r>
        <w:tab/>
      </w:r>
      <w:r>
        <w:fldChar w:fldCharType="begin"/>
      </w:r>
      <w:r>
        <w:instrText xml:space="preserve"> PAGEREF _Toc6299 \h </w:instrText>
      </w:r>
      <w:r>
        <w:fldChar w:fldCharType="separate"/>
      </w:r>
      <w:r>
        <w:t>15</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_Toc7480 </w:instrText>
      </w:r>
      <w:r>
        <w:rPr>
          <w:szCs w:val="36"/>
        </w:rPr>
        <w:fldChar w:fldCharType="separate"/>
      </w:r>
      <w:r>
        <w:rPr>
          <w:rFonts w:hint="eastAsia"/>
        </w:rPr>
        <w:t>第四章 项目需求</w:t>
      </w:r>
      <w:r>
        <w:tab/>
      </w:r>
      <w:r>
        <w:fldChar w:fldCharType="begin"/>
      </w:r>
      <w:r>
        <w:instrText xml:space="preserve"> PAGEREF _Toc7480 \h </w:instrText>
      </w:r>
      <w:r>
        <w:fldChar w:fldCharType="separate"/>
      </w:r>
      <w:r>
        <w:t>17</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_Toc6787 </w:instrText>
      </w:r>
      <w:r>
        <w:rPr>
          <w:szCs w:val="36"/>
        </w:rPr>
        <w:fldChar w:fldCharType="separate"/>
      </w:r>
      <w:r>
        <w:rPr>
          <w:rFonts w:hint="eastAsia" w:ascii="Arial" w:hAnsi="Arial" w:cs="Arial"/>
          <w:bCs/>
          <w:szCs w:val="28"/>
        </w:rPr>
        <w:t>2、</w:t>
      </w:r>
      <w:r>
        <w:rPr>
          <w:rFonts w:hint="eastAsia" w:ascii="Arial" w:hAnsi="Arial" w:cs="Arial"/>
          <w:bCs/>
          <w:szCs w:val="28"/>
          <w:lang w:val="zh-CN"/>
        </w:rPr>
        <w:t>投标报价为项目包干价。</w:t>
      </w:r>
      <w:r>
        <w:tab/>
      </w:r>
      <w:r>
        <w:fldChar w:fldCharType="begin"/>
      </w:r>
      <w:r>
        <w:instrText xml:space="preserve"> PAGEREF _Toc6787 \h </w:instrText>
      </w:r>
      <w:r>
        <w:fldChar w:fldCharType="separate"/>
      </w:r>
      <w:r>
        <w:t>17</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_Toc19055 </w:instrText>
      </w:r>
      <w:r>
        <w:rPr>
          <w:szCs w:val="36"/>
        </w:rPr>
        <w:fldChar w:fldCharType="separate"/>
      </w:r>
      <w:r>
        <w:rPr>
          <w:rFonts w:hint="eastAsia" w:ascii="Arial" w:hAnsi="Arial" w:cs="Arial"/>
          <w:bCs/>
          <w:szCs w:val="28"/>
          <w:lang w:val="zh-CN"/>
        </w:rPr>
        <w:t>3、设计要求和成果内容</w:t>
      </w:r>
      <w:r>
        <w:tab/>
      </w:r>
      <w:r>
        <w:fldChar w:fldCharType="begin"/>
      </w:r>
      <w:r>
        <w:instrText xml:space="preserve"> PAGEREF _Toc19055 \h </w:instrText>
      </w:r>
      <w:r>
        <w:fldChar w:fldCharType="separate"/>
      </w:r>
      <w:r>
        <w:t>17</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_Toc10161 </w:instrText>
      </w:r>
      <w:r>
        <w:rPr>
          <w:szCs w:val="36"/>
        </w:rPr>
        <w:fldChar w:fldCharType="separate"/>
      </w:r>
      <w:r>
        <w:rPr>
          <w:rFonts w:hint="eastAsia" w:ascii="Arial" w:hAnsi="Arial" w:cs="Arial"/>
          <w:bCs/>
          <w:szCs w:val="28"/>
        </w:rPr>
        <w:t>4</w:t>
      </w:r>
      <w:r>
        <w:rPr>
          <w:rFonts w:hint="eastAsia" w:ascii="Arial" w:hAnsi="Arial" w:cs="Arial"/>
          <w:bCs/>
          <w:szCs w:val="28"/>
          <w:lang w:val="zh-CN"/>
        </w:rPr>
        <w:t>、商务需求</w:t>
      </w:r>
      <w:r>
        <w:tab/>
      </w:r>
      <w:r>
        <w:fldChar w:fldCharType="begin"/>
      </w:r>
      <w:r>
        <w:instrText xml:space="preserve"> PAGEREF _Toc10161 \h </w:instrText>
      </w:r>
      <w:r>
        <w:fldChar w:fldCharType="separate"/>
      </w:r>
      <w:r>
        <w:t>18</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_Toc23437 </w:instrText>
      </w:r>
      <w:r>
        <w:rPr>
          <w:szCs w:val="36"/>
        </w:rPr>
        <w:fldChar w:fldCharType="separate"/>
      </w:r>
      <w:r>
        <w:rPr>
          <w:rFonts w:hint="eastAsia"/>
        </w:rPr>
        <w:t>第五章　合同主要条款指引</w:t>
      </w:r>
      <w:r>
        <w:tab/>
      </w:r>
      <w:r>
        <w:fldChar w:fldCharType="begin"/>
      </w:r>
      <w:r>
        <w:instrText xml:space="preserve"> PAGEREF _Toc23437 \h </w:instrText>
      </w:r>
      <w:r>
        <w:fldChar w:fldCharType="separate"/>
      </w:r>
      <w:r>
        <w:t>19</w:t>
      </w:r>
      <w:r>
        <w:fldChar w:fldCharType="end"/>
      </w:r>
      <w:r>
        <w:rPr>
          <w:szCs w:val="36"/>
        </w:rPr>
        <w:fldChar w:fldCharType="end"/>
      </w:r>
    </w:p>
    <w:p>
      <w:pPr>
        <w:pStyle w:val="16"/>
        <w:tabs>
          <w:tab w:val="right" w:leader="dot" w:pos="9496"/>
        </w:tabs>
      </w:pPr>
      <w:r>
        <w:rPr>
          <w:szCs w:val="36"/>
        </w:rPr>
        <w:fldChar w:fldCharType="begin"/>
      </w:r>
      <w:r>
        <w:rPr>
          <w:szCs w:val="36"/>
        </w:rPr>
        <w:instrText xml:space="preserve"> HYPERLINK \l _Toc25860 </w:instrText>
      </w:r>
      <w:r>
        <w:rPr>
          <w:szCs w:val="36"/>
        </w:rPr>
        <w:fldChar w:fldCharType="separate"/>
      </w:r>
      <w:r>
        <w:rPr>
          <w:rFonts w:hint="eastAsia"/>
        </w:rPr>
        <w:t>第六章：响应文件格式附件</w:t>
      </w:r>
      <w:r>
        <w:tab/>
      </w:r>
      <w:r>
        <w:fldChar w:fldCharType="begin"/>
      </w:r>
      <w:r>
        <w:instrText xml:space="preserve"> PAGEREF _Toc25860 \h </w:instrText>
      </w:r>
      <w:r>
        <w:fldChar w:fldCharType="separate"/>
      </w:r>
      <w:r>
        <w:t>23</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_Toc426 </w:instrText>
      </w:r>
      <w:r>
        <w:rPr>
          <w:szCs w:val="36"/>
        </w:rPr>
        <w:fldChar w:fldCharType="separate"/>
      </w:r>
      <w:r>
        <w:rPr>
          <w:rFonts w:hint="eastAsia" w:asciiTheme="majorEastAsia" w:hAnsiTheme="majorEastAsia"/>
          <w:kern w:val="0"/>
          <w:szCs w:val="36"/>
        </w:rPr>
        <w:t>附件1</w:t>
      </w:r>
      <w:r>
        <w:tab/>
      </w:r>
      <w:r>
        <w:fldChar w:fldCharType="begin"/>
      </w:r>
      <w:r>
        <w:instrText xml:space="preserve"> PAGEREF _Toc426 \h </w:instrText>
      </w:r>
      <w:r>
        <w:fldChar w:fldCharType="separate"/>
      </w:r>
      <w:r>
        <w:t>23</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_Toc18440 </w:instrText>
      </w:r>
      <w:r>
        <w:rPr>
          <w:szCs w:val="36"/>
        </w:rPr>
        <w:fldChar w:fldCharType="separate"/>
      </w:r>
      <w:r>
        <w:rPr>
          <w:rFonts w:hint="eastAsia" w:asciiTheme="majorEastAsia" w:hAnsiTheme="majorEastAsia"/>
          <w:kern w:val="0"/>
          <w:szCs w:val="36"/>
        </w:rPr>
        <w:t>附件2</w:t>
      </w:r>
      <w:r>
        <w:tab/>
      </w:r>
      <w:r>
        <w:fldChar w:fldCharType="begin"/>
      </w:r>
      <w:r>
        <w:instrText xml:space="preserve"> PAGEREF _Toc18440 \h </w:instrText>
      </w:r>
      <w:r>
        <w:fldChar w:fldCharType="separate"/>
      </w:r>
      <w:r>
        <w:t>25</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_Toc2482 </w:instrText>
      </w:r>
      <w:r>
        <w:rPr>
          <w:szCs w:val="36"/>
        </w:rPr>
        <w:fldChar w:fldCharType="separate"/>
      </w:r>
      <w:r>
        <w:rPr>
          <w:rFonts w:hint="eastAsia" w:asciiTheme="majorEastAsia" w:hAnsiTheme="majorEastAsia"/>
          <w:kern w:val="0"/>
          <w:szCs w:val="36"/>
        </w:rPr>
        <w:t>附件3</w:t>
      </w:r>
      <w:r>
        <w:tab/>
      </w:r>
      <w:r>
        <w:fldChar w:fldCharType="begin"/>
      </w:r>
      <w:r>
        <w:instrText xml:space="preserve"> PAGEREF _Toc2482 \h </w:instrText>
      </w:r>
      <w:r>
        <w:fldChar w:fldCharType="separate"/>
      </w:r>
      <w:r>
        <w:t>26</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_Toc2392 </w:instrText>
      </w:r>
      <w:r>
        <w:rPr>
          <w:szCs w:val="36"/>
        </w:rPr>
        <w:fldChar w:fldCharType="separate"/>
      </w:r>
      <w:r>
        <w:rPr>
          <w:rFonts w:hint="eastAsia" w:asciiTheme="majorEastAsia" w:hAnsiTheme="majorEastAsia"/>
          <w:kern w:val="0"/>
          <w:szCs w:val="36"/>
        </w:rPr>
        <w:t>附件4：</w:t>
      </w:r>
      <w:r>
        <w:tab/>
      </w:r>
      <w:r>
        <w:fldChar w:fldCharType="begin"/>
      </w:r>
      <w:r>
        <w:instrText xml:space="preserve"> PAGEREF _Toc2392 \h </w:instrText>
      </w:r>
      <w:r>
        <w:fldChar w:fldCharType="separate"/>
      </w:r>
      <w:r>
        <w:t>27</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_Toc29609 </w:instrText>
      </w:r>
      <w:r>
        <w:rPr>
          <w:szCs w:val="36"/>
        </w:rPr>
        <w:fldChar w:fldCharType="separate"/>
      </w:r>
      <w:r>
        <w:rPr>
          <w:rFonts w:hint="eastAsia" w:asciiTheme="majorEastAsia" w:hAnsiTheme="majorEastAsia"/>
          <w:kern w:val="0"/>
          <w:szCs w:val="36"/>
        </w:rPr>
        <w:t>附件5：</w:t>
      </w:r>
      <w:r>
        <w:tab/>
      </w:r>
      <w:r>
        <w:fldChar w:fldCharType="begin"/>
      </w:r>
      <w:r>
        <w:instrText xml:space="preserve"> PAGEREF _Toc29609 \h </w:instrText>
      </w:r>
      <w:r>
        <w:fldChar w:fldCharType="separate"/>
      </w:r>
      <w:r>
        <w:t>29</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_Toc4955 </w:instrText>
      </w:r>
      <w:r>
        <w:rPr>
          <w:szCs w:val="36"/>
        </w:rPr>
        <w:fldChar w:fldCharType="separate"/>
      </w:r>
      <w:r>
        <w:rPr>
          <w:rFonts w:hint="eastAsia" w:asciiTheme="majorEastAsia" w:hAnsiTheme="majorEastAsia"/>
          <w:kern w:val="0"/>
          <w:szCs w:val="36"/>
        </w:rPr>
        <w:t>附件6:</w:t>
      </w:r>
      <w:r>
        <w:tab/>
      </w:r>
      <w:r>
        <w:fldChar w:fldCharType="begin"/>
      </w:r>
      <w:r>
        <w:instrText xml:space="preserve"> PAGEREF _Toc4955 \h </w:instrText>
      </w:r>
      <w:r>
        <w:fldChar w:fldCharType="separate"/>
      </w:r>
      <w:r>
        <w:t>30</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_Toc2310 </w:instrText>
      </w:r>
      <w:r>
        <w:rPr>
          <w:szCs w:val="36"/>
        </w:rPr>
        <w:fldChar w:fldCharType="separate"/>
      </w:r>
      <w:r>
        <w:rPr>
          <w:rFonts w:hint="eastAsia" w:asciiTheme="majorEastAsia" w:hAnsiTheme="majorEastAsia"/>
          <w:kern w:val="0"/>
          <w:szCs w:val="36"/>
        </w:rPr>
        <w:t>附件7:</w:t>
      </w:r>
      <w:r>
        <w:tab/>
      </w:r>
      <w:r>
        <w:fldChar w:fldCharType="begin"/>
      </w:r>
      <w:r>
        <w:instrText xml:space="preserve"> PAGEREF _Toc2310 \h </w:instrText>
      </w:r>
      <w:r>
        <w:fldChar w:fldCharType="separate"/>
      </w:r>
      <w:r>
        <w:t>31</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_Toc6060 </w:instrText>
      </w:r>
      <w:r>
        <w:rPr>
          <w:szCs w:val="36"/>
        </w:rPr>
        <w:fldChar w:fldCharType="separate"/>
      </w:r>
      <w:r>
        <w:rPr>
          <w:rFonts w:hint="eastAsia" w:asciiTheme="majorEastAsia" w:hAnsiTheme="majorEastAsia"/>
          <w:kern w:val="0"/>
          <w:szCs w:val="36"/>
        </w:rPr>
        <w:t>附件8：</w:t>
      </w:r>
      <w:r>
        <w:tab/>
      </w:r>
      <w:r>
        <w:fldChar w:fldCharType="begin"/>
      </w:r>
      <w:r>
        <w:instrText xml:space="preserve"> PAGEREF _Toc6060 \h </w:instrText>
      </w:r>
      <w:r>
        <w:fldChar w:fldCharType="separate"/>
      </w:r>
      <w:r>
        <w:t>32</w:t>
      </w:r>
      <w:r>
        <w:fldChar w:fldCharType="end"/>
      </w:r>
      <w:r>
        <w:rPr>
          <w:szCs w:val="36"/>
        </w:rPr>
        <w:fldChar w:fldCharType="end"/>
      </w:r>
    </w:p>
    <w:p>
      <w:pPr>
        <w:rPr>
          <w:sz w:val="36"/>
          <w:szCs w:val="36"/>
        </w:rPr>
      </w:pPr>
      <w:r>
        <w:rPr>
          <w:szCs w:val="36"/>
        </w:rPr>
        <w:fldChar w:fldCharType="end"/>
      </w:r>
    </w:p>
    <w:p>
      <w:pPr>
        <w:rPr>
          <w:sz w:val="36"/>
          <w:szCs w:val="36"/>
        </w:rPr>
      </w:pPr>
    </w:p>
    <w:p>
      <w:pPr>
        <w:widowControl/>
        <w:jc w:val="left"/>
        <w:rPr>
          <w:sz w:val="36"/>
          <w:szCs w:val="36"/>
        </w:rPr>
      </w:pPr>
      <w:r>
        <w:rPr>
          <w:sz w:val="36"/>
          <w:szCs w:val="36"/>
        </w:rPr>
        <w:br w:type="page"/>
      </w:r>
    </w:p>
    <w:p>
      <w:pPr>
        <w:pStyle w:val="4"/>
        <w:jc w:val="center"/>
      </w:pPr>
      <w:bookmarkStart w:id="0" w:name="_Toc18649"/>
      <w:r>
        <w:rPr>
          <w:rFonts w:hint="eastAsia"/>
        </w:rPr>
        <w:t>第一章  竞争性磋商公告</w:t>
      </w:r>
      <w:bookmarkEnd w:id="0"/>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根据</w:t>
      </w:r>
      <w:r>
        <w:rPr>
          <w:rFonts w:hint="eastAsia" w:cs="宋体" w:asciiTheme="minorEastAsia" w:hAnsiTheme="minorEastAsia" w:eastAsiaTheme="minorEastAsia"/>
          <w:color w:val="000000"/>
          <w:kern w:val="0"/>
          <w:sz w:val="24"/>
          <w:lang w:eastAsia="zh-CN"/>
        </w:rPr>
        <w:t>相关</w:t>
      </w:r>
      <w:r>
        <w:rPr>
          <w:rFonts w:hint="eastAsia" w:cs="宋体" w:asciiTheme="minorEastAsia" w:hAnsiTheme="minorEastAsia" w:eastAsiaTheme="minorEastAsia"/>
          <w:color w:val="000000"/>
          <w:kern w:val="0"/>
          <w:sz w:val="24"/>
        </w:rPr>
        <w:t>规定, 受采购人的委托，现就</w:t>
      </w:r>
      <w:r>
        <w:rPr>
          <w:rFonts w:hint="eastAsia" w:cs="宋体" w:asciiTheme="minorEastAsia" w:hAnsiTheme="minorEastAsia" w:eastAsiaTheme="minorEastAsia"/>
          <w:color w:val="000000"/>
          <w:kern w:val="0"/>
          <w:sz w:val="24"/>
          <w:lang w:eastAsia="zh-CN"/>
        </w:rPr>
        <w:t>三门县滨海科技城大周塘区块产业研究及概念规划项目</w:t>
      </w:r>
      <w:r>
        <w:rPr>
          <w:rFonts w:hint="eastAsia" w:cs="宋体" w:asciiTheme="minorEastAsia" w:hAnsiTheme="minorEastAsia" w:eastAsiaTheme="minorEastAsia"/>
          <w:color w:val="000000"/>
          <w:kern w:val="0"/>
          <w:sz w:val="24"/>
        </w:rPr>
        <w:t>进行竞争性磋商采购</w:t>
      </w:r>
      <w:r>
        <w:rPr>
          <w:rFonts w:hint="eastAsia" w:asciiTheme="minorEastAsia" w:hAnsiTheme="minorEastAsia" w:eastAsiaTheme="minorEastAsia"/>
          <w:color w:val="000000"/>
          <w:kern w:val="0"/>
          <w:sz w:val="24"/>
        </w:rPr>
        <w:t>，欢迎合格供应商前来磋商。</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一、项目编号：</w:t>
      </w:r>
      <w:r>
        <w:rPr>
          <w:rFonts w:hint="eastAsia" w:cs="宋体" w:asciiTheme="minorEastAsia" w:hAnsiTheme="minorEastAsia" w:eastAsiaTheme="minorEastAsia"/>
          <w:color w:val="000000"/>
          <w:kern w:val="0"/>
          <w:sz w:val="24"/>
        </w:rPr>
        <w:t>浙</w:t>
      </w:r>
      <w:r>
        <w:rPr>
          <w:rFonts w:hint="eastAsia" w:cs="宋体" w:asciiTheme="minorEastAsia" w:hAnsiTheme="minorEastAsia" w:eastAsiaTheme="minorEastAsia"/>
          <w:color w:val="000000"/>
          <w:kern w:val="0"/>
          <w:sz w:val="24"/>
          <w:lang w:eastAsia="zh-CN"/>
        </w:rPr>
        <w:t>希</w:t>
      </w:r>
      <w:r>
        <w:rPr>
          <w:rFonts w:hint="eastAsia" w:cs="宋体" w:asciiTheme="minorEastAsia" w:hAnsiTheme="minorEastAsia" w:eastAsiaTheme="minorEastAsia"/>
          <w:color w:val="000000"/>
          <w:kern w:val="0"/>
          <w:sz w:val="24"/>
        </w:rPr>
        <w:t>招备-20</w:t>
      </w:r>
      <w:r>
        <w:rPr>
          <w:rFonts w:hint="eastAsia" w:cs="宋体" w:asciiTheme="minorEastAsia" w:hAnsiTheme="minorEastAsia" w:eastAsiaTheme="minorEastAsia"/>
          <w:color w:val="000000"/>
          <w:kern w:val="0"/>
          <w:sz w:val="24"/>
          <w:lang w:val="en-US" w:eastAsia="zh-CN"/>
        </w:rPr>
        <w:t>21</w:t>
      </w:r>
      <w:r>
        <w:rPr>
          <w:rFonts w:hint="eastAsia"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lang w:val="en-US" w:eastAsia="zh-CN"/>
        </w:rPr>
        <w:t>010</w:t>
      </w:r>
      <w:r>
        <w:rPr>
          <w:rFonts w:hint="eastAsia" w:cs="宋体" w:asciiTheme="minorEastAsia" w:hAnsiTheme="minorEastAsia" w:eastAsiaTheme="minorEastAsia"/>
          <w:color w:val="000000"/>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cs="宋体" w:asciiTheme="minorEastAsia" w:hAnsiTheme="minorEastAsia" w:eastAsiaTheme="minorEastAsia"/>
          <w:sz w:val="24"/>
        </w:rPr>
      </w:pPr>
      <w:r>
        <w:rPr>
          <w:rFonts w:hint="eastAsia" w:cs="宋体" w:asciiTheme="minorEastAsia" w:hAnsiTheme="minorEastAsia" w:eastAsiaTheme="minorEastAsia"/>
          <w:b/>
          <w:kern w:val="0"/>
          <w:sz w:val="24"/>
        </w:rPr>
        <w:t>二、磋商内容：</w:t>
      </w:r>
    </w:p>
    <w:tbl>
      <w:tblPr>
        <w:tblStyle w:val="19"/>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842"/>
        <w:gridCol w:w="851"/>
        <w:gridCol w:w="900"/>
        <w:gridCol w:w="1619"/>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49"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标段号</w:t>
            </w:r>
          </w:p>
        </w:tc>
        <w:tc>
          <w:tcPr>
            <w:tcW w:w="2842" w:type="dxa"/>
            <w:vAlign w:val="center"/>
          </w:tcPr>
          <w:p>
            <w:pPr>
              <w:tabs>
                <w:tab w:val="left" w:pos="8280"/>
              </w:tabs>
              <w:autoSpaceDE w:val="0"/>
              <w:autoSpaceDN w:val="0"/>
              <w:adjustRightInd w:val="0"/>
              <w:ind w:right="25"/>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项目名称</w:t>
            </w:r>
          </w:p>
        </w:tc>
        <w:tc>
          <w:tcPr>
            <w:tcW w:w="851"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900"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单位</w:t>
            </w:r>
          </w:p>
        </w:tc>
        <w:tc>
          <w:tcPr>
            <w:tcW w:w="1619"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预算（万元）</w:t>
            </w:r>
          </w:p>
        </w:tc>
        <w:tc>
          <w:tcPr>
            <w:tcW w:w="2036" w:type="dxa"/>
            <w:vAlign w:val="center"/>
          </w:tcPr>
          <w:p>
            <w:pPr>
              <w:tabs>
                <w:tab w:val="left" w:pos="8280"/>
              </w:tabs>
              <w:autoSpaceDE w:val="0"/>
              <w:autoSpaceDN w:val="0"/>
              <w:adjustRightInd w:val="0"/>
              <w:ind w:right="25" w:firstLine="240"/>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工</w:t>
            </w:r>
            <w:r>
              <w:rPr>
                <w:rFonts w:hint="eastAsia" w:asciiTheme="minorEastAsia" w:hAnsiTheme="minorEastAsia" w:eastAsiaTheme="minorEastAsia"/>
                <w:b/>
                <w:sz w:val="24"/>
                <w:lang w:eastAsia="zh-CN"/>
              </w:rPr>
              <w:t>服务期</w:t>
            </w:r>
          </w:p>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49"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42"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cs="宋体" w:asciiTheme="minorEastAsia" w:hAnsiTheme="minorEastAsia" w:eastAsiaTheme="minorEastAsia"/>
                <w:color w:val="000000"/>
                <w:sz w:val="24"/>
                <w:lang w:eastAsia="zh-CN"/>
              </w:rPr>
              <w:t>三门县滨海科技城大周塘区块产业研究及概念规划项目</w:t>
            </w:r>
          </w:p>
        </w:tc>
        <w:tc>
          <w:tcPr>
            <w:tcW w:w="851"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00" w:type="dxa"/>
            <w:vAlign w:val="center"/>
          </w:tcPr>
          <w:p>
            <w:pPr>
              <w:widowControl/>
              <w:jc w:val="center"/>
              <w:rPr>
                <w:rFonts w:asciiTheme="minorEastAsia" w:hAnsiTheme="minorEastAsia" w:eastAsiaTheme="minorEastAsia"/>
                <w:sz w:val="24"/>
              </w:rPr>
            </w:pPr>
            <w:r>
              <w:rPr>
                <w:rFonts w:asciiTheme="minorEastAsia" w:hAnsiTheme="minorEastAsia" w:eastAsiaTheme="minorEastAsia"/>
                <w:sz w:val="24"/>
              </w:rPr>
              <w:t>项</w:t>
            </w:r>
          </w:p>
        </w:tc>
        <w:tc>
          <w:tcPr>
            <w:tcW w:w="1619"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85</w:t>
            </w:r>
          </w:p>
        </w:tc>
        <w:tc>
          <w:tcPr>
            <w:tcW w:w="2036"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天</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sz w:val="24"/>
        </w:rPr>
        <w:t>三、合格磋商供应商的资格条件：</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1）具有独立承担民事责任的能力；</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2）具有良好的商业信誉和健全的财务会计制度；</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3）具有履行合同所必需的设备和专业技术能力；</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4）有依法缴纳税收和社会保障资金的良好记录；</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5）参加采购活动前三年内，在经营活动中没有重大违法记录；</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6）法律、行政法规规定的其他条件；</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7）</w:t>
      </w:r>
      <w:r>
        <w:rPr>
          <w:rFonts w:hint="eastAsia" w:asciiTheme="minorEastAsia" w:hAnsiTheme="minorEastAsia" w:eastAsiaTheme="minorEastAsia"/>
          <w:kern w:val="0"/>
          <w:sz w:val="24"/>
        </w:rPr>
        <w:t>未被信用中国网站（www.creditchina.gov.cn）列入失信被执行人、重大税收违法案件当事人名单。</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8）</w:t>
      </w:r>
      <w:r>
        <w:rPr>
          <w:rFonts w:hint="eastAsia" w:asciiTheme="minorEastAsia" w:hAnsiTheme="minorEastAsia" w:eastAsiaTheme="minorEastAsia"/>
          <w:kern w:val="0"/>
          <w:sz w:val="24"/>
        </w:rPr>
        <w:t>本项目供应商特定条件：</w:t>
      </w:r>
      <w:r>
        <w:rPr>
          <w:rFonts w:hint="eastAsia" w:asciiTheme="minorEastAsia" w:hAnsiTheme="minorEastAsia" w:eastAsiaTheme="minorEastAsia"/>
          <w:kern w:val="0"/>
          <w:sz w:val="24"/>
          <w:lang w:eastAsia="zh-CN"/>
        </w:rPr>
        <w:t>应具备</w:t>
      </w:r>
      <w:r>
        <w:rPr>
          <w:rFonts w:hint="eastAsia" w:asciiTheme="minorEastAsia" w:hAnsiTheme="minorEastAsia" w:eastAsiaTheme="minorEastAsia"/>
          <w:kern w:val="0"/>
          <w:sz w:val="24"/>
          <w:highlight w:val="none"/>
          <w:lang w:eastAsia="zh-CN"/>
        </w:rPr>
        <w:t>城乡规划乙级及以上或建筑工程设计乙级及以上资质</w:t>
      </w:r>
      <w:r>
        <w:rPr>
          <w:rFonts w:hint="eastAsia" w:asciiTheme="minorEastAsia" w:hAnsiTheme="minorEastAsia" w:eastAsiaTheme="minorEastAsia"/>
          <w:kern w:val="0"/>
          <w:sz w:val="24"/>
          <w:highlight w:val="none"/>
        </w:rPr>
        <w:t>；</w:t>
      </w:r>
    </w:p>
    <w:p>
      <w:pPr>
        <w:tabs>
          <w:tab w:val="left" w:pos="180"/>
          <w:tab w:val="left" w:pos="360"/>
          <w:tab w:val="left" w:pos="540"/>
          <w:tab w:val="left" w:pos="8280"/>
        </w:tabs>
        <w:autoSpaceDE w:val="0"/>
        <w:autoSpaceDN w:val="0"/>
        <w:adjustRightInd w:val="0"/>
        <w:spacing w:before="100" w:line="360" w:lineRule="auto"/>
        <w:ind w:right="23" w:firstLine="240" w:firstLineChars="10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本项目不接受联合体磋商；</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四、磋商文件获取的方式、时间：</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bookmarkStart w:id="1" w:name="_Toc221949933"/>
      <w:r>
        <w:rPr>
          <w:rFonts w:hint="eastAsia" w:asciiTheme="minorEastAsia" w:hAnsiTheme="minorEastAsia" w:eastAsiaTheme="minorEastAsia"/>
          <w:sz w:val="24"/>
        </w:rPr>
        <w:t>4.1</w:t>
      </w:r>
      <w:bookmarkEnd w:id="1"/>
      <w:r>
        <w:rPr>
          <w:rFonts w:hint="eastAsia" w:asciiTheme="minorEastAsia" w:hAnsiTheme="minorEastAsia" w:eastAsiaTheme="minorEastAsia"/>
          <w:sz w:val="24"/>
        </w:rPr>
        <w:t>招标文件将</w:t>
      </w:r>
      <w:r>
        <w:rPr>
          <w:rFonts w:hint="eastAsia" w:asciiTheme="minorEastAsia" w:hAnsiTheme="minorEastAsia" w:eastAsiaTheme="minorEastAsia"/>
          <w:sz w:val="24"/>
          <w:highlight w:val="none"/>
        </w:rPr>
        <w:t>于20</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11</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17</w:t>
      </w:r>
      <w:r>
        <w:rPr>
          <w:rFonts w:hint="eastAsia" w:asciiTheme="minorEastAsia" w:hAnsiTheme="minorEastAsia" w:eastAsiaTheme="minorEastAsia"/>
          <w:sz w:val="24"/>
          <w:highlight w:val="none"/>
        </w:rPr>
        <w:t>日起</w:t>
      </w:r>
      <w:r>
        <w:rPr>
          <w:rFonts w:hint="eastAsia" w:asciiTheme="minorEastAsia" w:hAnsiTheme="minorEastAsia" w:eastAsiaTheme="minorEastAsia"/>
          <w:sz w:val="24"/>
        </w:rPr>
        <w:t>在三门县公共资源交易中心网 “网址：http://www.smztb.com.cn”上发布并供下载，招标文件以书面为准。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000000"/>
          <w:kern w:val="0"/>
          <w:sz w:val="24"/>
        </w:rPr>
      </w:pPr>
      <w:r>
        <w:rPr>
          <w:rFonts w:hint="eastAsia" w:cs="宋体" w:asciiTheme="minorEastAsia" w:hAnsiTheme="minorEastAsia" w:eastAsiaTheme="minorEastAsia"/>
          <w:b/>
          <w:color w:val="000000"/>
          <w:sz w:val="24"/>
        </w:rPr>
        <w:t>五、</w:t>
      </w:r>
      <w:r>
        <w:rPr>
          <w:rFonts w:hint="eastAsia" w:asciiTheme="minorEastAsia" w:hAnsiTheme="minorEastAsia" w:eastAsiaTheme="minorEastAsia"/>
          <w:b/>
          <w:color w:val="000000"/>
          <w:kern w:val="0"/>
          <w:sz w:val="24"/>
        </w:rPr>
        <w:t>响应文件递交截止时间及磋商开始时间、地点：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本次招标将于：</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21</w:t>
      </w:r>
      <w:r>
        <w:rPr>
          <w:rFonts w:hint="eastAsia"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11</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29</w:t>
      </w:r>
      <w:r>
        <w:rPr>
          <w:rFonts w:hint="eastAsia" w:asciiTheme="minorEastAsia" w:hAnsiTheme="minorEastAsia" w:eastAsiaTheme="minorEastAsia"/>
          <w:sz w:val="24"/>
          <w:u w:val="single"/>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0分整在三门县经济开发区管理委员会（三门县广场路99号一楼西会议室）开标，请在此时间前将投标文件送达开标地点，逾期或不符合规定的招标文件恕不接受。</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hint="default"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六、</w:t>
      </w:r>
      <w:r>
        <w:rPr>
          <w:rFonts w:hint="eastAsia" w:asciiTheme="minorEastAsia" w:hAnsiTheme="minorEastAsia" w:eastAsiaTheme="minorEastAsia"/>
          <w:b/>
          <w:color w:val="000000"/>
          <w:kern w:val="0"/>
          <w:sz w:val="24"/>
          <w:lang w:eastAsia="zh-CN"/>
        </w:rPr>
        <w:t>磋商</w:t>
      </w:r>
      <w:r>
        <w:rPr>
          <w:rFonts w:hint="eastAsia" w:asciiTheme="minorEastAsia" w:hAnsiTheme="minorEastAsia" w:eastAsiaTheme="minorEastAsia"/>
          <w:b/>
          <w:color w:val="000000"/>
          <w:kern w:val="0"/>
          <w:sz w:val="24"/>
        </w:rPr>
        <w:t>保证金：</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lang w:eastAsia="zh-CN"/>
        </w:rPr>
        <w:t>本次投标不设磋商保证金</w:t>
      </w:r>
      <w:r>
        <w:rPr>
          <w:rFonts w:hint="eastAsia" w:asciiTheme="minorEastAsia" w:hAnsiTheme="minorEastAsia" w:eastAsiaTheme="minorEastAsia"/>
          <w:sz w:val="24"/>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hint="default" w:asciiTheme="minorEastAsia" w:hAnsiTheme="minorEastAsia" w:eastAsiaTheme="minorEastAsia"/>
          <w:b/>
          <w:color w:val="000000"/>
          <w:kern w:val="0"/>
          <w:sz w:val="24"/>
          <w:lang w:eastAsia="zh-CN"/>
        </w:rPr>
      </w:pPr>
      <w:r>
        <w:rPr>
          <w:rFonts w:hint="eastAsia" w:asciiTheme="minorEastAsia" w:hAnsiTheme="minorEastAsia" w:eastAsiaTheme="minorEastAsia"/>
          <w:b/>
          <w:color w:val="000000"/>
          <w:kern w:val="0"/>
          <w:sz w:val="24"/>
          <w:lang w:eastAsia="zh-CN"/>
        </w:rPr>
        <w:t>七、其他事项：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hint="default" w:asciiTheme="minorEastAsia" w:hAnsiTheme="minorEastAsia" w:eastAsiaTheme="minorEastAsia"/>
          <w:b/>
          <w:color w:val="000000"/>
          <w:kern w:val="0"/>
          <w:sz w:val="24"/>
          <w:lang w:eastAsia="zh-CN"/>
        </w:rPr>
      </w:pPr>
      <w:r>
        <w:rPr>
          <w:rFonts w:hint="eastAsia" w:asciiTheme="minorEastAsia" w:hAnsiTheme="minorEastAsia" w:eastAsiaTheme="minorEastAsia"/>
          <w:b/>
          <w:color w:val="000000"/>
          <w:kern w:val="0"/>
          <w:sz w:val="24"/>
          <w:lang w:eastAsia="zh-CN"/>
        </w:rPr>
        <w:t>八、项目咨询：</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采购方联系人：李海；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联系电话：</w:t>
      </w:r>
      <w:r>
        <w:rPr>
          <w:rFonts w:hint="eastAsia" w:asciiTheme="minorEastAsia" w:hAnsiTheme="minorEastAsia" w:eastAsiaTheme="minorEastAsia"/>
          <w:sz w:val="24"/>
          <w:lang w:val="en-US" w:eastAsia="zh-CN"/>
        </w:rPr>
        <w:t>13968510206</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代理方联系人：俞丹清；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 xml:space="preserve"> 联系电话：0576-83302325</w:t>
      </w:r>
      <w:r>
        <w:rPr>
          <w:rFonts w:hint="eastAsia" w:asciiTheme="minorEastAsia" w:hAnsiTheme="minorEastAsia" w:eastAsiaTheme="minorEastAsia"/>
          <w:sz w:val="24"/>
          <w:lang w:val="en-US" w:eastAsia="zh-CN"/>
        </w:rPr>
        <w:t>/13958533735</w:t>
      </w:r>
    </w:p>
    <w:p>
      <w:pPr>
        <w:pStyle w:val="2"/>
        <w:rPr>
          <w:rFonts w:hint="eastAsia" w:cs="宋体" w:asciiTheme="minorEastAsia" w:hAnsiTheme="minorEastAsia" w:eastAsiaTheme="minorEastAsia"/>
          <w:color w:val="000000"/>
          <w:kern w:val="0"/>
          <w:sz w:val="24"/>
        </w:rPr>
      </w:pPr>
    </w:p>
    <w:p>
      <w:pPr>
        <w:pStyle w:val="2"/>
        <w:rPr>
          <w:rFonts w:hint="eastAsia" w:cs="宋体" w:asciiTheme="minorEastAsia" w:hAnsiTheme="minorEastAsia" w:eastAsiaTheme="minorEastAsia"/>
          <w:color w:val="000000"/>
          <w:kern w:val="0"/>
          <w:sz w:val="24"/>
        </w:rPr>
      </w:pP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三门县滨海科技城开发建设有限公司</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浙江</w:t>
      </w:r>
      <w:r>
        <w:rPr>
          <w:rFonts w:hint="eastAsia" w:cs="宋体" w:asciiTheme="minorEastAsia" w:hAnsiTheme="minorEastAsia" w:eastAsiaTheme="minorEastAsia"/>
          <w:color w:val="000000"/>
          <w:kern w:val="0"/>
          <w:sz w:val="24"/>
          <w:lang w:eastAsia="zh-CN"/>
        </w:rPr>
        <w:t>希霖</w:t>
      </w:r>
      <w:r>
        <w:rPr>
          <w:rFonts w:hint="eastAsia" w:cs="宋体" w:asciiTheme="minorEastAsia" w:hAnsiTheme="minorEastAsia" w:eastAsiaTheme="minorEastAsia"/>
          <w:color w:val="000000"/>
          <w:kern w:val="0"/>
          <w:sz w:val="24"/>
        </w:rPr>
        <w:t>工程咨询有限公司</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r>
        <w:rPr>
          <w:rFonts w:hint="eastAsia" w:cs="宋体" w:asciiTheme="minorEastAsia" w:hAnsiTheme="minorEastAsia" w:eastAsiaTheme="minorEastAsia"/>
          <w:color w:val="000000"/>
          <w:kern w:val="0"/>
          <w:sz w:val="24"/>
          <w:lang w:val="en-US" w:eastAsia="zh-CN"/>
        </w:rPr>
        <w:t>21</w:t>
      </w:r>
      <w:r>
        <w:rPr>
          <w:rFonts w:hint="eastAsia" w:cs="宋体" w:asciiTheme="minorEastAsia" w:hAnsiTheme="minorEastAsia" w:eastAsiaTheme="minorEastAsia"/>
          <w:color w:val="000000"/>
          <w:kern w:val="0"/>
          <w:sz w:val="24"/>
        </w:rPr>
        <w:t>年</w:t>
      </w:r>
      <w:r>
        <w:rPr>
          <w:rFonts w:hint="eastAsia" w:cs="宋体" w:asciiTheme="minorEastAsia" w:hAnsiTheme="minorEastAsia" w:eastAsiaTheme="minorEastAsia"/>
          <w:color w:val="000000"/>
          <w:kern w:val="0"/>
          <w:sz w:val="24"/>
          <w:lang w:val="en-US" w:eastAsia="zh-CN"/>
        </w:rPr>
        <w:t>11</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lang w:val="en-US" w:eastAsia="zh-CN"/>
        </w:rPr>
        <w:t>17</w:t>
      </w:r>
      <w:r>
        <w:rPr>
          <w:rFonts w:hint="eastAsia" w:cs="宋体" w:asciiTheme="minorEastAsia" w:hAnsiTheme="minorEastAsia" w:eastAsiaTheme="minorEastAsia"/>
          <w:color w:val="000000"/>
          <w:kern w:val="0"/>
          <w:sz w:val="24"/>
        </w:rPr>
        <w:t>日</w:t>
      </w:r>
    </w:p>
    <w:p>
      <w:pPr>
        <w:widowControl/>
        <w:jc w:val="left"/>
        <w:rPr>
          <w:rFonts w:cs="Arial" w:asciiTheme="minorEastAsia" w:hAnsiTheme="minorEastAsia" w:eastAsiaTheme="minorEastAsia"/>
          <w:bCs/>
          <w:sz w:val="24"/>
        </w:rPr>
      </w:pPr>
      <w:r>
        <w:rPr>
          <w:rFonts w:cs="Arial" w:asciiTheme="minorEastAsia" w:hAnsiTheme="minorEastAsia" w:eastAsiaTheme="minorEastAsia"/>
          <w:bCs/>
          <w:sz w:val="24"/>
        </w:rPr>
        <w:br w:type="page"/>
      </w:r>
    </w:p>
    <w:p>
      <w:pPr>
        <w:pStyle w:val="4"/>
        <w:jc w:val="center"/>
      </w:pPr>
      <w:bookmarkStart w:id="2" w:name="_Toc30961"/>
      <w:r>
        <w:rPr>
          <w:rFonts w:hint="eastAsia"/>
        </w:rPr>
        <w:t>第二章  供应商须知</w:t>
      </w:r>
      <w:bookmarkEnd w:id="2"/>
    </w:p>
    <w:p>
      <w:pPr>
        <w:pStyle w:val="5"/>
        <w:jc w:val="center"/>
        <w:rPr>
          <w:sz w:val="36"/>
          <w:szCs w:val="36"/>
        </w:rPr>
      </w:pPr>
      <w:bookmarkStart w:id="3" w:name="_Toc13963"/>
      <w:r>
        <w:rPr>
          <w:rFonts w:hint="eastAsia"/>
          <w:sz w:val="36"/>
          <w:szCs w:val="36"/>
        </w:rPr>
        <w:t>前附表</w:t>
      </w:r>
      <w:bookmarkEnd w:id="3"/>
    </w:p>
    <w:tbl>
      <w:tblPr>
        <w:tblStyle w:val="19"/>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48"/>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磋商响应文件包装要求</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 w:val="24"/>
              </w:rPr>
            </w:pPr>
            <w:r>
              <w:rPr>
                <w:rFonts w:hint="eastAsia" w:ascii="宋体" w:hAnsi="宋体" w:cs="宋体"/>
                <w:b/>
                <w:color w:val="auto"/>
                <w:sz w:val="24"/>
              </w:rPr>
              <w:t>正本</w:t>
            </w:r>
            <w:r>
              <w:rPr>
                <w:rFonts w:hint="eastAsia" w:ascii="宋体" w:hAnsi="宋体" w:cs="Arial"/>
                <w:b/>
                <w:color w:val="auto"/>
                <w:sz w:val="24"/>
              </w:rPr>
              <w:t>1</w:t>
            </w:r>
            <w:r>
              <w:rPr>
                <w:rFonts w:hint="eastAsia" w:ascii="宋体" w:hAnsi="宋体" w:cs="宋体"/>
                <w:b/>
                <w:color w:val="auto"/>
                <w:sz w:val="24"/>
              </w:rPr>
              <w:t>份、副本</w:t>
            </w:r>
            <w:r>
              <w:rPr>
                <w:rFonts w:hint="eastAsia" w:ascii="宋体" w:hAnsi="宋体" w:cs="Arial"/>
                <w:b/>
                <w:color w:val="auto"/>
                <w:sz w:val="24"/>
                <w:lang w:val="en-US" w:eastAsia="zh-CN"/>
              </w:rPr>
              <w:t>2</w:t>
            </w:r>
            <w:r>
              <w:rPr>
                <w:rFonts w:hint="eastAsia" w:ascii="宋体" w:hAnsi="宋体" w:cs="宋体"/>
                <w:b/>
                <w:color w:val="auto"/>
                <w:sz w:val="24"/>
              </w:rPr>
              <w:t>份，正副本</w:t>
            </w:r>
            <w:r>
              <w:rPr>
                <w:rFonts w:hint="eastAsia" w:ascii="宋体"/>
                <w:b/>
                <w:bCs/>
                <w:color w:val="auto"/>
                <w:sz w:val="24"/>
                <w:lang w:val="zh-CN"/>
              </w:rPr>
              <w:t>封装成一袋</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磋商响应文件有效期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磋商响应</w:t>
            </w:r>
            <w:r>
              <w:rPr>
                <w:rFonts w:hint="eastAsia" w:ascii="宋体" w:hAnsi="宋体" w:cs="宋体"/>
                <w:sz w:val="24"/>
              </w:rPr>
              <w:t>有效期为磋商后90天，</w:t>
            </w:r>
            <w:r>
              <w:rPr>
                <w:rFonts w:hint="eastAsia" w:ascii="宋体" w:hAnsi="宋体" w:cs="宋体"/>
                <w:color w:val="000000"/>
                <w:sz w:val="24"/>
              </w:rPr>
              <w:t>磋商响应</w:t>
            </w:r>
            <w:r>
              <w:rPr>
                <w:rFonts w:hint="eastAsia" w:ascii="宋体" w:hAnsi="宋体" w:cs="宋体"/>
                <w:kern w:val="0"/>
                <w:sz w:val="24"/>
              </w:rPr>
              <w:t>有效期从提交</w:t>
            </w:r>
            <w:r>
              <w:rPr>
                <w:rFonts w:hint="eastAsia" w:ascii="宋体" w:hAnsi="宋体" w:cs="宋体"/>
                <w:color w:val="000000"/>
                <w:sz w:val="24"/>
              </w:rPr>
              <w:t>磋商响应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磋商响应文件递交</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 w:val="24"/>
                <w:lang w:val="en-US"/>
              </w:rPr>
            </w:pPr>
            <w:r>
              <w:rPr>
                <w:rFonts w:hint="eastAsia" w:ascii="宋体" w:hAnsi="宋体" w:cs="宋体"/>
                <w:color w:val="000000"/>
                <w:sz w:val="24"/>
              </w:rPr>
              <w:t>截止时间：北京时间20</w:t>
            </w:r>
            <w:r>
              <w:rPr>
                <w:rFonts w:hint="eastAsia" w:ascii="宋体" w:hAnsi="宋体" w:cs="Arial"/>
                <w:color w:val="000000"/>
                <w:sz w:val="24"/>
                <w:lang w:val="en-US" w:eastAsia="zh-CN"/>
              </w:rPr>
              <w:t>21</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30</w:t>
            </w:r>
          </w:p>
          <w:p>
            <w:pPr>
              <w:snapToGrid w:val="0"/>
              <w:spacing w:line="360" w:lineRule="auto"/>
              <w:rPr>
                <w:rFonts w:ascii="宋体" w:hAnsi="宋体" w:cs="宋体"/>
                <w:color w:val="000000"/>
                <w:sz w:val="24"/>
              </w:rPr>
            </w:pPr>
            <w:r>
              <w:rPr>
                <w:rFonts w:hint="eastAsia" w:ascii="宋体" w:hAnsi="宋体" w:cs="宋体"/>
                <w:color w:val="000000"/>
                <w:sz w:val="24"/>
              </w:rPr>
              <w:t>递交地点：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p>
            <w:pPr>
              <w:spacing w:line="360" w:lineRule="auto"/>
              <w:rPr>
                <w:rFonts w:ascii="宋体" w:hAnsi="宋体" w:cs="宋体"/>
                <w:color w:val="000000"/>
                <w:sz w:val="24"/>
              </w:rPr>
            </w:pPr>
            <w:r>
              <w:rPr>
                <w:rFonts w:hint="eastAsia" w:ascii="宋体" w:hAnsi="宋体" w:cs="宋体"/>
                <w:color w:val="000000"/>
                <w:sz w:val="24"/>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磋商时间及地点</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时间：北京时间20</w:t>
            </w:r>
            <w:r>
              <w:rPr>
                <w:rFonts w:hint="eastAsia" w:ascii="宋体" w:hAnsi="宋体" w:cs="Arial"/>
                <w:color w:val="000000"/>
                <w:sz w:val="24"/>
                <w:lang w:val="en-US" w:eastAsia="zh-CN"/>
              </w:rPr>
              <w:t>21</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30</w:t>
            </w:r>
          </w:p>
          <w:p>
            <w:pPr>
              <w:snapToGrid w:val="0"/>
              <w:spacing w:line="360" w:lineRule="auto"/>
              <w:rPr>
                <w:rFonts w:ascii="宋体" w:hAnsi="宋体" w:cs="宋体"/>
                <w:color w:val="000000"/>
                <w:sz w:val="24"/>
              </w:rPr>
            </w:pPr>
            <w:r>
              <w:rPr>
                <w:rFonts w:hint="eastAsia" w:ascii="宋体" w:hAnsi="宋体" w:cs="宋体"/>
                <w:color w:val="000000"/>
                <w:sz w:val="24"/>
              </w:rPr>
              <w:t>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本项目不设保证金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8</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实质性条款</w:t>
            </w:r>
          </w:p>
        </w:tc>
        <w:tc>
          <w:tcPr>
            <w:tcW w:w="6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both"/>
              <w:rPr>
                <w:rFonts w:ascii="宋体" w:hAnsi="宋体" w:cs="宋体"/>
                <w:sz w:val="24"/>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▲”的条款是实质性条款，磋商</w:t>
            </w:r>
            <w:r>
              <w:rPr>
                <w:rFonts w:hint="eastAsia" w:ascii="宋体" w:hAnsi="宋体" w:cs="宋体"/>
                <w:color w:val="000000"/>
                <w:sz w:val="24"/>
              </w:rPr>
              <w:t>响应</w:t>
            </w:r>
            <w:r>
              <w:rPr>
                <w:rFonts w:hint="eastAsia" w:ascii="宋体" w:hAnsi="宋体" w:cs="宋体"/>
                <w:bCs/>
                <w:color w:val="000000"/>
                <w:sz w:val="24"/>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b/>
                <w:sz w:val="24"/>
              </w:rPr>
              <w:t>9</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sz w:val="24"/>
                <w:lang w:val="zh-CN"/>
              </w:rPr>
            </w:pPr>
            <w:r>
              <w:rPr>
                <w:rFonts w:hint="eastAsia" w:ascii="宋体" w:hAnsi="宋体"/>
                <w:b/>
                <w:bCs/>
                <w:color w:val="000000"/>
                <w:sz w:val="24"/>
              </w:rPr>
              <w:t>▲项目最高限价</w:t>
            </w:r>
          </w:p>
        </w:tc>
        <w:tc>
          <w:tcPr>
            <w:tcW w:w="6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both"/>
              <w:rPr>
                <w:rFonts w:ascii="宋体" w:hAnsi="宋体"/>
                <w:b/>
                <w:bCs/>
                <w:color w:val="000000"/>
                <w:sz w:val="24"/>
              </w:rPr>
            </w:pPr>
            <w:r>
              <w:rPr>
                <w:rFonts w:hint="eastAsia" w:ascii="宋体" w:hAnsi="宋体"/>
                <w:b/>
                <w:bCs/>
                <w:color w:val="000000"/>
                <w:sz w:val="24"/>
              </w:rPr>
              <w:t>最高限价为</w:t>
            </w:r>
            <w:r>
              <w:rPr>
                <w:rFonts w:hint="eastAsia" w:ascii="宋体" w:hAnsi="宋体"/>
                <w:b/>
                <w:bCs/>
                <w:color w:val="000000"/>
                <w:sz w:val="24"/>
                <w:lang w:val="en-US" w:eastAsia="zh-CN"/>
              </w:rPr>
              <w:t>85</w:t>
            </w:r>
            <w:r>
              <w:rPr>
                <w:rFonts w:hint="eastAsia" w:ascii="宋体" w:hAnsi="宋体"/>
                <w:b/>
                <w:bCs/>
                <w:color w:val="000000"/>
                <w:sz w:val="24"/>
              </w:rPr>
              <w:t>万元。</w:t>
            </w:r>
          </w:p>
          <w:p>
            <w:pPr>
              <w:autoSpaceDE w:val="0"/>
              <w:autoSpaceDN w:val="0"/>
              <w:adjustRightInd w:val="0"/>
              <w:spacing w:line="360" w:lineRule="exact"/>
              <w:jc w:val="both"/>
              <w:rPr>
                <w:rFonts w:ascii="宋体" w:hAnsi="宋体" w:cs="宋体"/>
                <w:color w:val="000000"/>
                <w:kern w:val="0"/>
                <w:sz w:val="24"/>
                <w:lang w:val="zh-CN"/>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10</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color w:val="000000"/>
                <w:sz w:val="24"/>
              </w:rPr>
            </w:pPr>
            <w:r>
              <w:rPr>
                <w:rFonts w:hint="eastAsia" w:ascii="宋体" w:hAnsi="宋体" w:cs="宋体"/>
                <w:sz w:val="24"/>
              </w:rPr>
              <w:t>解释权</w:t>
            </w:r>
          </w:p>
        </w:tc>
        <w:tc>
          <w:tcPr>
            <w:tcW w:w="6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bCs/>
                <w:color w:val="000000"/>
                <w:sz w:val="24"/>
              </w:rPr>
            </w:pPr>
            <w:r>
              <w:rPr>
                <w:rFonts w:hint="eastAsia" w:ascii="宋体" w:hAnsi="宋体" w:cs="宋体"/>
                <w:color w:val="000000"/>
                <w:sz w:val="24"/>
              </w:rPr>
              <w:t>本磋商文件解释权属于采购人和</w:t>
            </w:r>
            <w:r>
              <w:rPr>
                <w:rFonts w:hint="eastAsia" w:ascii="宋体" w:hAnsi="宋体" w:cs="Arial"/>
                <w:color w:val="000000"/>
                <w:sz w:val="24"/>
              </w:rPr>
              <w:t>采购代理机构</w:t>
            </w:r>
          </w:p>
        </w:tc>
      </w:tr>
    </w:tbl>
    <w:p>
      <w:pPr>
        <w:widowControl/>
        <w:jc w:val="left"/>
        <w:rPr>
          <w:rFonts w:ascii="宋体" w:hAnsi="宋体" w:cstheme="minorBidi"/>
          <w:b/>
          <w:sz w:val="24"/>
        </w:rPr>
      </w:pPr>
      <w:r>
        <w:rPr>
          <w:rFonts w:hAnsi="宋体"/>
          <w:b/>
          <w:sz w:val="24"/>
        </w:rPr>
        <w:br w:type="page"/>
      </w:r>
    </w:p>
    <w:p>
      <w:pPr>
        <w:pStyle w:val="5"/>
        <w:rPr>
          <w:sz w:val="36"/>
          <w:szCs w:val="36"/>
        </w:rPr>
      </w:pPr>
      <w:bookmarkStart w:id="4" w:name="_Toc19210"/>
      <w:r>
        <w:rPr>
          <w:rFonts w:hint="eastAsia"/>
          <w:sz w:val="36"/>
          <w:szCs w:val="36"/>
        </w:rPr>
        <w:t>一 、总  则</w:t>
      </w:r>
      <w:bookmarkEnd w:id="4"/>
    </w:p>
    <w:p>
      <w:pPr>
        <w:pStyle w:val="11"/>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磋商文件</w:t>
      </w:r>
      <w:r>
        <w:rPr>
          <w:rFonts w:hint="eastAsia" w:ascii="宋体" w:hAnsi="宋体"/>
          <w:sz w:val="24"/>
        </w:rPr>
        <w:t>适用于</w:t>
      </w:r>
      <w:r>
        <w:rPr>
          <w:rFonts w:hint="eastAsia" w:ascii="宋体" w:hAnsi="宋体"/>
          <w:bCs/>
          <w:sz w:val="24"/>
        </w:rPr>
        <w:t>本次</w:t>
      </w:r>
      <w:r>
        <w:rPr>
          <w:rFonts w:hint="eastAsia" w:ascii="宋体" w:hAnsi="宋体"/>
          <w:sz w:val="24"/>
        </w:rPr>
        <w:t>项目的磋商、</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snapToGrid w:val="0"/>
        <w:spacing w:line="360" w:lineRule="auto"/>
        <w:ind w:firstLine="566" w:firstLineChars="236"/>
        <w:jc w:val="left"/>
        <w:rPr>
          <w:rFonts w:ascii="宋体" w:hAnsi="宋体"/>
          <w:sz w:val="24"/>
        </w:rPr>
      </w:pPr>
      <w:r>
        <w:rPr>
          <w:rFonts w:hint="eastAsia" w:ascii="宋体" w:hAnsi="宋体"/>
          <w:sz w:val="24"/>
        </w:rPr>
        <w:t>1、“采购组织机构”指采购人委托组织磋商的集中采购机构或采购代理机构。</w:t>
      </w:r>
    </w:p>
    <w:p>
      <w:pPr>
        <w:snapToGrid w:val="0"/>
        <w:spacing w:line="360" w:lineRule="auto"/>
        <w:ind w:firstLine="566" w:firstLineChars="236"/>
        <w:jc w:val="left"/>
        <w:rPr>
          <w:rFonts w:ascii="宋体" w:hAnsi="宋体"/>
          <w:sz w:val="24"/>
        </w:rPr>
      </w:pPr>
      <w:r>
        <w:rPr>
          <w:rFonts w:hint="eastAsia" w:ascii="宋体" w:hAnsi="宋体"/>
          <w:sz w:val="24"/>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3、磋商供应商：是指向</w:t>
      </w:r>
      <w:r>
        <w:rPr>
          <w:rFonts w:hint="eastAsia" w:ascii="宋体" w:hAnsi="宋体"/>
          <w:sz w:val="24"/>
          <w:lang w:val="zh-CN"/>
        </w:rPr>
        <w:t>采购组织机构</w:t>
      </w:r>
      <w:r>
        <w:rPr>
          <w:rFonts w:hint="eastAsia" w:ascii="宋体" w:hAnsi="宋体"/>
          <w:sz w:val="24"/>
        </w:rPr>
        <w:t>提交磋商响应文件的单位或个人。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5、服务：是指除货物和工程以外的采购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（三）磋商费用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1、不论磋商结果如何，供应商均应自行承担所有与磋商有关的全部费用（</w:t>
      </w:r>
      <w:r>
        <w:rPr>
          <w:rFonts w:hint="eastAsia" w:ascii="宋体" w:hAnsi="宋体"/>
          <w:bCs/>
          <w:color w:val="000000"/>
          <w:sz w:val="24"/>
        </w:rPr>
        <w:t>磋商文件</w:t>
      </w:r>
      <w:r>
        <w:rPr>
          <w:rFonts w:hint="eastAsia" w:ascii="宋体" w:hAnsi="宋体"/>
          <w:color w:val="000000"/>
          <w:sz w:val="24"/>
        </w:rPr>
        <w:t>有相关规定除外）。</w:t>
      </w:r>
    </w:p>
    <w:p>
      <w:pPr>
        <w:pStyle w:val="2"/>
        <w:ind w:firstLine="480" w:firstLineChars="200"/>
        <w:rPr>
          <w:rFonts w:hint="default" w:eastAsia="宋体"/>
          <w:lang w:val="en-US" w:eastAsia="zh-CN"/>
        </w:rPr>
      </w:pPr>
      <w:r>
        <w:rPr>
          <w:rFonts w:hint="eastAsia" w:ascii="宋体" w:hAnsi="宋体"/>
          <w:color w:val="000000"/>
          <w:sz w:val="24"/>
          <w:lang w:val="en-US" w:eastAsia="zh-CN"/>
        </w:rPr>
        <w:t>2、本次招标代理费9000元由中标单位支付。</w:t>
      </w:r>
    </w:p>
    <w:p>
      <w:pPr>
        <w:pStyle w:val="11"/>
        <w:snapToGrid w:val="0"/>
        <w:spacing w:line="360" w:lineRule="auto"/>
        <w:ind w:left="2" w:leftChars="1" w:firstLine="482" w:firstLineChars="200"/>
        <w:rPr>
          <w:rFonts w:hAnsi="宋体"/>
          <w:b/>
          <w:sz w:val="24"/>
        </w:rPr>
      </w:pPr>
      <w:r>
        <w:rPr>
          <w:rFonts w:hint="eastAsia" w:hAnsi="宋体"/>
          <w:b/>
          <w:sz w:val="24"/>
        </w:rPr>
        <w:t>（四）特别说明</w:t>
      </w:r>
    </w:p>
    <w:p>
      <w:pPr>
        <w:pStyle w:val="11"/>
        <w:snapToGrid w:val="0"/>
        <w:spacing w:line="360" w:lineRule="auto"/>
        <w:ind w:left="2" w:leftChars="1" w:firstLine="480" w:firstLineChars="200"/>
        <w:rPr>
          <w:rFonts w:hAnsi="宋体"/>
          <w:sz w:val="24"/>
        </w:rPr>
      </w:pPr>
      <w:r>
        <w:rPr>
          <w:rFonts w:hint="eastAsia" w:hAnsi="宋体"/>
          <w:sz w:val="24"/>
        </w:rPr>
        <w:t>1、</w:t>
      </w:r>
      <w:r>
        <w:rPr>
          <w:rFonts w:hint="eastAsia" w:hAnsi="宋体"/>
          <w:color w:val="000000"/>
          <w:sz w:val="24"/>
        </w:rPr>
        <w:t>供应商</w:t>
      </w:r>
      <w:r>
        <w:rPr>
          <w:rFonts w:hAnsi="宋体"/>
          <w:sz w:val="24"/>
        </w:rPr>
        <w:t>磋商所使用的资格、信誉、荣誉、业绩与企业认证必须为本法人所拥有。</w:t>
      </w:r>
      <w:r>
        <w:rPr>
          <w:rFonts w:hint="eastAsia" w:hAnsi="宋体"/>
          <w:color w:val="000000"/>
          <w:sz w:val="24"/>
        </w:rPr>
        <w:t>供应商</w:t>
      </w:r>
      <w:r>
        <w:rPr>
          <w:rFonts w:hAnsi="宋体"/>
          <w:sz w:val="24"/>
        </w:rPr>
        <w:t>磋商所使用的采购项目实施人员必须为本法人员工（</w:t>
      </w:r>
      <w:r>
        <w:rPr>
          <w:rFonts w:hint="eastAsia" w:hAnsi="宋体"/>
          <w:sz w:val="24"/>
        </w:rPr>
        <w:t>指</w:t>
      </w:r>
      <w:r>
        <w:rPr>
          <w:rFonts w:hAnsi="宋体"/>
          <w:sz w:val="24"/>
        </w:rPr>
        <w:t>必</w:t>
      </w:r>
      <w:r>
        <w:rPr>
          <w:rFonts w:hAnsi="宋体"/>
          <w:color w:val="000000"/>
          <w:sz w:val="24"/>
        </w:rPr>
        <w:t>须为</w:t>
      </w:r>
      <w:r>
        <w:rPr>
          <w:rFonts w:hAnsi="宋体"/>
          <w:sz w:val="24"/>
        </w:rPr>
        <w:t>本法人或控股公司正式员工）。</w:t>
      </w:r>
    </w:p>
    <w:p>
      <w:pPr>
        <w:spacing w:line="360" w:lineRule="auto"/>
        <w:ind w:firstLine="480" w:firstLineChars="200"/>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rPr>
        <w:t>磋商文件</w:t>
      </w:r>
      <w:r>
        <w:rPr>
          <w:rFonts w:hint="eastAsia" w:hAnsi="宋体"/>
          <w:sz w:val="24"/>
        </w:rPr>
        <w:t>中明确规定要求“提供官网截图或相应检测报告的证明材料”以外，所有技术参数描述均以</w:t>
      </w:r>
      <w:r>
        <w:rPr>
          <w:rFonts w:hint="eastAsia" w:ascii="宋体" w:hAnsi="宋体"/>
          <w:color w:val="000000"/>
          <w:sz w:val="24"/>
        </w:rPr>
        <w:t>磋商响应文件</w:t>
      </w:r>
      <w:r>
        <w:rPr>
          <w:rFonts w:hint="eastAsia" w:hAnsi="宋体"/>
          <w:sz w:val="24"/>
        </w:rPr>
        <w:t>为准。</w:t>
      </w:r>
      <w:r>
        <w:rPr>
          <w:rFonts w:hint="eastAsia" w:hAnsi="宋体"/>
          <w:b/>
          <w:sz w:val="24"/>
        </w:rPr>
        <w:t>磋商供应商对所标产品技术参数的真实性承担法律责任。</w:t>
      </w:r>
      <w:r>
        <w:rPr>
          <w:rFonts w:hint="eastAsia" w:hAnsi="宋体"/>
          <w:sz w:val="24"/>
        </w:rPr>
        <w:t>项目</w:t>
      </w:r>
      <w:r>
        <w:rPr>
          <w:rFonts w:hint="eastAsia" w:ascii="宋体" w:hAnsi="宋体"/>
          <w:bCs/>
          <w:sz w:val="24"/>
        </w:rPr>
        <w:t>磋商</w:t>
      </w:r>
      <w:r>
        <w:rPr>
          <w:rFonts w:hint="eastAsia" w:hAnsi="宋体"/>
          <w:sz w:val="24"/>
        </w:rPr>
        <w:t>结束后、质疑期限内，如有质疑供应商认为成交供应商所标产品、</w:t>
      </w:r>
      <w:r>
        <w:rPr>
          <w:rFonts w:hint="eastAsia" w:ascii="宋体" w:hAnsi="宋体"/>
          <w:color w:val="000000"/>
          <w:sz w:val="24"/>
        </w:rPr>
        <w:t>磋商响应文件</w:t>
      </w:r>
      <w:r>
        <w:rPr>
          <w:rFonts w:hint="eastAsia" w:hAnsi="宋体"/>
          <w:sz w:val="24"/>
        </w:rPr>
        <w:t>技术参数与采购需求存在重大偏离、错误、甚至造假的情况，应提供具体有效的证明材料。</w:t>
      </w:r>
      <w:r>
        <w:rPr>
          <w:rFonts w:hint="eastAsia"/>
          <w:sz w:val="24"/>
        </w:rPr>
        <w:tab/>
      </w:r>
    </w:p>
    <w:p>
      <w:pPr>
        <w:spacing w:line="360" w:lineRule="auto"/>
        <w:ind w:firstLine="482"/>
        <w:rPr>
          <w:rStyle w:val="46"/>
          <w:rFonts w:ascii="宋体" w:hAnsi="宋体"/>
          <w:sz w:val="24"/>
        </w:rPr>
      </w:pPr>
      <w:r>
        <w:rPr>
          <w:rFonts w:hint="eastAsia" w:ascii="宋体" w:hAnsi="宋体"/>
          <w:sz w:val="24"/>
          <w:szCs w:val="24"/>
        </w:rPr>
        <w:t>3、</w:t>
      </w:r>
      <w:r>
        <w:rPr>
          <w:rStyle w:val="46"/>
          <w:rFonts w:ascii="宋体" w:hAnsi="宋体"/>
          <w:sz w:val="24"/>
        </w:rPr>
        <w:t>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pStyle w:val="35"/>
        <w:snapToGrid w:val="0"/>
        <w:spacing w:line="360" w:lineRule="auto"/>
        <w:ind w:firstLineChars="0"/>
        <w:rPr>
          <w:rFonts w:ascii="宋体" w:hAnsi="宋体"/>
          <w:sz w:val="24"/>
          <w:szCs w:val="24"/>
        </w:rPr>
      </w:pPr>
      <w:r>
        <w:rPr>
          <w:rFonts w:hint="eastAsia" w:ascii="宋体" w:hAnsi="宋体"/>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35"/>
        <w:snapToGrid w:val="0"/>
        <w:spacing w:line="360" w:lineRule="auto"/>
        <w:ind w:firstLineChars="0"/>
        <w:rPr>
          <w:rFonts w:ascii="宋体" w:hAnsi="宋体"/>
          <w:sz w:val="24"/>
          <w:szCs w:val="24"/>
        </w:rPr>
      </w:pPr>
      <w:r>
        <w:rPr>
          <w:rFonts w:hint="eastAsia" w:ascii="宋体" w:hAnsi="宋体"/>
          <w:sz w:val="24"/>
          <w:szCs w:val="24"/>
        </w:rPr>
        <w:t>5、为采购项目提供整体</w:t>
      </w:r>
      <w:r>
        <w:rPr>
          <w:rFonts w:hint="eastAsia" w:ascii="宋体" w:hAnsi="宋体"/>
          <w:sz w:val="24"/>
          <w:szCs w:val="24"/>
          <w:lang w:eastAsia="zh-CN"/>
        </w:rPr>
        <w:t>规划</w:t>
      </w:r>
      <w:r>
        <w:rPr>
          <w:rFonts w:hint="eastAsia" w:ascii="宋体" w:hAnsi="宋体"/>
          <w:sz w:val="24"/>
          <w:szCs w:val="24"/>
        </w:rPr>
        <w:t>、规范编制或者项目管理、监理、检测等服务的供应商，不得再参加该采购项目的其他采购活动。</w:t>
      </w:r>
    </w:p>
    <w:p>
      <w:pPr>
        <w:pStyle w:val="35"/>
        <w:snapToGrid w:val="0"/>
        <w:spacing w:line="360" w:lineRule="auto"/>
        <w:ind w:firstLineChars="0"/>
        <w:rPr>
          <w:rFonts w:ascii="宋体" w:hAnsi="宋体"/>
          <w:sz w:val="24"/>
          <w:szCs w:val="24"/>
        </w:rPr>
      </w:pPr>
      <w:r>
        <w:rPr>
          <w:rFonts w:hint="eastAsia" w:ascii="宋体" w:hAnsi="宋体"/>
          <w:sz w:val="24"/>
          <w:szCs w:val="24"/>
        </w:rPr>
        <w:t>6、磋商响应文件格式中的表格式样可以根据项目差别做适当调整,但应当保持表格样式基本形态不变。</w:t>
      </w:r>
    </w:p>
    <w:p>
      <w:pPr>
        <w:pStyle w:val="35"/>
        <w:snapToGrid w:val="0"/>
        <w:spacing w:line="360" w:lineRule="auto"/>
        <w:ind w:firstLineChars="0"/>
        <w:rPr>
          <w:rFonts w:ascii="宋体" w:hAnsi="宋体"/>
          <w:sz w:val="24"/>
          <w:szCs w:val="24"/>
        </w:rPr>
      </w:pPr>
      <w:r>
        <w:rPr>
          <w:rFonts w:hint="eastAsia" w:ascii="宋体" w:hAnsi="宋体"/>
          <w:sz w:val="24"/>
          <w:szCs w:val="24"/>
        </w:rPr>
        <w:t>7、单位负责人为同一人或者存在直接控股、管理关系的不同供应商，不得参加同一合同项下的采购活动。</w:t>
      </w:r>
    </w:p>
    <w:p>
      <w:pPr>
        <w:pStyle w:val="35"/>
        <w:snapToGrid w:val="0"/>
        <w:spacing w:line="360" w:lineRule="auto"/>
        <w:ind w:firstLineChars="0"/>
        <w:rPr>
          <w:rFonts w:ascii="宋体" w:hAnsi="宋体"/>
          <w:sz w:val="24"/>
          <w:szCs w:val="24"/>
        </w:rPr>
      </w:pPr>
      <w:r>
        <w:rPr>
          <w:rFonts w:hint="eastAsia" w:ascii="宋体" w:hAnsi="宋体"/>
          <w:sz w:val="24"/>
          <w:szCs w:val="24"/>
        </w:rPr>
        <w:t>8、本项目不允许分包。</w:t>
      </w:r>
    </w:p>
    <w:p>
      <w:pPr>
        <w:pStyle w:val="5"/>
        <w:rPr>
          <w:sz w:val="36"/>
          <w:szCs w:val="36"/>
        </w:rPr>
      </w:pPr>
      <w:bookmarkStart w:id="5" w:name="_Toc16598"/>
      <w:r>
        <w:rPr>
          <w:rFonts w:hint="eastAsia"/>
          <w:sz w:val="36"/>
          <w:szCs w:val="36"/>
        </w:rPr>
        <w:t>二、磋商</w:t>
      </w:r>
      <w:r>
        <w:rPr>
          <w:sz w:val="36"/>
          <w:szCs w:val="36"/>
        </w:rPr>
        <w:t>响应</w:t>
      </w:r>
      <w:r>
        <w:rPr>
          <w:rFonts w:hint="eastAsia"/>
          <w:sz w:val="36"/>
          <w:szCs w:val="36"/>
        </w:rPr>
        <w:t>文件</w:t>
      </w:r>
      <w:bookmarkEnd w:id="5"/>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（一）磋商</w:t>
      </w:r>
      <w:r>
        <w:rPr>
          <w:rFonts w:ascii="宋体" w:hAnsi="宋体"/>
          <w:b/>
          <w:color w:val="000000"/>
          <w:kern w:val="0"/>
          <w:sz w:val="24"/>
        </w:rPr>
        <w:t>响应文件的</w:t>
      </w:r>
      <w:r>
        <w:rPr>
          <w:rFonts w:hint="eastAsia" w:ascii="宋体" w:hAnsi="宋体"/>
          <w:b/>
          <w:color w:val="000000"/>
          <w:kern w:val="0"/>
          <w:sz w:val="24"/>
        </w:rPr>
        <w:t>组成</w:t>
      </w:r>
    </w:p>
    <w:p>
      <w:pPr>
        <w:snapToGrid w:val="0"/>
        <w:spacing w:line="360" w:lineRule="auto"/>
        <w:ind w:firstLine="480" w:firstLineChars="200"/>
        <w:rPr>
          <w:rFonts w:ascii="仿宋_GB2312" w:hAnsi="仿宋_GB2312" w:eastAsia="仿宋_GB2312" w:cs="仿宋_GB2312"/>
          <w:sz w:val="24"/>
          <w:lang w:val="zh-CN"/>
        </w:rPr>
      </w:pPr>
      <w:r>
        <w:rPr>
          <w:rFonts w:hint="eastAsia" w:ascii="宋体"/>
          <w:kern w:val="0"/>
          <w:sz w:val="24"/>
        </w:rPr>
        <w:t>供应商应仔细阅读磋商采购文件的所有内容，按磋商采购文件的要求，详细编制磋商响应文件</w:t>
      </w:r>
      <w:r>
        <w:rPr>
          <w:rFonts w:hAnsi="宋体"/>
          <w:sz w:val="24"/>
        </w:rPr>
        <w:t>。</w:t>
      </w:r>
      <w:r>
        <w:rPr>
          <w:rFonts w:hint="eastAsia" w:ascii="宋体" w:hAnsi="宋体"/>
          <w:kern w:val="0"/>
          <w:sz w:val="24"/>
          <w:lang w:val="zh-CN"/>
        </w:rPr>
        <w:t>【特别提示：如有要求提供资料原件的，原件另行包装，资料原件也可以用与原件相符的公证原件替代】</w:t>
      </w:r>
    </w:p>
    <w:p>
      <w:pPr>
        <w:snapToGrid w:val="0"/>
        <w:spacing w:line="360" w:lineRule="auto"/>
        <w:ind w:firstLine="482" w:firstLineChars="200"/>
        <w:rPr>
          <w:rFonts w:ascii="宋体" w:hAnsi="宋体"/>
          <w:kern w:val="0"/>
          <w:sz w:val="24"/>
        </w:rPr>
      </w:pPr>
      <w:r>
        <w:rPr>
          <w:rFonts w:hint="eastAsia" w:ascii="宋体" w:hAnsi="宋体"/>
          <w:b/>
          <w:sz w:val="24"/>
        </w:rPr>
        <w:t>1、资格证明内容的组成：</w:t>
      </w:r>
    </w:p>
    <w:p>
      <w:pPr>
        <w:pStyle w:val="11"/>
        <w:spacing w:line="420" w:lineRule="exact"/>
        <w:ind w:firstLine="475" w:firstLineChars="198"/>
        <w:rPr>
          <w:rFonts w:hint="eastAsia" w:hAnsi="宋体" w:cs="宋体"/>
          <w:sz w:val="24"/>
        </w:rPr>
      </w:pPr>
      <w:r>
        <w:rPr>
          <w:rFonts w:hint="eastAsia" w:hAnsi="宋体" w:cs="宋体"/>
          <w:sz w:val="24"/>
        </w:rPr>
        <w:t>（1）磋商声明书（附件2）；</w:t>
      </w:r>
    </w:p>
    <w:p>
      <w:pPr>
        <w:pStyle w:val="11"/>
        <w:spacing w:line="420" w:lineRule="exact"/>
        <w:ind w:firstLine="475" w:firstLineChars="198"/>
        <w:rPr>
          <w:rFonts w:hAnsi="宋体" w:cs="宋体"/>
          <w:sz w:val="24"/>
        </w:rPr>
      </w:pPr>
      <w:r>
        <w:rPr>
          <w:rFonts w:hint="eastAsia" w:hAnsi="宋体" w:cs="宋体"/>
          <w:sz w:val="24"/>
        </w:rPr>
        <w:t>（2）授权委托书（附件3）；</w:t>
      </w:r>
    </w:p>
    <w:p>
      <w:pPr>
        <w:pStyle w:val="11"/>
        <w:spacing w:line="420" w:lineRule="exact"/>
        <w:ind w:firstLine="475" w:firstLineChars="198"/>
        <w:rPr>
          <w:rFonts w:hAnsi="宋体" w:cs="宋体"/>
          <w:sz w:val="24"/>
        </w:rPr>
      </w:pPr>
      <w:r>
        <w:rPr>
          <w:rFonts w:hint="eastAsia" w:hAnsi="宋体" w:cs="宋体"/>
          <w:sz w:val="24"/>
        </w:rPr>
        <w:t>（3）提供有效的营业执照复印件；如事业单位参加投标的，则提供有效的《事业单位法人证书》复印件；</w:t>
      </w:r>
    </w:p>
    <w:p>
      <w:pPr>
        <w:pStyle w:val="11"/>
        <w:spacing w:line="420" w:lineRule="exact"/>
        <w:ind w:firstLine="475" w:firstLineChars="198"/>
        <w:rPr>
          <w:rFonts w:hAnsi="宋体" w:cs="宋体"/>
          <w:sz w:val="24"/>
        </w:rPr>
      </w:pPr>
      <w:r>
        <w:rPr>
          <w:rFonts w:hint="eastAsia" w:hAnsi="宋体" w:cs="宋体"/>
          <w:sz w:val="24"/>
        </w:rPr>
        <w:t>（4）提供最近年度的资产负债表、利润表，或者银行出具的资信证明；</w:t>
      </w:r>
    </w:p>
    <w:p>
      <w:pPr>
        <w:pStyle w:val="11"/>
        <w:spacing w:line="420" w:lineRule="exact"/>
        <w:ind w:firstLine="475" w:firstLineChars="198"/>
        <w:rPr>
          <w:rFonts w:hAnsi="宋体" w:cs="宋体"/>
          <w:sz w:val="24"/>
        </w:rPr>
      </w:pPr>
      <w:r>
        <w:rPr>
          <w:rFonts w:hint="eastAsia" w:hAnsi="宋体" w:cs="宋体"/>
          <w:sz w:val="24"/>
        </w:rPr>
        <w:t>（5）</w:t>
      </w:r>
      <w:r>
        <w:rPr>
          <w:rFonts w:hint="eastAsia" w:hAnsi="宋体" w:cs="宋体"/>
          <w:kern w:val="21"/>
          <w:sz w:val="24"/>
          <w:lang w:val="zh-CN"/>
        </w:rPr>
        <w:t>提供</w:t>
      </w:r>
      <w:r>
        <w:rPr>
          <w:rFonts w:hint="eastAsia" w:hAnsi="宋体" w:cs="宋体"/>
          <w:sz w:val="24"/>
        </w:rPr>
        <w:t>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360" w:lineRule="auto"/>
        <w:ind w:firstLine="480" w:firstLineChars="200"/>
        <w:rPr>
          <w:rFonts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宋体" w:hAnsi="宋体"/>
          <w:b/>
          <w:sz w:val="24"/>
        </w:rPr>
        <w:t>2、商务与技术内容的组成：</w:t>
      </w:r>
    </w:p>
    <w:p>
      <w:pPr>
        <w:snapToGrid w:val="0"/>
        <w:spacing w:line="420" w:lineRule="exact"/>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供应商情况介绍（附件4）；</w:t>
      </w:r>
    </w:p>
    <w:p>
      <w:pPr>
        <w:spacing w:line="420" w:lineRule="exact"/>
        <w:ind w:right="-108" w:firstLine="480" w:firstLineChars="200"/>
        <w:rPr>
          <w:rFonts w:ascii="宋体" w:hAnsi="宋体" w:cs="宋体"/>
          <w:sz w:val="24"/>
        </w:rPr>
      </w:pPr>
      <w:r>
        <w:rPr>
          <w:rFonts w:hint="eastAsia" w:ascii="宋体" w:hAnsi="宋体" w:cs="宋体"/>
          <w:sz w:val="24"/>
        </w:rPr>
        <w:t>（2）、商务及技术响应表（附件5）；</w:t>
      </w:r>
    </w:p>
    <w:p>
      <w:pPr>
        <w:spacing w:line="420" w:lineRule="exact"/>
        <w:ind w:right="-108" w:firstLine="480" w:firstLineChars="200"/>
        <w:rPr>
          <w:rFonts w:ascii="宋体" w:hAnsi="宋体" w:cs="宋体"/>
          <w:sz w:val="24"/>
        </w:rPr>
      </w:pPr>
      <w:r>
        <w:rPr>
          <w:rFonts w:hint="eastAsia" w:ascii="宋体" w:hAnsi="宋体" w:cs="宋体"/>
          <w:sz w:val="24"/>
        </w:rPr>
        <w:t>（3）、类似项目业绩一览表（附件6）；</w:t>
      </w:r>
    </w:p>
    <w:p>
      <w:pPr>
        <w:spacing w:line="420" w:lineRule="exact"/>
        <w:ind w:right="-108" w:firstLine="480" w:firstLineChars="200"/>
        <w:rPr>
          <w:rFonts w:ascii="宋体" w:hAnsi="宋体" w:cs="宋体"/>
          <w:sz w:val="24"/>
        </w:rPr>
      </w:pPr>
      <w:r>
        <w:rPr>
          <w:rFonts w:hint="eastAsia" w:ascii="宋体" w:hAnsi="宋体" w:cs="宋体"/>
          <w:sz w:val="24"/>
        </w:rPr>
        <w:t>（4）、项目实施人员一览表（附件7）；</w:t>
      </w:r>
    </w:p>
    <w:p>
      <w:pPr>
        <w:spacing w:line="420" w:lineRule="exact"/>
        <w:ind w:right="-108" w:firstLine="480" w:firstLineChars="200"/>
        <w:rPr>
          <w:rFonts w:ascii="宋体" w:hAnsi="宋体"/>
          <w:sz w:val="24"/>
        </w:rPr>
      </w:pPr>
      <w:r>
        <w:rPr>
          <w:rFonts w:hint="eastAsia" w:ascii="宋体" w:hAnsi="宋体"/>
          <w:sz w:val="24"/>
        </w:rPr>
        <w:t>（5）、对本项目采购需求的理解、技术服务方案、</w:t>
      </w:r>
      <w:r>
        <w:rPr>
          <w:rFonts w:hint="eastAsia" w:cs="宋体" w:asciiTheme="minorEastAsia" w:hAnsiTheme="minorEastAsia" w:eastAsiaTheme="minorEastAsia"/>
          <w:kern w:val="0"/>
          <w:sz w:val="24"/>
        </w:rPr>
        <w:t>项目组织实施方案</w:t>
      </w:r>
      <w:r>
        <w:rPr>
          <w:rFonts w:ascii="宋体" w:hAnsi="宋体"/>
          <w:color w:val="000000"/>
          <w:kern w:val="0"/>
          <w:sz w:val="24"/>
        </w:rPr>
        <w:t>、</w:t>
      </w:r>
      <w:r>
        <w:rPr>
          <w:rFonts w:hint="eastAsia" w:cs="宋体" w:asciiTheme="minorEastAsia" w:hAnsiTheme="minorEastAsia" w:eastAsiaTheme="minorEastAsia"/>
          <w:kern w:val="0"/>
          <w:sz w:val="24"/>
        </w:rPr>
        <w:t>培训计划及维护能力、售后服务及技术团队</w:t>
      </w:r>
      <w:r>
        <w:rPr>
          <w:rFonts w:hint="eastAsia" w:ascii="宋体" w:hAnsi="宋体"/>
          <w:sz w:val="24"/>
        </w:rPr>
        <w:t>等]（格式自拟）；</w:t>
      </w:r>
    </w:p>
    <w:p>
      <w:pPr>
        <w:spacing w:line="420" w:lineRule="exact"/>
        <w:ind w:right="-108" w:firstLine="480" w:firstLineChars="200"/>
        <w:rPr>
          <w:rFonts w:ascii="宋体" w:hAnsi="宋体" w:cs="宋体"/>
          <w:sz w:val="24"/>
        </w:rPr>
      </w:pPr>
      <w:r>
        <w:rPr>
          <w:rFonts w:hint="eastAsia" w:ascii="宋体" w:hAnsi="宋体" w:cs="宋体"/>
          <w:sz w:val="24"/>
        </w:rPr>
        <w:t>（6）、供应商认为需要提供的其他资料（包括可能影响供应商商务与技术内容评分的各类证明材料）；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3、报价内容的组成</w:t>
      </w:r>
    </w:p>
    <w:p>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（1）报价内容的组成</w:t>
      </w:r>
    </w:p>
    <w:p>
      <w:pPr>
        <w:spacing w:line="420" w:lineRule="exact"/>
        <w:ind w:right="-108" w:firstLine="720" w:firstLineChars="300"/>
        <w:rPr>
          <w:rFonts w:ascii="宋体" w:hAnsi="宋体" w:cs="宋体"/>
          <w:sz w:val="24"/>
        </w:rPr>
      </w:pPr>
      <w:r>
        <w:rPr>
          <w:rFonts w:hint="eastAsia" w:ascii="宋体" w:hAnsi="宋体" w:cs="宋体"/>
          <w:sz w:val="24"/>
        </w:rPr>
        <w:t>1、首次报价一览表 （见附件8）；</w:t>
      </w:r>
    </w:p>
    <w:p>
      <w:pPr>
        <w:spacing w:line="420" w:lineRule="exact"/>
        <w:ind w:right="-108" w:firstLine="720" w:firstLineChars="300"/>
        <w:rPr>
          <w:rFonts w:ascii="宋体"/>
          <w:color w:val="7030A0"/>
          <w:kern w:val="0"/>
          <w:sz w:val="24"/>
        </w:rPr>
      </w:pPr>
      <w:r>
        <w:rPr>
          <w:rFonts w:hint="eastAsia" w:ascii="宋体" w:hAnsi="宋体" w:cs="宋体"/>
          <w:sz w:val="24"/>
          <w:lang w:val="en-US" w:eastAsia="zh-CN"/>
        </w:rPr>
        <w:t>2</w:t>
      </w:r>
      <w:r>
        <w:rPr>
          <w:rFonts w:hint="eastAsia" w:ascii="宋体" w:hAnsi="宋体" w:cs="宋体"/>
          <w:sz w:val="24"/>
        </w:rPr>
        <w:t>、投标人认为其他需要说明的内容；</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hint="eastAsia" w:ascii="宋体" w:hAnsi="宋体"/>
          <w:color w:val="000000"/>
          <w:kern w:val="0"/>
          <w:sz w:val="24"/>
          <w:lang w:val="en-US" w:eastAsia="zh-CN"/>
        </w:rPr>
        <w:t>4</w:t>
      </w:r>
      <w:r>
        <w:rPr>
          <w:rFonts w:hint="eastAsia" w:ascii="宋体" w:hAnsi="宋体"/>
          <w:color w:val="000000"/>
          <w:kern w:val="0"/>
          <w:sz w:val="24"/>
        </w:rPr>
        <w:t>）相关报价表需打印或用不退色的墨水填写， 磋商响应报价表不得涂改和增删，如有错漏必须修改，修改处须由同一签署人签字或盖章。由于字迹模糊或表达不清引起的后果由供应商负责。</w:t>
      </w:r>
    </w:p>
    <w:p>
      <w:pPr>
        <w:numPr>
          <w:ilvl w:val="0"/>
          <w:numId w:val="0"/>
        </w:numPr>
        <w:snapToGrid w:val="0"/>
        <w:spacing w:line="360" w:lineRule="auto"/>
        <w:ind w:firstLine="480" w:firstLineChars="200"/>
        <w:rPr>
          <w:rFonts w:ascii="宋体" w:hAnsi="宋体" w:cs="宋体"/>
          <w:sz w:val="24"/>
          <w:lang w:val="zh-CN"/>
        </w:rPr>
      </w:pPr>
      <w:r>
        <w:rPr>
          <w:rFonts w:hint="eastAsia" w:ascii="宋体" w:hAnsi="宋体"/>
          <w:color w:val="000000"/>
          <w:sz w:val="24"/>
          <w:lang w:eastAsia="zh-CN"/>
        </w:rPr>
        <w:t>（</w:t>
      </w:r>
      <w:r>
        <w:rPr>
          <w:rFonts w:hint="eastAsia" w:ascii="宋体" w:hAnsi="宋体"/>
          <w:color w:val="000000"/>
          <w:sz w:val="24"/>
          <w:lang w:val="en-US" w:eastAsia="zh-CN"/>
        </w:rPr>
        <w:t>5）</w:t>
      </w: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磋商采购</w:t>
      </w:r>
      <w:r>
        <w:rPr>
          <w:rFonts w:ascii="宋体" w:hAnsi="宋体"/>
          <w:color w:val="000000"/>
          <w:sz w:val="24"/>
        </w:rPr>
        <w:t>文件中相关附表格式填写。</w:t>
      </w:r>
    </w:p>
    <w:p>
      <w:pPr>
        <w:numPr>
          <w:ilvl w:val="0"/>
          <w:numId w:val="2"/>
        </w:numPr>
        <w:snapToGrid w:val="0"/>
        <w:spacing w:line="360" w:lineRule="auto"/>
        <w:rPr>
          <w:rFonts w:ascii="宋体" w:hAnsi="宋体" w:cs="宋体"/>
          <w:sz w:val="24"/>
          <w:lang w:val="zh-CN"/>
        </w:rPr>
      </w:pPr>
      <w:r>
        <w:rPr>
          <w:rFonts w:hint="eastAsia" w:ascii="宋体" w:hAnsi="宋体"/>
          <w:b/>
          <w:bCs/>
          <w:kern w:val="0"/>
          <w:sz w:val="24"/>
        </w:rPr>
        <w:t>磋商响应文件的制作、封装及递交要求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1、磋商响应文件的制作要求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（1）供应商应按照磋商响应文件组成内容及项目磋商需求制作磋商响应文件，</w:t>
      </w:r>
      <w:r>
        <w:rPr>
          <w:rFonts w:hint="eastAsia" w:ascii="宋体" w:hAnsi="宋体"/>
          <w:color w:val="000000"/>
          <w:kern w:val="0"/>
          <w:sz w:val="24"/>
        </w:rPr>
        <w:t>不按</w:t>
      </w:r>
      <w:r>
        <w:rPr>
          <w:rFonts w:hint="eastAsia" w:ascii="宋体" w:hAnsi="宋体"/>
          <w:bCs/>
          <w:sz w:val="24"/>
        </w:rPr>
        <w:t>磋商采购文件</w:t>
      </w:r>
      <w:r>
        <w:rPr>
          <w:rFonts w:hint="eastAsia" w:ascii="宋体" w:hAnsi="宋体"/>
          <w:color w:val="000000"/>
          <w:kern w:val="0"/>
          <w:sz w:val="24"/>
        </w:rPr>
        <w:t>要求制作</w:t>
      </w:r>
      <w:r>
        <w:rPr>
          <w:rFonts w:hint="eastAsia" w:ascii="宋体" w:hAnsi="宋体"/>
          <w:color w:val="000000"/>
          <w:sz w:val="24"/>
        </w:rPr>
        <w:t>磋商响应文件</w:t>
      </w:r>
      <w:r>
        <w:rPr>
          <w:rFonts w:hint="eastAsia" w:ascii="宋体" w:hAnsi="宋体"/>
          <w:color w:val="000000"/>
          <w:kern w:val="0"/>
          <w:sz w:val="24"/>
        </w:rPr>
        <w:t>的将视情处理（拒收、扣分等），由此产生的责任由</w:t>
      </w:r>
      <w:r>
        <w:rPr>
          <w:rFonts w:hint="eastAsia" w:ascii="宋体" w:hAnsi="宋体"/>
          <w:color w:val="000000"/>
          <w:sz w:val="24"/>
        </w:rPr>
        <w:t>磋商供应商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（2）供应商应对所提供的全部资料的真实性承担法律责任，磋商响应文件</w:t>
      </w:r>
      <w:r>
        <w:rPr>
          <w:rFonts w:hint="eastAsia" w:ascii="宋体" w:hAnsi="宋体"/>
          <w:kern w:val="0"/>
          <w:sz w:val="24"/>
          <w:lang w:val="zh-CN"/>
        </w:rPr>
        <w:t>内容中有要求盖章或签字的地方，必须加盖</w:t>
      </w:r>
      <w:r>
        <w:rPr>
          <w:rFonts w:hint="eastAsia" w:ascii="宋体" w:hAnsi="宋体"/>
          <w:color w:val="000000"/>
          <w:sz w:val="24"/>
        </w:rPr>
        <w:t>磋商供应商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磋商响应文件</w:t>
      </w:r>
      <w:r>
        <w:rPr>
          <w:rFonts w:ascii="宋体" w:hAnsi="宋体"/>
          <w:sz w:val="24"/>
        </w:rPr>
        <w:t>以及</w:t>
      </w:r>
      <w:r>
        <w:rPr>
          <w:rFonts w:hint="eastAsia" w:ascii="宋体" w:hAnsi="宋体"/>
          <w:sz w:val="24"/>
        </w:rPr>
        <w:t>磋商供应商</w:t>
      </w:r>
      <w:r>
        <w:rPr>
          <w:rFonts w:ascii="宋体" w:hAnsi="宋体"/>
          <w:sz w:val="24"/>
        </w:rPr>
        <w:t>与</w:t>
      </w:r>
      <w:r>
        <w:rPr>
          <w:rFonts w:hint="eastAsia" w:ascii="宋体" w:hAnsi="宋体"/>
          <w:sz w:val="24"/>
        </w:rPr>
        <w:t>采购组织机构</w:t>
      </w:r>
      <w:r>
        <w:rPr>
          <w:rFonts w:ascii="宋体" w:hAnsi="宋体"/>
          <w:sz w:val="24"/>
        </w:rPr>
        <w:t>就有关磋商</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磋商响应文件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磋商计量单位，</w:t>
      </w:r>
      <w:r>
        <w:rPr>
          <w:rFonts w:hint="eastAsia" w:ascii="宋体" w:hAnsi="宋体"/>
          <w:bCs/>
          <w:sz w:val="24"/>
        </w:rPr>
        <w:t>磋商采购文件</w:t>
      </w:r>
      <w:r>
        <w:rPr>
          <w:rFonts w:ascii="宋体" w:hAnsi="宋体"/>
          <w:color w:val="000000"/>
          <w:sz w:val="24"/>
        </w:rPr>
        <w:t>已有明确规定的，使用</w:t>
      </w:r>
      <w:r>
        <w:rPr>
          <w:rFonts w:hint="eastAsia" w:ascii="宋体" w:hAnsi="宋体"/>
          <w:bCs/>
          <w:sz w:val="24"/>
        </w:rPr>
        <w:t>磋商采购文件</w:t>
      </w:r>
      <w:r>
        <w:rPr>
          <w:rFonts w:ascii="宋体" w:hAnsi="宋体"/>
          <w:color w:val="000000"/>
          <w:sz w:val="24"/>
        </w:rPr>
        <w:t>规定的计量单位；</w:t>
      </w:r>
      <w:r>
        <w:rPr>
          <w:rFonts w:hint="eastAsia" w:ascii="宋体" w:hAnsi="宋体"/>
          <w:bCs/>
          <w:sz w:val="24"/>
        </w:rPr>
        <w:t>磋商采购文件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磋商供应商</w:t>
      </w:r>
      <w:r>
        <w:rPr>
          <w:rFonts w:ascii="宋体" w:hAnsi="宋体"/>
          <w:color w:val="000000"/>
          <w:sz w:val="24"/>
        </w:rPr>
        <w:t>不按采购文件的要求提供资格审查材料，其风险由</w:t>
      </w:r>
      <w:r>
        <w:rPr>
          <w:rFonts w:hint="eastAsia" w:ascii="宋体" w:hAnsi="宋体"/>
          <w:color w:val="000000"/>
          <w:sz w:val="24"/>
        </w:rPr>
        <w:t>磋商供应商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2、磋商响应文件的封装要求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（1）磋商响应文件份</w:t>
      </w:r>
      <w:r>
        <w:rPr>
          <w:rFonts w:hint="eastAsia" w:ascii="宋体" w:hAnsi="宋体"/>
          <w:sz w:val="24"/>
        </w:rPr>
        <w:t>数：</w:t>
      </w:r>
      <w:r>
        <w:rPr>
          <w:rFonts w:hint="eastAsia" w:ascii="宋体"/>
          <w:bCs/>
          <w:sz w:val="24"/>
          <w:lang w:val="zh-CN"/>
        </w:rPr>
        <w:t>磋商响应文件共</w:t>
      </w:r>
      <w:r>
        <w:rPr>
          <w:rFonts w:hint="eastAsia" w:ascii="宋体" w:hAnsi="宋体"/>
          <w:bCs/>
          <w:sz w:val="24"/>
          <w:u w:val="single"/>
        </w:rPr>
        <w:t xml:space="preserve"> </w:t>
      </w:r>
      <w:r>
        <w:rPr>
          <w:rFonts w:hint="eastAsia" w:ascii="宋体" w:hAnsi="宋体"/>
          <w:bCs/>
          <w:sz w:val="24"/>
          <w:u w:val="single"/>
          <w:lang w:val="en-US" w:eastAsia="zh-CN"/>
        </w:rPr>
        <w:t xml:space="preserve">3 </w:t>
      </w:r>
      <w:r>
        <w:rPr>
          <w:rFonts w:hint="eastAsia" w:ascii="宋体" w:hAnsi="宋体"/>
          <w:bCs/>
          <w:sz w:val="24"/>
          <w:lang w:val="zh-CN"/>
        </w:rPr>
        <w:t>份</w:t>
      </w:r>
      <w:r>
        <w:rPr>
          <w:rFonts w:hint="eastAsia" w:ascii="宋体"/>
          <w:bCs/>
          <w:sz w:val="24"/>
          <w:lang w:val="zh-CN"/>
        </w:rPr>
        <w:t>（</w:t>
      </w:r>
      <w:r>
        <w:rPr>
          <w:rFonts w:hint="eastAsia" w:ascii="宋体" w:hAnsi="宋体"/>
          <w:bCs/>
          <w:sz w:val="24"/>
          <w:u w:val="single"/>
        </w:rPr>
        <w:t xml:space="preserve"> 1</w:t>
      </w:r>
      <w:r>
        <w:rPr>
          <w:rFonts w:hint="eastAsia" w:ascii="宋体"/>
          <w:bCs/>
          <w:sz w:val="24"/>
          <w:lang w:val="zh-CN"/>
        </w:rPr>
        <w:t>正本</w:t>
      </w:r>
      <w:r>
        <w:rPr>
          <w:rFonts w:hint="eastAsia" w:ascii="宋体" w:hAnsi="宋体"/>
          <w:bCs/>
          <w:sz w:val="24"/>
          <w:u w:val="single"/>
        </w:rPr>
        <w:t xml:space="preserve"> </w:t>
      </w:r>
      <w:r>
        <w:rPr>
          <w:rFonts w:hint="eastAsia" w:ascii="宋体" w:hAnsi="宋体"/>
          <w:bCs/>
          <w:sz w:val="24"/>
          <w:u w:val="single"/>
          <w:lang w:val="en-US" w:eastAsia="zh-CN"/>
        </w:rPr>
        <w:t xml:space="preserve">2 </w:t>
      </w:r>
      <w:r>
        <w:rPr>
          <w:rFonts w:hint="eastAsia" w:ascii="宋体"/>
          <w:bCs/>
          <w:sz w:val="24"/>
          <w:lang w:val="zh-CN"/>
        </w:rPr>
        <w:t>副本，封装成一袋）</w:t>
      </w:r>
      <w:r>
        <w:rPr>
          <w:rFonts w:hint="eastAsia" w:ascii="宋体" w:hAnsi="宋体"/>
          <w:bCs/>
          <w:sz w:val="24"/>
          <w:lang w:val="zh-CN"/>
        </w:rPr>
        <w:t>。</w:t>
      </w:r>
      <w:r>
        <w:rPr>
          <w:rFonts w:hint="eastAsia" w:ascii="宋体" w:hAnsi="宋体"/>
          <w:bCs/>
          <w:color w:val="000000"/>
          <w:sz w:val="24"/>
          <w:lang w:val="zh-CN"/>
        </w:rPr>
        <w:t>磋商响应文件的正本封面必须注明“正本”字样，副本可以采用正本的复印件。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（2）所有磋商响应资料按磋商采购文件的组成所列内容及顺序装订成册，</w:t>
      </w:r>
      <w:r>
        <w:rPr>
          <w:rFonts w:hint="eastAsia" w:ascii="宋体" w:hAnsi="宋体"/>
          <w:sz w:val="24"/>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kern w:val="0"/>
          <w:sz w:val="24"/>
        </w:rPr>
        <w:t>3、</w:t>
      </w:r>
      <w:r>
        <w:rPr>
          <w:rFonts w:hint="eastAsia" w:ascii="宋体" w:hAnsi="宋体"/>
          <w:b/>
          <w:color w:val="000000"/>
          <w:sz w:val="24"/>
        </w:rPr>
        <w:t>磋商响应文件的递交要求</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（1）磋商响应文件必须在规定时间前派人送达指定的磋商地点。磋商响应文件在截止时间后提交，采购组织机构将将拒绝接收。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（1）供应商如需对上交的磋商响应文件进行补充、修改或撤回的，必须在磋商响应截止时间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numPr>
          <w:ilvl w:val="0"/>
          <w:numId w:val="3"/>
        </w:num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kern w:val="0"/>
          <w:sz w:val="24"/>
        </w:rPr>
      </w:pPr>
      <w:r>
        <w:rPr>
          <w:rFonts w:hint="eastAsia" w:ascii="宋体" w:hAnsi="宋体"/>
          <w:b/>
          <w:kern w:val="0"/>
          <w:sz w:val="24"/>
        </w:rPr>
        <w:t>（三）磋商响应文件的有效期</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lang w:val="en-GB"/>
        </w:rPr>
      </w:pPr>
      <w:r>
        <w:rPr>
          <w:rFonts w:hint="eastAsia" w:ascii="宋体" w:hAnsi="宋体"/>
          <w:szCs w:val="24"/>
        </w:rPr>
        <w:t>1、</w:t>
      </w:r>
      <w:r>
        <w:rPr>
          <w:rFonts w:hint="eastAsia" w:ascii="宋体" w:hAnsi="宋体"/>
          <w:szCs w:val="24"/>
          <w:lang w:val="en-GB"/>
        </w:rPr>
        <w:t>自磋商响应截止日起90天磋商响应文件应保持有效。有效期不足的磋商响应文件将被拒绝。</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rPr>
      </w:pPr>
      <w:r>
        <w:rPr>
          <w:rFonts w:hint="eastAsia" w:ascii="宋体" w:hAnsi="宋体"/>
          <w:szCs w:val="24"/>
        </w:rPr>
        <w:t>2、在特殊情况下，采购人可与</w:t>
      </w:r>
      <w:r>
        <w:rPr>
          <w:rFonts w:hint="eastAsia" w:ascii="宋体" w:hAnsi="宋体"/>
          <w:color w:val="000000"/>
          <w:szCs w:val="24"/>
        </w:rPr>
        <w:t>磋商供应商</w:t>
      </w:r>
      <w:r>
        <w:rPr>
          <w:rFonts w:hint="eastAsia" w:ascii="宋体" w:hAnsi="宋体"/>
          <w:szCs w:val="24"/>
        </w:rPr>
        <w:t>协商延长磋商响应文件的有效期，这种要求和答复均以书面形式进行。</w:t>
      </w:r>
    </w:p>
    <w:p>
      <w:pPr>
        <w:pStyle w:val="7"/>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hint="eastAsia" w:ascii="宋体" w:hAnsi="宋体"/>
          <w:szCs w:val="24"/>
        </w:rPr>
        <w:t>3、</w:t>
      </w:r>
      <w:r>
        <w:rPr>
          <w:rFonts w:hint="eastAsia" w:ascii="宋体" w:hAnsi="宋体"/>
          <w:color w:val="000000"/>
          <w:szCs w:val="24"/>
        </w:rPr>
        <w:t>磋商供应商</w:t>
      </w:r>
      <w:r>
        <w:rPr>
          <w:rFonts w:hint="eastAsia" w:ascii="宋体" w:hAnsi="宋体"/>
          <w:szCs w:val="24"/>
        </w:rPr>
        <w:t>可拒绝接受延期要求而不会导致磋商保证金被没收。同意延长有效期的</w:t>
      </w:r>
      <w:r>
        <w:rPr>
          <w:rFonts w:hint="eastAsia" w:ascii="宋体" w:hAnsi="宋体"/>
          <w:color w:val="000000"/>
          <w:szCs w:val="24"/>
        </w:rPr>
        <w:t>磋商供应商</w:t>
      </w:r>
      <w:r>
        <w:rPr>
          <w:rFonts w:hint="eastAsia" w:ascii="宋体" w:hAnsi="宋体"/>
          <w:szCs w:val="24"/>
        </w:rPr>
        <w:t>需要相应延长磋商</w:t>
      </w:r>
      <w:r>
        <w:rPr>
          <w:rFonts w:ascii="宋体" w:hAnsi="宋体"/>
          <w:szCs w:val="24"/>
        </w:rPr>
        <w:t>保证金的有效期，但不能修改</w:t>
      </w:r>
      <w:r>
        <w:rPr>
          <w:rFonts w:hint="eastAsia" w:ascii="宋体" w:hAnsi="宋体"/>
          <w:color w:val="000000"/>
          <w:szCs w:val="24"/>
        </w:rPr>
        <w:t>磋商响应文件</w:t>
      </w:r>
      <w:r>
        <w:rPr>
          <w:rFonts w:ascii="宋体" w:hAnsi="宋体"/>
          <w:szCs w:val="24"/>
        </w:rPr>
        <w:t xml:space="preserve">。 </w:t>
      </w:r>
    </w:p>
    <w:p>
      <w:pPr>
        <w:pStyle w:val="7"/>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rPr>
        <w:t>磋商响应文件</w:t>
      </w:r>
      <w:r>
        <w:rPr>
          <w:rFonts w:ascii="宋体" w:hAnsi="宋体"/>
          <w:szCs w:val="24"/>
        </w:rPr>
        <w:t>自磋商之日起至合同履行完毕均应保持有效。</w:t>
      </w:r>
    </w:p>
    <w:p>
      <w:pPr>
        <w:pStyle w:val="5"/>
        <w:rPr>
          <w:color w:val="auto"/>
          <w:sz w:val="36"/>
          <w:szCs w:val="36"/>
          <w:highlight w:val="none"/>
        </w:rPr>
      </w:pPr>
      <w:bookmarkStart w:id="6" w:name="_Toc13321"/>
      <w:r>
        <w:rPr>
          <w:rFonts w:hint="eastAsia"/>
          <w:color w:val="auto"/>
          <w:sz w:val="36"/>
          <w:szCs w:val="36"/>
          <w:highlight w:val="none"/>
        </w:rPr>
        <w:t>三、磋商保证金</w:t>
      </w:r>
      <w:bookmarkEnd w:id="6"/>
    </w:p>
    <w:p>
      <w:pPr>
        <w:autoSpaceDE w:val="0"/>
        <w:autoSpaceDN w:val="0"/>
        <w:adjustRightInd w:val="0"/>
        <w:spacing w:line="360" w:lineRule="auto"/>
        <w:ind w:firstLine="475" w:firstLineChars="198"/>
        <w:rPr>
          <w:rFonts w:hint="eastAsia" w:ascii="宋体" w:hAnsi="宋体"/>
          <w:color w:val="auto"/>
          <w:sz w:val="24"/>
          <w:highlight w:val="none"/>
          <w:lang w:eastAsia="zh-CN"/>
        </w:rPr>
      </w:pPr>
      <w:r>
        <w:rPr>
          <w:rFonts w:hint="eastAsia" w:ascii="宋体" w:hAnsi="宋体"/>
          <w:color w:val="auto"/>
          <w:sz w:val="24"/>
          <w:highlight w:val="none"/>
          <w:lang w:eastAsia="zh-CN"/>
        </w:rPr>
        <w:t>本次投标不设磋商保证金。</w:t>
      </w:r>
    </w:p>
    <w:p>
      <w:pPr>
        <w:pStyle w:val="5"/>
        <w:rPr>
          <w:sz w:val="36"/>
          <w:szCs w:val="36"/>
        </w:rPr>
      </w:pPr>
      <w:bookmarkStart w:id="7" w:name="_Toc20831"/>
      <w:r>
        <w:rPr>
          <w:rFonts w:hint="eastAsia"/>
          <w:sz w:val="36"/>
          <w:szCs w:val="36"/>
        </w:rPr>
        <w:t>四、磋商</w:t>
      </w:r>
      <w:bookmarkEnd w:id="7"/>
    </w:p>
    <w:p>
      <w:pPr>
        <w:autoSpaceDE w:val="0"/>
        <w:autoSpaceDN w:val="0"/>
        <w:adjustRightInd w:val="0"/>
        <w:spacing w:line="360" w:lineRule="auto"/>
        <w:rPr>
          <w:rFonts w:ascii="宋体" w:hAnsi="宋体"/>
          <w:kern w:val="0"/>
          <w:sz w:val="24"/>
        </w:rPr>
      </w:pPr>
      <w:r>
        <w:rPr>
          <w:rFonts w:hint="eastAsia" w:ascii="宋体" w:hAnsi="宋体"/>
          <w:b/>
          <w:color w:val="000000"/>
          <w:sz w:val="24"/>
        </w:rPr>
        <w:t>（一）磋商程序</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3、采购组织机构工作人员接收磋商响应文件并登记，并由供应商代表对递交记录情况进行签字确认。</w:t>
      </w:r>
    </w:p>
    <w:p>
      <w:pPr>
        <w:pStyle w:val="11"/>
        <w:snapToGrid w:val="0"/>
        <w:spacing w:line="360" w:lineRule="auto"/>
        <w:ind w:firstLine="480" w:firstLineChars="200"/>
        <w:rPr>
          <w:rFonts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磋商采购会议开始，介绍磋商现场的人员情况，宣读提交磋商响应文件的供应商名单、磋商纪律、应当回避的情形等注意事项，组织供应商签署不存在影响公平竞争的《采购活动现场确认声明书》。</w:t>
      </w:r>
    </w:p>
    <w:p>
      <w:pPr>
        <w:pStyle w:val="11"/>
        <w:snapToGrid w:val="0"/>
        <w:spacing w:line="360" w:lineRule="auto"/>
        <w:ind w:firstLine="480" w:firstLineChars="200"/>
        <w:rPr>
          <w:rFonts w:hAnsi="宋体"/>
          <w:color w:val="000000"/>
          <w:sz w:val="24"/>
        </w:rPr>
      </w:pPr>
      <w:r>
        <w:rPr>
          <w:rFonts w:hint="eastAsia" w:hAnsi="宋体"/>
          <w:color w:val="000000"/>
          <w:sz w:val="24"/>
        </w:rPr>
        <w:t>5、</w:t>
      </w:r>
      <w:r>
        <w:rPr>
          <w:rFonts w:hAnsi="宋体"/>
          <w:color w:val="000000"/>
          <w:sz w:val="24"/>
        </w:rPr>
        <w:t>对</w:t>
      </w:r>
      <w:r>
        <w:rPr>
          <w:rFonts w:hint="eastAsia" w:hAnsi="宋体"/>
          <w:color w:val="000000"/>
          <w:sz w:val="24"/>
        </w:rPr>
        <w:t>磋商</w:t>
      </w:r>
      <w:r>
        <w:rPr>
          <w:rFonts w:hAnsi="宋体"/>
          <w:color w:val="000000"/>
          <w:sz w:val="24"/>
        </w:rPr>
        <w:t>保证金缴纳情况进行查验、核实，提请</w:t>
      </w:r>
      <w:r>
        <w:rPr>
          <w:rFonts w:hint="eastAsia" w:hAnsi="宋体"/>
          <w:color w:val="000000"/>
          <w:sz w:val="24"/>
        </w:rPr>
        <w:t>供应商</w:t>
      </w:r>
      <w:r>
        <w:rPr>
          <w:rFonts w:hAnsi="宋体"/>
          <w:color w:val="000000"/>
          <w:sz w:val="24"/>
        </w:rPr>
        <w:t>代表查验</w:t>
      </w:r>
      <w:r>
        <w:rPr>
          <w:rFonts w:hint="eastAsia" w:hAnsi="宋体"/>
          <w:color w:val="000000"/>
          <w:sz w:val="24"/>
        </w:rPr>
        <w:t>磋商响应文件</w:t>
      </w:r>
      <w:r>
        <w:rPr>
          <w:rFonts w:hAnsi="宋体"/>
          <w:color w:val="000000"/>
          <w:sz w:val="24"/>
        </w:rPr>
        <w:t xml:space="preserve">密封情况。 </w:t>
      </w:r>
    </w:p>
    <w:p>
      <w:pPr>
        <w:spacing w:line="360" w:lineRule="auto"/>
        <w:ind w:firstLine="480" w:firstLineChars="200"/>
        <w:rPr>
          <w:rFonts w:ascii="宋体" w:hAnsi="宋体" w:cs="宋体"/>
          <w:sz w:val="24"/>
        </w:rPr>
      </w:pPr>
      <w:r>
        <w:rPr>
          <w:rFonts w:hint="eastAsia" w:ascii="宋体" w:hAnsi="宋体" w:cs="宋体"/>
          <w:sz w:val="24"/>
        </w:rPr>
        <w:t>6、主持人按磋商响应供应商签到的先后顺序当场拆封磋商文件，并送至评审场所。</w:t>
      </w:r>
    </w:p>
    <w:p>
      <w:pPr>
        <w:spacing w:line="360" w:lineRule="auto"/>
        <w:ind w:firstLine="480" w:firstLineChars="200"/>
        <w:rPr>
          <w:rFonts w:ascii="宋体" w:hAnsi="宋体" w:cs="宋体"/>
          <w:sz w:val="24"/>
        </w:rPr>
      </w:pPr>
      <w:r>
        <w:rPr>
          <w:rFonts w:hint="eastAsia" w:ascii="宋体" w:hAnsi="宋体" w:cs="宋体"/>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rPr>
      </w:pPr>
      <w:r>
        <w:rPr>
          <w:rFonts w:hint="eastAsia" w:ascii="宋体" w:hAnsi="宋体" w:cs="宋体"/>
          <w:sz w:val="24"/>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rPr>
      </w:pPr>
      <w:r>
        <w:rPr>
          <w:rFonts w:hint="eastAsia" w:ascii="宋体" w:hAnsi="宋体" w:cs="宋体"/>
          <w:sz w:val="24"/>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rPr>
      </w:pPr>
      <w:r>
        <w:rPr>
          <w:rFonts w:hint="eastAsia" w:ascii="宋体" w:hAnsi="宋体" w:cs="宋体"/>
          <w:sz w:val="24"/>
        </w:rPr>
        <w:t>11、经磋商确定最终采购需求和提交最后报价的供应商后，由磋商小组采用综合评分法对提交最后报价的供应商的响应文件和最后报价进行综合评分。</w:t>
      </w:r>
    </w:p>
    <w:p>
      <w:pPr>
        <w:pStyle w:val="11"/>
        <w:snapToGrid w:val="0"/>
        <w:spacing w:line="360" w:lineRule="auto"/>
        <w:ind w:firstLine="480" w:firstLineChars="200"/>
        <w:rPr>
          <w:rFonts w:hAnsi="宋体" w:cs="宋体"/>
          <w:sz w:val="24"/>
        </w:rPr>
      </w:pPr>
      <w:r>
        <w:rPr>
          <w:rFonts w:hint="eastAsia" w:hAnsi="宋体" w:cs="宋体"/>
          <w:sz w:val="24"/>
        </w:rPr>
        <w:t>12、磋商小组</w:t>
      </w:r>
      <w:r>
        <w:rPr>
          <w:rFonts w:hAnsi="宋体" w:cs="宋体"/>
          <w:sz w:val="24"/>
        </w:rPr>
        <w:t>根据综合评分情况，按照评审得分由高到低顺序</w:t>
      </w:r>
      <w:r>
        <w:rPr>
          <w:rFonts w:hint="eastAsia" w:hAnsi="宋体" w:cs="宋体"/>
          <w:sz w:val="24"/>
        </w:rPr>
        <w:t>确定预成交供应商，编写评审报告。</w:t>
      </w:r>
    </w:p>
    <w:p>
      <w:pPr>
        <w:pStyle w:val="11"/>
        <w:snapToGrid w:val="0"/>
        <w:spacing w:line="360" w:lineRule="auto"/>
        <w:ind w:firstLine="480" w:firstLineChars="200"/>
        <w:rPr>
          <w:rFonts w:hAnsi="宋体" w:cs="宋体"/>
          <w:sz w:val="24"/>
        </w:rPr>
      </w:pPr>
      <w:r>
        <w:rPr>
          <w:rFonts w:hint="eastAsia" w:hAnsi="宋体" w:cs="宋体"/>
          <w:sz w:val="24"/>
        </w:rPr>
        <w:t>13、采购组织机构对磋商小组专家成员进行评价；</w:t>
      </w:r>
    </w:p>
    <w:p>
      <w:pPr>
        <w:pStyle w:val="11"/>
        <w:snapToGrid w:val="0"/>
        <w:spacing w:line="360" w:lineRule="auto"/>
        <w:ind w:left="719" w:leftChars="228" w:hanging="240" w:hangingChars="100"/>
        <w:rPr>
          <w:rFonts w:hAnsi="宋体"/>
          <w:sz w:val="24"/>
        </w:rPr>
      </w:pPr>
      <w:r>
        <w:rPr>
          <w:rFonts w:hint="eastAsia" w:hAnsi="宋体"/>
          <w:sz w:val="24"/>
        </w:rPr>
        <w:t>14、</w:t>
      </w:r>
      <w:r>
        <w:rPr>
          <w:rFonts w:hint="eastAsia" w:hAnsi="宋体" w:cs="宋体"/>
          <w:sz w:val="24"/>
        </w:rPr>
        <w:t>主持人</w:t>
      </w:r>
      <w:r>
        <w:rPr>
          <w:rFonts w:hint="eastAsia" w:hAnsi="宋体"/>
          <w:sz w:val="24"/>
        </w:rPr>
        <w:t>到磋商采购会现场宣布磋商结果（含技术得分、最后报价、报价得分及总得分），磋商采购会议结束。</w:t>
      </w:r>
    </w:p>
    <w:p>
      <w:pPr>
        <w:pStyle w:val="11"/>
        <w:snapToGrid w:val="0"/>
        <w:spacing w:line="360" w:lineRule="auto"/>
        <w:ind w:left="720" w:leftChars="228" w:hanging="241" w:hangingChars="100"/>
        <w:rPr>
          <w:rFonts w:hAnsi="宋体"/>
          <w:sz w:val="24"/>
        </w:rPr>
      </w:pPr>
      <w:r>
        <w:rPr>
          <w:rFonts w:hint="eastAsia" w:hAnsi="宋体"/>
          <w:b/>
          <w:color w:val="000000"/>
          <w:sz w:val="24"/>
        </w:rPr>
        <w:t>（二）澄清问题的形式</w:t>
      </w:r>
    </w:p>
    <w:p>
      <w:pPr>
        <w:snapToGrid w:val="0"/>
        <w:spacing w:line="360" w:lineRule="auto"/>
        <w:ind w:firstLine="480" w:firstLineChars="200"/>
        <w:rPr>
          <w:rFonts w:ascii="宋体" w:hAnsi="宋体"/>
          <w:color w:val="000000"/>
          <w:sz w:val="24"/>
        </w:rPr>
      </w:pPr>
      <w:r>
        <w:rPr>
          <w:rFonts w:hint="eastAsia" w:ascii="宋体" w:hAnsi="宋体"/>
          <w:color w:val="000000"/>
          <w:sz w:val="24"/>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sz w:val="24"/>
        </w:rPr>
      </w:pPr>
      <w:r>
        <w:rPr>
          <w:rFonts w:hint="eastAsia" w:hAnsi="宋体"/>
          <w:b/>
          <w:color w:val="000000"/>
          <w:sz w:val="24"/>
        </w:rPr>
        <w:t>（三）错误修正</w:t>
      </w:r>
    </w:p>
    <w:p>
      <w:pPr>
        <w:pStyle w:val="18"/>
        <w:spacing w:before="0" w:beforeAutospacing="0" w:after="0" w:afterAutospacing="0" w:line="360" w:lineRule="auto"/>
        <w:ind w:firstLine="480" w:firstLineChars="200"/>
        <w:jc w:val="both"/>
        <w:rPr>
          <w:rFonts w:hint="default"/>
          <w:color w:val="000000"/>
        </w:rPr>
      </w:pPr>
      <w:r>
        <w:rPr>
          <w:color w:val="000000"/>
        </w:rPr>
        <w:t>磋商响应文件报价出现前后不一致的，除</w:t>
      </w:r>
      <w:r>
        <w:rPr>
          <w:bCs/>
        </w:rPr>
        <w:t>磋商采购文件</w:t>
      </w:r>
      <w:r>
        <w:rPr>
          <w:color w:val="000000"/>
        </w:rPr>
        <w:t>另有规定外，按照下列规定修正：</w:t>
      </w:r>
    </w:p>
    <w:p>
      <w:pPr>
        <w:pStyle w:val="18"/>
        <w:spacing w:before="0" w:beforeAutospacing="0" w:after="0" w:afterAutospacing="0" w:line="360" w:lineRule="auto"/>
        <w:jc w:val="both"/>
        <w:rPr>
          <w:rFonts w:hint="default"/>
          <w:color w:val="000000"/>
        </w:rPr>
      </w:pPr>
      <w:r>
        <w:rPr>
          <w:color w:val="000000"/>
        </w:rPr>
        <w:t>　　1、磋商响应文件中首次报价一览表内容与磋商响应文件中相应内容不一致的，以首次报价一览表为准；</w:t>
      </w:r>
    </w:p>
    <w:p>
      <w:pPr>
        <w:pStyle w:val="18"/>
        <w:spacing w:before="0" w:beforeAutospacing="0" w:after="0" w:afterAutospacing="0" w:line="360" w:lineRule="auto"/>
        <w:jc w:val="both"/>
        <w:rPr>
          <w:rFonts w:hint="default"/>
          <w:color w:val="000000"/>
        </w:rPr>
      </w:pPr>
      <w:r>
        <w:rPr>
          <w:color w:val="000000"/>
        </w:rPr>
        <w:t>　　2、大写金额和小写金额不一致的，以大写金额为准；</w:t>
      </w:r>
    </w:p>
    <w:p>
      <w:pPr>
        <w:pStyle w:val="18"/>
        <w:spacing w:before="0" w:beforeAutospacing="0" w:after="0" w:afterAutospacing="0" w:line="360" w:lineRule="auto"/>
        <w:jc w:val="both"/>
        <w:rPr>
          <w:rFonts w:hint="default"/>
          <w:color w:val="000000"/>
        </w:rPr>
      </w:pPr>
      <w:r>
        <w:rPr>
          <w:color w:val="000000"/>
        </w:rPr>
        <w:t>　　3、单价金额小数点或者百分比有明显错位的，以首次报价一览表的总价为准，并修改单价；</w:t>
      </w:r>
    </w:p>
    <w:p>
      <w:pPr>
        <w:pStyle w:val="18"/>
        <w:spacing w:before="0" w:beforeAutospacing="0" w:after="0" w:afterAutospacing="0" w:line="360" w:lineRule="auto"/>
        <w:jc w:val="both"/>
        <w:rPr>
          <w:rFonts w:hint="default"/>
          <w:color w:val="000000"/>
        </w:rPr>
      </w:pPr>
      <w:r>
        <w:rPr>
          <w:color w:val="000000"/>
        </w:rPr>
        <w:t>　　4、总价金额与按单价汇总金额不一致的，以单价金额计算结果为准。</w:t>
      </w:r>
    </w:p>
    <w:p>
      <w:pPr>
        <w:pStyle w:val="18"/>
        <w:spacing w:before="0" w:beforeAutospacing="0" w:after="0" w:afterAutospacing="0" w:line="360" w:lineRule="auto"/>
        <w:ind w:firstLine="480"/>
        <w:jc w:val="both"/>
        <w:rPr>
          <w:rFonts w:hint="default"/>
          <w:color w:val="000000"/>
        </w:rPr>
      </w:pPr>
      <w:r>
        <w:rPr>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18"/>
        <w:spacing w:before="0" w:beforeAutospacing="0" w:after="0" w:afterAutospacing="0" w:line="360" w:lineRule="auto"/>
        <w:ind w:firstLine="480"/>
        <w:rPr>
          <w:rFonts w:hint="default"/>
          <w:color w:val="000000"/>
        </w:rPr>
      </w:pPr>
      <w:r>
        <w:rPr>
          <w:b/>
          <w:bCs/>
          <w:color w:val="000000"/>
        </w:rPr>
        <w:t>（四）</w:t>
      </w:r>
      <w:r>
        <w:rPr>
          <w:b/>
          <w:color w:val="000000"/>
        </w:rPr>
        <w:t>磋商供应商存在下列情况之一的，响应无效，终止磋商</w:t>
      </w:r>
    </w:p>
    <w:p>
      <w:pPr>
        <w:pStyle w:val="18"/>
        <w:adjustRightInd w:val="0"/>
        <w:snapToGrid w:val="0"/>
        <w:spacing w:before="0" w:beforeAutospacing="0" w:after="0" w:afterAutospacing="0" w:line="360" w:lineRule="auto"/>
        <w:ind w:firstLine="480" w:firstLineChars="200"/>
        <w:rPr>
          <w:rFonts w:hint="default"/>
        </w:rPr>
      </w:pPr>
      <w:r>
        <w:t>1、未按照磋商采购文件的规定提交磋商保证金的。</w:t>
      </w:r>
    </w:p>
    <w:p>
      <w:pPr>
        <w:adjustRightInd w:val="0"/>
        <w:snapToGrid w:val="0"/>
        <w:spacing w:line="360" w:lineRule="auto"/>
        <w:ind w:firstLine="480" w:firstLineChars="200"/>
        <w:jc w:val="left"/>
        <w:rPr>
          <w:rFonts w:ascii="宋体" w:hAnsi="宋体"/>
          <w:b/>
          <w:bCs/>
          <w:sz w:val="24"/>
        </w:rPr>
      </w:pPr>
      <w:r>
        <w:rPr>
          <w:rFonts w:hint="eastAsia" w:ascii="宋体" w:hAnsi="宋体"/>
          <w:kern w:val="0"/>
          <w:sz w:val="24"/>
        </w:rPr>
        <w:t>2、磋商响应文件中的报价货物跟商务与技术内容中的</w:t>
      </w:r>
      <w:r>
        <w:rPr>
          <w:rFonts w:hint="eastAsia" w:ascii="宋体" w:hAnsi="宋体"/>
          <w:color w:val="000000"/>
          <w:kern w:val="0"/>
          <w:sz w:val="24"/>
        </w:rPr>
        <w:t>供应货物</w:t>
      </w:r>
      <w:r>
        <w:rPr>
          <w:rFonts w:hint="eastAsia" w:ascii="宋体" w:hAnsi="宋体"/>
          <w:kern w:val="0"/>
          <w:sz w:val="24"/>
        </w:rPr>
        <w:t>出现重大偏差的；</w:t>
      </w:r>
    </w:p>
    <w:p>
      <w:pPr>
        <w:pStyle w:val="18"/>
        <w:tabs>
          <w:tab w:val="left" w:pos="7380"/>
        </w:tabs>
        <w:adjustRightInd w:val="0"/>
        <w:snapToGrid w:val="0"/>
        <w:spacing w:before="0" w:beforeAutospacing="0" w:after="0" w:afterAutospacing="0" w:line="360" w:lineRule="auto"/>
        <w:ind w:firstLine="480" w:firstLineChars="200"/>
        <w:rPr>
          <w:rFonts w:hint="default"/>
        </w:rPr>
      </w:pPr>
      <w:r>
        <w:t>3、不具备磋商采购文件中规定的资格要求的。</w:t>
      </w:r>
    </w:p>
    <w:p>
      <w:pPr>
        <w:pStyle w:val="18"/>
        <w:adjustRightInd w:val="0"/>
        <w:snapToGrid w:val="0"/>
        <w:spacing w:before="0" w:beforeAutospacing="0" w:after="0" w:afterAutospacing="0" w:line="360" w:lineRule="auto"/>
        <w:ind w:firstLine="480" w:firstLineChars="200"/>
        <w:rPr>
          <w:rFonts w:hint="default"/>
        </w:rPr>
      </w:pPr>
      <w:r>
        <w:t>4、磋商响应文件含有采购人不能接受的附加条件的。</w:t>
      </w:r>
    </w:p>
    <w:p>
      <w:pPr>
        <w:adjustRightInd w:val="0"/>
        <w:snapToGrid w:val="0"/>
        <w:spacing w:line="360" w:lineRule="auto"/>
        <w:ind w:firstLine="480" w:firstLineChars="200"/>
        <w:jc w:val="left"/>
        <w:rPr>
          <w:rFonts w:ascii="宋体" w:hAnsi="宋体"/>
          <w:bCs/>
          <w:kern w:val="0"/>
          <w:sz w:val="24"/>
        </w:rPr>
      </w:pPr>
      <w:r>
        <w:rPr>
          <w:rFonts w:hint="eastAsia" w:ascii="宋体" w:hAnsi="宋体"/>
          <w:kern w:val="0"/>
          <w:sz w:val="24"/>
        </w:rPr>
        <w:t>5</w:t>
      </w:r>
      <w:r>
        <w:rPr>
          <w:rFonts w:hint="eastAsia" w:ascii="宋体" w:hAnsi="宋体"/>
          <w:sz w:val="24"/>
        </w:rPr>
        <w:t>、供应商代表人未能出具身份证明或与法定代表人授权委托人身份不符的；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rPr>
          <w:rFonts w:hint="default"/>
        </w:rPr>
      </w:pPr>
      <w: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18"/>
        <w:adjustRightInd w:val="0"/>
        <w:snapToGrid w:val="0"/>
        <w:spacing w:before="0" w:beforeAutospacing="0" w:after="0" w:afterAutospacing="0" w:line="360" w:lineRule="auto"/>
        <w:ind w:firstLine="480" w:firstLineChars="200"/>
        <w:rPr>
          <w:rFonts w:hint="default"/>
        </w:rPr>
      </w:pPr>
      <w:r>
        <w:t>7、报价超过磋商采购文件中规定的预算金额/最高限价。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8、磋商参数未如实填写，完全复制粘贴磋商采购参数的。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9、磋商响应文件提供虚假材料的。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10</w:t>
      </w:r>
      <w:r>
        <w:rPr>
          <w:rFonts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文件由同一单位或者个人编制；</w:t>
      </w:r>
    </w:p>
    <w:p>
      <w:pPr>
        <w:pStyle w:val="18"/>
        <w:spacing w:before="0" w:beforeAutospacing="0" w:after="0" w:afterAutospacing="0" w:line="360" w:lineRule="auto"/>
        <w:ind w:firstLine="480" w:firstLineChars="200"/>
        <w:rPr>
          <w:rFonts w:hint="default"/>
        </w:rPr>
      </w:pPr>
      <w:r>
        <w:t>11、不同供应商委托同一单位或者个人办理磋商事宜；</w:t>
      </w:r>
    </w:p>
    <w:p>
      <w:pPr>
        <w:pStyle w:val="18"/>
        <w:spacing w:before="0" w:beforeAutospacing="0" w:after="0" w:afterAutospacing="0" w:line="360" w:lineRule="auto"/>
        <w:ind w:firstLine="480" w:firstLineChars="200"/>
        <w:rPr>
          <w:rFonts w:hint="default"/>
        </w:rPr>
      </w:pPr>
      <w:r>
        <w:t>12、不同供应商的磋商响应文件载明的项目管理成员或者联系人员为同一人；</w:t>
      </w:r>
    </w:p>
    <w:p>
      <w:pPr>
        <w:pStyle w:val="18"/>
        <w:spacing w:before="0" w:beforeAutospacing="0" w:after="0" w:afterAutospacing="0" w:line="360" w:lineRule="auto"/>
        <w:ind w:firstLine="480" w:firstLineChars="200"/>
        <w:rPr>
          <w:rFonts w:hint="default"/>
        </w:rPr>
      </w:pPr>
      <w:r>
        <w:t>13、不同供应商的磋商响应文件异常一致或者报价呈规律性差异；</w:t>
      </w:r>
    </w:p>
    <w:p>
      <w:pPr>
        <w:pStyle w:val="18"/>
        <w:spacing w:before="0" w:beforeAutospacing="0" w:after="0" w:afterAutospacing="0" w:line="360" w:lineRule="auto"/>
        <w:ind w:firstLine="480" w:firstLineChars="200"/>
        <w:rPr>
          <w:rFonts w:hint="default"/>
        </w:rPr>
      </w:pPr>
      <w:r>
        <w:t>14、不同供应商的磋商响应文件相互混装；</w:t>
      </w:r>
    </w:p>
    <w:p>
      <w:pPr>
        <w:pStyle w:val="18"/>
        <w:spacing w:before="0" w:beforeAutospacing="0" w:after="0" w:afterAutospacing="0" w:line="360" w:lineRule="auto"/>
        <w:ind w:firstLine="480" w:firstLineChars="200"/>
        <w:rPr>
          <w:rFonts w:hint="default"/>
        </w:rPr>
      </w:pPr>
      <w:r>
        <w:t>15、不同供应商的磋商保证金从同一单位或者个人的账户转出；</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000000"/>
          <w:kern w:val="0"/>
          <w:sz w:val="24"/>
        </w:rPr>
      </w:pPr>
      <w:r>
        <w:rPr>
          <w:rFonts w:hint="eastAsia" w:ascii="宋体" w:hAnsi="宋体"/>
          <w:b/>
          <w:kern w:val="0"/>
          <w:sz w:val="24"/>
        </w:rPr>
        <w:t>（五）有下列情况之一的，本次磋商终止。</w:t>
      </w:r>
    </w:p>
    <w:p>
      <w:pPr>
        <w:pStyle w:val="18"/>
        <w:spacing w:before="0" w:beforeAutospacing="0" w:after="0" w:afterAutospacing="0" w:line="360" w:lineRule="auto"/>
        <w:ind w:firstLine="600" w:firstLineChars="250"/>
        <w:jc w:val="both"/>
        <w:rPr>
          <w:rFonts w:hint="default"/>
          <w:color w:val="000000"/>
        </w:rPr>
      </w:pPr>
      <w:r>
        <w:rPr>
          <w:color w:val="000000"/>
        </w:rPr>
        <w:t>1、出现影响采购公正的违法、违规行为的；</w:t>
      </w:r>
    </w:p>
    <w:p>
      <w:pPr>
        <w:pStyle w:val="18"/>
        <w:spacing w:before="0" w:beforeAutospacing="0" w:after="0" w:afterAutospacing="0" w:line="360" w:lineRule="auto"/>
        <w:ind w:firstLine="600" w:firstLineChars="250"/>
        <w:jc w:val="both"/>
        <w:rPr>
          <w:rFonts w:hint="default"/>
          <w:color w:val="000000"/>
        </w:rPr>
      </w:pPr>
      <w:r>
        <w:rPr>
          <w:color w:val="000000"/>
        </w:rPr>
        <w:t xml:space="preserve">2、磋商小组发现磋商文件存在歧义、重大缺陷导致评审工作无法进行，或者磋商文件内容违反国家有关强制性规定的； </w:t>
      </w:r>
    </w:p>
    <w:p>
      <w:pPr>
        <w:pStyle w:val="18"/>
        <w:spacing w:before="0" w:beforeAutospacing="0" w:after="0" w:afterAutospacing="0" w:line="360" w:lineRule="auto"/>
        <w:ind w:firstLine="600" w:firstLineChars="250"/>
        <w:jc w:val="both"/>
        <w:rPr>
          <w:rFonts w:hint="default"/>
          <w:color w:val="000000"/>
        </w:rPr>
      </w:pPr>
      <w:r>
        <w:rPr>
          <w:color w:val="000000"/>
        </w:rPr>
        <w:t>3、因重大变故，采购任务取消的；</w:t>
      </w:r>
    </w:p>
    <w:p>
      <w:pPr>
        <w:pStyle w:val="18"/>
        <w:spacing w:before="0" w:beforeAutospacing="0" w:after="0" w:afterAutospacing="0" w:line="360" w:lineRule="auto"/>
        <w:ind w:firstLine="600" w:firstLineChars="250"/>
        <w:jc w:val="both"/>
        <w:rPr>
          <w:rFonts w:hint="default"/>
          <w:color w:val="000000"/>
        </w:rPr>
      </w:pPr>
      <w:r>
        <w:rPr>
          <w:color w:val="000000"/>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color w:val="000000"/>
          <w:kern w:val="0"/>
          <w:sz w:val="24"/>
        </w:rPr>
      </w:pPr>
      <w:r>
        <w:rPr>
          <w:rFonts w:hint="eastAsia" w:ascii="宋体"/>
          <w:b/>
          <w:color w:val="000000"/>
          <w:kern w:val="0"/>
          <w:sz w:val="24"/>
        </w:rPr>
        <w:t>（六）磋商原则和方法</w:t>
      </w:r>
    </w:p>
    <w:p>
      <w:pPr>
        <w:pStyle w:val="11"/>
        <w:snapToGrid w:val="0"/>
        <w:spacing w:line="360" w:lineRule="auto"/>
        <w:ind w:firstLine="600" w:firstLineChars="250"/>
        <w:rPr>
          <w:rFonts w:hAnsi="宋体"/>
          <w:sz w:val="24"/>
        </w:rPr>
      </w:pPr>
      <w:r>
        <w:rPr>
          <w:rFonts w:hAnsi="宋体"/>
          <w:sz w:val="24"/>
        </w:rPr>
        <w:t>1</w:t>
      </w:r>
      <w:r>
        <w:rPr>
          <w:rFonts w:hint="eastAsia" w:hAnsi="宋体"/>
          <w:sz w:val="24"/>
        </w:rPr>
        <w:t>、磋商</w:t>
      </w:r>
      <w:r>
        <w:rPr>
          <w:rFonts w:hAnsi="宋体"/>
          <w:sz w:val="24"/>
        </w:rPr>
        <w:t>原则。磋商小组必须公平、公正、客观，不带任何倾向性和启发性；不得向外界透露任何与评</w:t>
      </w:r>
      <w:r>
        <w:rPr>
          <w:color w:val="000000"/>
          <w:sz w:val="24"/>
        </w:rPr>
        <w:t>审</w:t>
      </w:r>
      <w:r>
        <w:rPr>
          <w:rFonts w:hAnsi="宋体"/>
          <w:sz w:val="24"/>
        </w:rPr>
        <w:t>有关的内容；任何单位和个人不得干扰、影响评</w:t>
      </w:r>
      <w:r>
        <w:rPr>
          <w:color w:val="000000"/>
          <w:sz w:val="24"/>
        </w:rPr>
        <w:t>审</w:t>
      </w:r>
      <w:r>
        <w:rPr>
          <w:rFonts w:hAnsi="宋体"/>
          <w:sz w:val="24"/>
        </w:rPr>
        <w:t>的正常进行；磋商小组及有关工作人员不得私下与</w:t>
      </w:r>
      <w:r>
        <w:rPr>
          <w:rFonts w:hint="eastAsia" w:hAnsi="宋体"/>
          <w:color w:val="000000"/>
          <w:sz w:val="24"/>
        </w:rPr>
        <w:t>磋商供应商</w:t>
      </w:r>
      <w:r>
        <w:rPr>
          <w:rFonts w:hAnsi="宋体"/>
          <w:sz w:val="24"/>
        </w:rPr>
        <w:t>接触。</w:t>
      </w:r>
    </w:p>
    <w:p>
      <w:pPr>
        <w:pStyle w:val="11"/>
        <w:snapToGrid w:val="0"/>
        <w:spacing w:line="360" w:lineRule="auto"/>
        <w:ind w:firstLine="600" w:firstLineChars="250"/>
        <w:rPr>
          <w:rFonts w:hAnsi="宋体"/>
          <w:sz w:val="24"/>
        </w:rPr>
      </w:pPr>
      <w:r>
        <w:rPr>
          <w:rFonts w:hAnsi="宋体"/>
          <w:sz w:val="24"/>
        </w:rPr>
        <w:t>2</w:t>
      </w:r>
      <w:r>
        <w:rPr>
          <w:rFonts w:hint="eastAsia" w:hAnsi="宋体"/>
          <w:sz w:val="24"/>
        </w:rPr>
        <w:t>、磋商</w:t>
      </w:r>
      <w:r>
        <w:rPr>
          <w:rFonts w:hAnsi="宋体"/>
          <w:sz w:val="24"/>
        </w:rPr>
        <w:t>办法。具体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5"/>
        <w:rPr>
          <w:sz w:val="36"/>
          <w:szCs w:val="36"/>
        </w:rPr>
      </w:pPr>
      <w:bookmarkStart w:id="8" w:name="_Toc30333"/>
      <w:r>
        <w:rPr>
          <w:sz w:val="36"/>
          <w:szCs w:val="36"/>
        </w:rPr>
        <w:t>五、磋商结果确定</w:t>
      </w:r>
      <w:bookmarkEnd w:id="8"/>
    </w:p>
    <w:p>
      <w:pPr>
        <w:pStyle w:val="18"/>
        <w:spacing w:before="0" w:beforeAutospacing="0" w:after="0" w:afterAutospacing="0" w:line="360" w:lineRule="auto"/>
        <w:ind w:firstLine="600" w:firstLineChars="250"/>
        <w:jc w:val="both"/>
        <w:rPr>
          <w:rFonts w:hint="default"/>
        </w:rPr>
      </w:pPr>
      <w:r>
        <w:t>1、确定成交供应商。采购人</w:t>
      </w:r>
      <w:r>
        <w:rPr>
          <w:rFonts w:hint="eastAsia"/>
          <w:lang w:eastAsia="zh-CN"/>
        </w:rPr>
        <w:t>根据磋商小组</w:t>
      </w:r>
      <w:r>
        <w:t>推荐</w:t>
      </w:r>
      <w:r>
        <w:rPr>
          <w:rFonts w:hint="eastAsia"/>
          <w:lang w:eastAsia="zh-CN"/>
        </w:rPr>
        <w:t>的</w:t>
      </w:r>
      <w:r>
        <w:t>成交候选供应商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成交结果，并将磋商文件随同公告。</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pStyle w:val="5"/>
        <w:rPr>
          <w:sz w:val="36"/>
          <w:szCs w:val="36"/>
        </w:rPr>
      </w:pPr>
      <w:bookmarkStart w:id="9" w:name="_Toc10737"/>
      <w:r>
        <w:rPr>
          <w:rFonts w:hint="eastAsia"/>
          <w:sz w:val="36"/>
          <w:szCs w:val="36"/>
        </w:rPr>
        <w:t>六、合同签订及公告</w:t>
      </w:r>
      <w:bookmarkEnd w:id="9"/>
    </w:p>
    <w:p>
      <w:pPr>
        <w:pStyle w:val="9"/>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9"/>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按照磋商采购文件</w:t>
      </w:r>
      <w:r>
        <w:rPr>
          <w:rFonts w:hint="eastAsia"/>
          <w:szCs w:val="24"/>
        </w:rPr>
        <w:t>确定的合同文本以及采购标的、规格型号、采购金额、采购数量和服务要求等事项签订采购合同。</w:t>
      </w:r>
    </w:p>
    <w:p>
      <w:pPr>
        <w:pStyle w:val="18"/>
        <w:spacing w:before="0" w:beforeAutospacing="0" w:after="0" w:afterAutospacing="0" w:line="360" w:lineRule="auto"/>
        <w:ind w:firstLine="600" w:firstLineChars="250"/>
        <w:jc w:val="both"/>
        <w:rPr>
          <w:rFonts w:hint="default"/>
        </w:rPr>
      </w:pPr>
      <w: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18"/>
        <w:spacing w:before="0" w:beforeAutospacing="0" w:after="0" w:afterAutospacing="0" w:line="360" w:lineRule="auto"/>
        <w:ind w:firstLine="600" w:firstLineChars="250"/>
        <w:jc w:val="both"/>
        <w:rPr>
          <w:rFonts w:hint="default"/>
        </w:rPr>
      </w:pPr>
      <w:r>
        <w:t>3、成交供应商无故拖延、拒签合同的,磋商保证金将不予退还并取消成交资格。</w:t>
      </w:r>
    </w:p>
    <w:p>
      <w:pPr>
        <w:pStyle w:val="18"/>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pPr>
        <w:pStyle w:val="18"/>
        <w:spacing w:before="0" w:beforeAutospacing="0" w:after="0" w:afterAutospacing="0"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tabs>
          <w:tab w:val="left" w:pos="1418"/>
        </w:tabs>
        <w:autoSpaceDE w:val="0"/>
        <w:autoSpaceDN w:val="0"/>
        <w:adjustRightInd w:val="0"/>
        <w:spacing w:line="360" w:lineRule="auto"/>
        <w:ind w:firstLine="468"/>
        <w:rPr>
          <w:rFonts w:ascii="宋体" w:hAnsi="宋体"/>
          <w:bCs/>
          <w:color w:val="000000"/>
          <w:sz w:val="24"/>
        </w:rPr>
      </w:pPr>
    </w:p>
    <w:p>
      <w:pPr>
        <w:widowControl/>
        <w:jc w:val="left"/>
        <w:rPr>
          <w:rFonts w:ascii="宋体" w:hAnsi="宋体"/>
          <w:bCs/>
          <w:color w:val="000000"/>
          <w:sz w:val="24"/>
        </w:rPr>
      </w:pPr>
      <w:r>
        <w:rPr>
          <w:rFonts w:ascii="宋体" w:hAnsi="宋体"/>
          <w:bCs/>
          <w:color w:val="000000"/>
          <w:sz w:val="24"/>
        </w:rPr>
        <w:br w:type="page"/>
      </w:r>
    </w:p>
    <w:p>
      <w:pPr>
        <w:pStyle w:val="4"/>
        <w:jc w:val="center"/>
        <w:rPr>
          <w:kern w:val="0"/>
        </w:rPr>
      </w:pPr>
      <w:bookmarkStart w:id="10" w:name="_Toc6299"/>
      <w:r>
        <w:rPr>
          <w:rFonts w:hint="eastAsia"/>
        </w:rPr>
        <w:t>第三章　评审办法及评审标准</w:t>
      </w:r>
      <w:bookmarkEnd w:id="10"/>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一、采购组织机构将组织</w:t>
      </w:r>
      <w:r>
        <w:rPr>
          <w:rFonts w:hint="eastAsia" w:ascii="宋体" w:hAnsi="宋体"/>
          <w:color w:val="000000"/>
          <w:sz w:val="24"/>
        </w:rPr>
        <w:t>磋商小组</w:t>
      </w:r>
      <w:r>
        <w:rPr>
          <w:rFonts w:hint="eastAsia" w:ascii="宋体" w:hAnsi="宋体"/>
          <w:kern w:val="0"/>
          <w:sz w:val="24"/>
        </w:rPr>
        <w:t>，对</w:t>
      </w:r>
      <w:r>
        <w:rPr>
          <w:rFonts w:hint="eastAsia" w:ascii="宋体" w:hAnsi="宋体"/>
          <w:color w:val="000000"/>
          <w:sz w:val="24"/>
        </w:rPr>
        <w:t>供应商</w:t>
      </w:r>
      <w:r>
        <w:rPr>
          <w:rFonts w:hint="eastAsia" w:ascii="宋体" w:hAnsi="宋体"/>
          <w:kern w:val="0"/>
          <w:sz w:val="24"/>
        </w:rPr>
        <w:t>提供的</w:t>
      </w:r>
      <w:r>
        <w:rPr>
          <w:rFonts w:hint="eastAsia" w:ascii="宋体" w:hAnsi="宋体"/>
          <w:color w:val="000000"/>
          <w:sz w:val="24"/>
        </w:rPr>
        <w:t>磋商响应文件</w:t>
      </w:r>
      <w:r>
        <w:rPr>
          <w:rFonts w:hint="eastAsia" w:ascii="宋体" w:hAnsi="宋体"/>
          <w:kern w:val="0"/>
          <w:sz w:val="24"/>
        </w:rPr>
        <w:t>进行综合评审。</w:t>
      </w:r>
    </w:p>
    <w:p>
      <w:pPr>
        <w:autoSpaceDE w:val="0"/>
        <w:autoSpaceDN w:val="0"/>
        <w:adjustRightInd w:val="0"/>
        <w:spacing w:line="360" w:lineRule="auto"/>
        <w:ind w:left="359" w:leftChars="171" w:firstLine="120" w:firstLineChars="50"/>
        <w:jc w:val="left"/>
        <w:rPr>
          <w:rFonts w:ascii="宋体" w:hAnsi="宋体"/>
          <w:kern w:val="0"/>
          <w:sz w:val="24"/>
        </w:rPr>
      </w:pPr>
      <w:r>
        <w:rPr>
          <w:rFonts w:hint="eastAsia" w:ascii="宋体" w:hAnsi="宋体"/>
          <w:kern w:val="0"/>
          <w:sz w:val="24"/>
        </w:rPr>
        <w:t>二、本次招标项目的评标方法为</w:t>
      </w:r>
      <w:r>
        <w:rPr>
          <w:rFonts w:hint="eastAsia" w:ascii="宋体" w:hAnsi="宋体"/>
          <w:color w:val="000000"/>
          <w:kern w:val="0"/>
          <w:sz w:val="24"/>
        </w:rPr>
        <w:t>综合评分法，总计100分</w:t>
      </w:r>
      <w:r>
        <w:rPr>
          <w:rFonts w:hint="eastAsia" w:ascii="宋体"/>
          <w:bCs/>
          <w:color w:val="auto"/>
          <w:sz w:val="24"/>
          <w:lang w:val="zh-CN"/>
        </w:rPr>
        <w:t>(商务与技术文件为</w:t>
      </w:r>
      <w:r>
        <w:rPr>
          <w:rFonts w:hint="eastAsia" w:ascii="宋体"/>
          <w:bCs/>
          <w:color w:val="auto"/>
          <w:sz w:val="24"/>
          <w:lang w:val="en-US" w:eastAsia="zh-CN"/>
        </w:rPr>
        <w:t>9</w:t>
      </w:r>
      <w:r>
        <w:rPr>
          <w:rFonts w:ascii="宋体"/>
          <w:bCs/>
          <w:color w:val="auto"/>
          <w:sz w:val="24"/>
        </w:rPr>
        <w:t>0</w:t>
      </w:r>
      <w:r>
        <w:rPr>
          <w:rFonts w:hint="eastAsia" w:ascii="宋体"/>
          <w:bCs/>
          <w:color w:val="auto"/>
          <w:sz w:val="24"/>
          <w:lang w:val="zh-CN"/>
        </w:rPr>
        <w:t>分，报价文件为</w:t>
      </w:r>
      <w:r>
        <w:rPr>
          <w:rFonts w:hint="eastAsia" w:ascii="宋体"/>
          <w:bCs/>
          <w:color w:val="auto"/>
          <w:sz w:val="24"/>
          <w:lang w:val="en-US" w:eastAsia="zh-CN"/>
        </w:rPr>
        <w:t>1</w:t>
      </w:r>
      <w:r>
        <w:rPr>
          <w:rFonts w:ascii="宋体"/>
          <w:bCs/>
          <w:color w:val="auto"/>
          <w:sz w:val="24"/>
        </w:rPr>
        <w:t>0</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各投标人的综合得分为其商务与技术文件得分</w:t>
      </w:r>
      <w:r>
        <w:rPr>
          <w:rFonts w:hint="eastAsia" w:ascii="宋体"/>
          <w:bCs/>
          <w:color w:val="000000"/>
          <w:sz w:val="24"/>
          <w:lang w:val="zh-CN"/>
        </w:rPr>
        <w:t>与报价文件得分之和，即综合得分=</w:t>
      </w:r>
      <w:r>
        <w:rPr>
          <w:rFonts w:hint="eastAsia" w:ascii="宋体"/>
          <w:bCs/>
          <w:sz w:val="24"/>
          <w:lang w:val="zh-CN"/>
        </w:rPr>
        <w:t>商务与技术文件得分+报价文件得分。</w:t>
      </w:r>
    </w:p>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w:t>
      </w:r>
      <w:r>
        <w:rPr>
          <w:rFonts w:hint="eastAsia" w:ascii="宋体" w:hAnsi="宋体"/>
          <w:color w:val="000000"/>
          <w:sz w:val="24"/>
        </w:rPr>
        <w:t>磋商小组</w:t>
      </w:r>
      <w:r>
        <w:rPr>
          <w:rFonts w:hint="eastAsia" w:ascii="宋体"/>
          <w:bCs/>
          <w:color w:val="000000"/>
          <w:sz w:val="24"/>
          <w:lang w:val="zh-CN"/>
        </w:rPr>
        <w:t>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（二）各磋商供应商商务与技术文件</w:t>
      </w:r>
      <w:r>
        <w:rPr>
          <w:rFonts w:hint="eastAsia" w:ascii="宋体"/>
          <w:color w:val="000000"/>
          <w:kern w:val="0"/>
          <w:sz w:val="24"/>
          <w:lang w:val="zh-CN"/>
        </w:rPr>
        <w:t>得分按照</w:t>
      </w:r>
      <w:r>
        <w:rPr>
          <w:rFonts w:hint="eastAsia" w:ascii="宋体" w:hAnsi="宋体"/>
          <w:color w:val="000000"/>
          <w:sz w:val="24"/>
        </w:rPr>
        <w:t>磋商小组</w:t>
      </w:r>
      <w:r>
        <w:rPr>
          <w:rFonts w:hint="eastAsia" w:ascii="宋体"/>
          <w:color w:val="000000"/>
          <w:kern w:val="0"/>
          <w:sz w:val="24"/>
          <w:lang w:val="zh-CN"/>
        </w:rPr>
        <w:t>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ascii="宋体"/>
          <w:bCs/>
          <w:color w:val="000000"/>
          <w:sz w:val="24"/>
          <w:u w:val="none"/>
          <w:lang w:val="zh-CN"/>
        </w:rPr>
        <w:t>）</w:t>
      </w:r>
      <w:r>
        <w:rPr>
          <w:rFonts w:hint="eastAsia"/>
          <w:color w:val="000000"/>
          <w:sz w:val="24"/>
          <w:u w:val="none"/>
        </w:rPr>
        <w:t>综合评分法中的价格分统一</w:t>
      </w:r>
      <w:r>
        <w:rPr>
          <w:rFonts w:hint="eastAsia" w:ascii="宋体"/>
          <w:color w:val="000000"/>
          <w:sz w:val="24"/>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磋商报价得</w:t>
      </w:r>
      <w:r>
        <w:rPr>
          <w:color w:val="auto"/>
          <w:sz w:val="24"/>
          <w:u w:val="single"/>
        </w:rPr>
        <w:t>分=(</w:t>
      </w:r>
      <w:r>
        <w:rPr>
          <w:rFonts w:hint="eastAsia" w:ascii="宋体"/>
          <w:color w:val="auto"/>
          <w:sz w:val="24"/>
          <w:u w:val="single"/>
          <w:lang w:val="zh-CN"/>
        </w:rPr>
        <w:t>磋商基准价</w:t>
      </w:r>
      <w:r>
        <w:rPr>
          <w:color w:val="auto"/>
          <w:sz w:val="24"/>
          <w:u w:val="single"/>
        </w:rPr>
        <w:t>／</w:t>
      </w:r>
      <w:r>
        <w:rPr>
          <w:rFonts w:hint="eastAsia"/>
          <w:color w:val="auto"/>
          <w:sz w:val="24"/>
          <w:u w:val="single"/>
        </w:rPr>
        <w:t>最后磋商</w:t>
      </w:r>
      <w:r>
        <w:rPr>
          <w:rFonts w:ascii="宋体" w:hAnsi="宋体"/>
          <w:color w:val="auto"/>
          <w:sz w:val="24"/>
          <w:u w:val="single"/>
        </w:rPr>
        <w:t>报价)×</w:t>
      </w:r>
      <w:bookmarkStart w:id="29" w:name="_GoBack"/>
      <w:bookmarkEnd w:id="29"/>
      <w:r>
        <w:rPr>
          <w:rFonts w:hint="eastAsia" w:ascii="宋体" w:hAnsi="宋体"/>
          <w:color w:val="auto"/>
          <w:sz w:val="24"/>
          <w:u w:val="single"/>
          <w:lang w:val="en-US" w:eastAsia="zh-CN"/>
        </w:rPr>
        <w:t>1</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三、在最大限度地满足磋商文件实质性要求前提下，</w:t>
      </w:r>
      <w:r>
        <w:rPr>
          <w:rFonts w:hint="eastAsia" w:ascii="宋体" w:hAnsi="宋体"/>
          <w:sz w:val="24"/>
        </w:rPr>
        <w:t>磋商小组</w:t>
      </w:r>
      <w:r>
        <w:rPr>
          <w:rFonts w:hint="eastAsia" w:ascii="宋体"/>
          <w:sz w:val="24"/>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四、如综合得分相同，最后报价低者为先；如综合得分且最后报价相同的，以实力信誉及业绩得分较高者为先。</w:t>
      </w:r>
    </w:p>
    <w:p>
      <w:pPr>
        <w:autoSpaceDE w:val="0"/>
        <w:autoSpaceDN w:val="0"/>
        <w:adjustRightInd w:val="0"/>
        <w:spacing w:line="360" w:lineRule="auto"/>
        <w:ind w:firstLine="482" w:firstLineChars="200"/>
        <w:jc w:val="left"/>
        <w:rPr>
          <w:rFonts w:hint="eastAsia" w:ascii="宋体" w:hAnsi="宋体"/>
          <w:b/>
          <w:kern w:val="0"/>
          <w:sz w:val="24"/>
        </w:rPr>
      </w:pPr>
      <w:r>
        <w:rPr>
          <w:rFonts w:hint="eastAsia" w:ascii="宋体" w:hAnsi="宋体"/>
          <w:b/>
          <w:kern w:val="0"/>
          <w:sz w:val="24"/>
        </w:rPr>
        <w:t>五、评分具体分值细化条款如下表：</w:t>
      </w:r>
    </w:p>
    <w:tbl>
      <w:tblPr>
        <w:tblStyle w:val="20"/>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874"/>
        <w:gridCol w:w="1170"/>
        <w:gridCol w:w="60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1" w:type="dxa"/>
          </w:tcPr>
          <w:p>
            <w:pPr>
              <w:jc w:val="center"/>
              <w:rPr>
                <w:b/>
                <w:bCs/>
              </w:rPr>
            </w:pPr>
            <w:r>
              <w:rPr>
                <w:rFonts w:hint="eastAsia"/>
                <w:b/>
                <w:bCs/>
              </w:rPr>
              <w:t>序号</w:t>
            </w:r>
          </w:p>
        </w:tc>
        <w:tc>
          <w:tcPr>
            <w:tcW w:w="874" w:type="dxa"/>
          </w:tcPr>
          <w:p>
            <w:pPr>
              <w:jc w:val="center"/>
              <w:rPr>
                <w:b/>
                <w:bCs/>
              </w:rPr>
            </w:pPr>
            <w:r>
              <w:rPr>
                <w:rFonts w:hint="eastAsia"/>
                <w:b/>
                <w:bCs/>
              </w:rPr>
              <w:t>分类</w:t>
            </w:r>
          </w:p>
        </w:tc>
        <w:tc>
          <w:tcPr>
            <w:tcW w:w="1170" w:type="dxa"/>
            <w:vAlign w:val="center"/>
          </w:tcPr>
          <w:p>
            <w:pPr>
              <w:jc w:val="center"/>
              <w:rPr>
                <w:b/>
                <w:bCs/>
              </w:rPr>
            </w:pPr>
            <w:r>
              <w:rPr>
                <w:rFonts w:hint="eastAsia"/>
                <w:b/>
                <w:bCs/>
              </w:rPr>
              <w:t>指标项</w:t>
            </w:r>
          </w:p>
        </w:tc>
        <w:tc>
          <w:tcPr>
            <w:tcW w:w="6071" w:type="dxa"/>
            <w:vAlign w:val="center"/>
          </w:tcPr>
          <w:p>
            <w:pPr>
              <w:jc w:val="center"/>
              <w:rPr>
                <w:b/>
                <w:bCs/>
              </w:rPr>
            </w:pPr>
            <w:r>
              <w:rPr>
                <w:rFonts w:hint="eastAsia"/>
                <w:b/>
                <w:bCs/>
              </w:rPr>
              <w:t>指标要求</w:t>
            </w:r>
          </w:p>
        </w:tc>
        <w:tc>
          <w:tcPr>
            <w:tcW w:w="1031" w:type="dxa"/>
            <w:vAlign w:val="center"/>
          </w:tcPr>
          <w:p>
            <w:pPr>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11" w:type="dxa"/>
            <w:vAlign w:val="center"/>
          </w:tcPr>
          <w:p>
            <w:pPr>
              <w:jc w:val="center"/>
            </w:pPr>
            <w:r>
              <w:rPr>
                <w:rFonts w:hint="eastAsia"/>
              </w:rPr>
              <w:t>1</w:t>
            </w:r>
          </w:p>
        </w:tc>
        <w:tc>
          <w:tcPr>
            <w:tcW w:w="874" w:type="dxa"/>
          </w:tcPr>
          <w:p>
            <w:pPr>
              <w:jc w:val="center"/>
            </w:pPr>
            <w:r>
              <w:rPr>
                <w:rFonts w:hint="eastAsia"/>
              </w:rPr>
              <w:t>报价分</w:t>
            </w:r>
          </w:p>
          <w:p>
            <w:pPr>
              <w:jc w:val="center"/>
              <w:rPr>
                <w:b/>
                <w:bCs/>
              </w:rPr>
            </w:pPr>
            <w:r>
              <w:rPr>
                <w:rFonts w:hint="eastAsia"/>
              </w:rPr>
              <w:t>1</w:t>
            </w:r>
            <w:r>
              <w:t>0</w:t>
            </w:r>
          </w:p>
        </w:tc>
        <w:tc>
          <w:tcPr>
            <w:tcW w:w="1170" w:type="dxa"/>
            <w:vAlign w:val="center"/>
          </w:tcPr>
          <w:p>
            <w:pPr>
              <w:jc w:val="center"/>
              <w:rPr>
                <w:b/>
                <w:bCs/>
              </w:rPr>
            </w:pPr>
            <w:r>
              <w:rPr>
                <w:rFonts w:hint="eastAsia"/>
              </w:rPr>
              <w:t>投标报价</w:t>
            </w:r>
          </w:p>
        </w:tc>
        <w:tc>
          <w:tcPr>
            <w:tcW w:w="6071" w:type="dxa"/>
            <w:vAlign w:val="center"/>
          </w:tcPr>
          <w:p>
            <w:pPr>
              <w:rPr>
                <w:b/>
                <w:bCs/>
              </w:rPr>
            </w:pPr>
            <w:r>
              <w:rPr>
                <w:rFonts w:hint="eastAsia"/>
              </w:rPr>
              <w:t>价格分采用低价优先法计算，即满足采购文件要求且投标价格最低的投标报价为评标基准价，其他投标人的价格分按照下列公式计算：价格分=（评标基准价/投标报价）×1</w:t>
            </w:r>
            <w:r>
              <w:t>0</w:t>
            </w:r>
            <w:r>
              <w:rPr>
                <w:rFonts w:hint="eastAsia"/>
              </w:rPr>
              <w:t>%×100</w:t>
            </w:r>
          </w:p>
        </w:tc>
        <w:tc>
          <w:tcPr>
            <w:tcW w:w="1031" w:type="dxa"/>
            <w:vAlign w:val="center"/>
          </w:tcPr>
          <w:p>
            <w:pPr>
              <w:jc w:val="center"/>
            </w:pPr>
            <w:r>
              <w:rPr>
                <w:rFonts w:hint="eastAsia"/>
              </w:rPr>
              <w:t>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1" w:type="dxa"/>
            <w:vAlign w:val="center"/>
          </w:tcPr>
          <w:p>
            <w:pPr>
              <w:jc w:val="center"/>
            </w:pPr>
            <w:r>
              <w:t>2</w:t>
            </w:r>
          </w:p>
        </w:tc>
        <w:tc>
          <w:tcPr>
            <w:tcW w:w="874" w:type="dxa"/>
            <w:vMerge w:val="restart"/>
            <w:vAlign w:val="center"/>
          </w:tcPr>
          <w:p>
            <w:pPr>
              <w:jc w:val="center"/>
            </w:pPr>
            <w:r>
              <w:rPr>
                <w:rFonts w:hint="eastAsia"/>
              </w:rPr>
              <w:t>商务分</w:t>
            </w:r>
          </w:p>
          <w:p>
            <w:pPr>
              <w:jc w:val="center"/>
            </w:pPr>
            <w:r>
              <w:rPr>
                <w:rFonts w:hint="eastAsia"/>
              </w:rPr>
              <w:t>3</w:t>
            </w:r>
            <w:r>
              <w:t>0</w:t>
            </w:r>
          </w:p>
        </w:tc>
        <w:tc>
          <w:tcPr>
            <w:tcW w:w="1170" w:type="dxa"/>
            <w:vAlign w:val="center"/>
          </w:tcPr>
          <w:p>
            <w:pPr>
              <w:jc w:val="center"/>
            </w:pPr>
            <w:r>
              <w:rPr>
                <w:rFonts w:hint="eastAsia"/>
              </w:rPr>
              <w:t>投标人资质</w:t>
            </w:r>
          </w:p>
        </w:tc>
        <w:tc>
          <w:tcPr>
            <w:tcW w:w="6071" w:type="dxa"/>
          </w:tcPr>
          <w:p>
            <w:r>
              <w:rPr>
                <w:rFonts w:hint="eastAsia"/>
              </w:rPr>
              <w:t>投标人同时具备城乡规划、建筑工程设计、风景园林工程设计三项甲级资质的得6分；投标人除具备城乡规划甲级外，还具备建筑工程设计或风景园林工程设计其中一项甲级资质的得4分；投标人只具备城乡规划甲级资质的得2分；其他得0分。</w:t>
            </w:r>
          </w:p>
        </w:tc>
        <w:tc>
          <w:tcPr>
            <w:tcW w:w="1031" w:type="dxa"/>
            <w:vAlign w:val="center"/>
          </w:tcPr>
          <w:p>
            <w:pPr>
              <w:jc w:val="cente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11" w:type="dxa"/>
            <w:vAlign w:val="center"/>
          </w:tcPr>
          <w:p>
            <w:pPr>
              <w:jc w:val="center"/>
            </w:pPr>
            <w:r>
              <w:t>3</w:t>
            </w:r>
          </w:p>
        </w:tc>
        <w:tc>
          <w:tcPr>
            <w:tcW w:w="874" w:type="dxa"/>
            <w:vMerge w:val="continue"/>
          </w:tcPr>
          <w:p>
            <w:pPr>
              <w:jc w:val="center"/>
            </w:pPr>
          </w:p>
        </w:tc>
        <w:tc>
          <w:tcPr>
            <w:tcW w:w="1170" w:type="dxa"/>
            <w:vAlign w:val="center"/>
          </w:tcPr>
          <w:p>
            <w:pPr>
              <w:jc w:val="center"/>
            </w:pPr>
            <w:r>
              <w:rPr>
                <w:rFonts w:hint="eastAsia"/>
              </w:rPr>
              <w:t>项目负责人</w:t>
            </w:r>
          </w:p>
        </w:tc>
        <w:tc>
          <w:tcPr>
            <w:tcW w:w="6071" w:type="dxa"/>
          </w:tcPr>
          <w:p>
            <w:r>
              <w:rPr>
                <w:rFonts w:hint="eastAsia"/>
              </w:rPr>
              <w:t>投标人拟投入本项目的项目负责人同时具有注册城市（乡）规划师和高级工程师职称（职称类型应是城市规划领域，下同）的，得5分；项目负责人同时具有注册城市（乡）规划师和中级工程师职称的，得3分；项目负责人仅具备注册城市（乡）规划师或高级职称其中一项的，得1分；其他得0分。</w:t>
            </w:r>
          </w:p>
          <w:p>
            <w:r>
              <w:rPr>
                <w:rFonts w:hint="eastAsia"/>
              </w:rPr>
              <w:t>（提供项目负责人的身份证或复印件加盖投标人公章、注册资格证书、工程师职称证书、社保部门出具的近六个月投标人为其人员缴纳的社保证明原件彩色扫描件并加盖投标人公章，未提供或提供无效者得0分。）</w:t>
            </w:r>
          </w:p>
        </w:tc>
        <w:tc>
          <w:tcPr>
            <w:tcW w:w="1031" w:type="dxa"/>
            <w:vAlign w:val="center"/>
          </w:tcPr>
          <w:p>
            <w:pPr>
              <w:jc w:val="center"/>
            </w:pP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11" w:type="dxa"/>
            <w:vAlign w:val="center"/>
          </w:tcPr>
          <w:p>
            <w:pPr>
              <w:jc w:val="center"/>
            </w:pPr>
            <w:r>
              <w:t>4</w:t>
            </w:r>
          </w:p>
        </w:tc>
        <w:tc>
          <w:tcPr>
            <w:tcW w:w="874" w:type="dxa"/>
            <w:vMerge w:val="continue"/>
          </w:tcPr>
          <w:p>
            <w:pPr>
              <w:jc w:val="center"/>
            </w:pPr>
          </w:p>
        </w:tc>
        <w:tc>
          <w:tcPr>
            <w:tcW w:w="1170" w:type="dxa"/>
            <w:vAlign w:val="center"/>
          </w:tcPr>
          <w:p>
            <w:pPr>
              <w:jc w:val="center"/>
            </w:pPr>
            <w:r>
              <w:rPr>
                <w:rFonts w:hint="eastAsia"/>
              </w:rPr>
              <w:t>专业人员</w:t>
            </w:r>
          </w:p>
        </w:tc>
        <w:tc>
          <w:tcPr>
            <w:tcW w:w="6071" w:type="dxa"/>
          </w:tcPr>
          <w:p>
            <w:r>
              <w:rPr>
                <w:rFonts w:hint="eastAsia"/>
              </w:rPr>
              <w:t>根据投标人提供本项目的专业人员项目组，除项目负责人外，具有注册城市规划师或者规划专业高级及以上职称的加1分，最高加3分；具有交通专业高级及以上职称的加2分；具有产业经济专业高级及以上职称的加2分。本项最高得7分。</w:t>
            </w:r>
          </w:p>
          <w:p>
            <w:r>
              <w:rPr>
                <w:rFonts w:hint="eastAsia"/>
              </w:rPr>
              <w:t>（提供项目组专业技术人员身份证或复印件加盖投标人公章、专业资格证书、职称证书或注册证书、投标人为其缴纳的社保凭据（提供当地社保部门有效的证明材料）原件彩色扫描件加盖投标人公章，未提供或提供无效者得0分。）</w:t>
            </w:r>
          </w:p>
        </w:tc>
        <w:tc>
          <w:tcPr>
            <w:tcW w:w="1031" w:type="dxa"/>
            <w:vAlign w:val="center"/>
          </w:tcPr>
          <w:p>
            <w:pPr>
              <w:jc w:val="center"/>
            </w:pPr>
            <w:r>
              <w:rPr>
                <w:rFonts w:hint="eastAsia"/>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11" w:type="dxa"/>
            <w:vAlign w:val="center"/>
          </w:tcPr>
          <w:p>
            <w:pPr>
              <w:jc w:val="center"/>
            </w:pPr>
            <w:r>
              <w:t>5</w:t>
            </w:r>
          </w:p>
        </w:tc>
        <w:tc>
          <w:tcPr>
            <w:tcW w:w="874" w:type="dxa"/>
            <w:vMerge w:val="continue"/>
          </w:tcPr>
          <w:p>
            <w:pPr>
              <w:jc w:val="center"/>
            </w:pPr>
          </w:p>
        </w:tc>
        <w:tc>
          <w:tcPr>
            <w:tcW w:w="1170" w:type="dxa"/>
            <w:vAlign w:val="center"/>
          </w:tcPr>
          <w:p>
            <w:pPr>
              <w:jc w:val="center"/>
            </w:pPr>
            <w:r>
              <w:rPr>
                <w:rFonts w:hint="eastAsia"/>
              </w:rPr>
              <w:t>相关业绩</w:t>
            </w:r>
          </w:p>
        </w:tc>
        <w:tc>
          <w:tcPr>
            <w:tcW w:w="6071" w:type="dxa"/>
          </w:tcPr>
          <w:p>
            <w:r>
              <w:rPr>
                <w:rFonts w:hint="eastAsia"/>
              </w:rPr>
              <w:t>投标人单位2015年1月1日之后有产业园区相关规划设计业绩的，项目名称中包含“科技”、“科创”、“产业”或“园区”等关键词，每有一个项目得2分，最高12分。</w:t>
            </w:r>
          </w:p>
          <w:p>
            <w:r>
              <w:rPr>
                <w:rFonts w:hint="eastAsia"/>
              </w:rPr>
              <w:t>（提供合同原件彩色扫描件并加盖投标人公章）</w:t>
            </w:r>
          </w:p>
        </w:tc>
        <w:tc>
          <w:tcPr>
            <w:tcW w:w="1031" w:type="dxa"/>
            <w:vAlign w:val="center"/>
          </w:tcPr>
          <w:p>
            <w:pPr>
              <w:jc w:val="center"/>
            </w:pPr>
            <w:r>
              <w:rPr>
                <w:rFonts w:hint="eastAsia"/>
              </w:rPr>
              <w:t>1</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1" w:type="dxa"/>
            <w:vAlign w:val="center"/>
          </w:tcPr>
          <w:p>
            <w:pPr>
              <w:jc w:val="center"/>
            </w:pPr>
            <w:r>
              <w:t>6</w:t>
            </w:r>
          </w:p>
        </w:tc>
        <w:tc>
          <w:tcPr>
            <w:tcW w:w="874" w:type="dxa"/>
            <w:vMerge w:val="restart"/>
            <w:vAlign w:val="center"/>
          </w:tcPr>
          <w:p>
            <w:pPr>
              <w:jc w:val="center"/>
            </w:pPr>
            <w:r>
              <w:rPr>
                <w:rFonts w:hint="eastAsia"/>
              </w:rPr>
              <w:t>技术分</w:t>
            </w:r>
          </w:p>
          <w:p>
            <w:pPr>
              <w:jc w:val="center"/>
            </w:pPr>
            <w:r>
              <w:t>60</w:t>
            </w:r>
          </w:p>
        </w:tc>
        <w:tc>
          <w:tcPr>
            <w:tcW w:w="1170" w:type="dxa"/>
            <w:vAlign w:val="center"/>
          </w:tcPr>
          <w:p>
            <w:pPr>
              <w:jc w:val="center"/>
            </w:pPr>
            <w:r>
              <w:rPr>
                <w:rFonts w:hint="eastAsia"/>
              </w:rPr>
              <w:t>规划背景</w:t>
            </w:r>
          </w:p>
        </w:tc>
        <w:tc>
          <w:tcPr>
            <w:tcW w:w="6071" w:type="dxa"/>
          </w:tcPr>
          <w:p>
            <w:r>
              <w:rPr>
                <w:rFonts w:hint="eastAsia"/>
              </w:rPr>
              <w:t>对项目的规划背景、相关规划的解读是否合理、深入（优得8-6.1分，良得6-3.1分，差得3-0分。）</w:t>
            </w:r>
          </w:p>
        </w:tc>
        <w:tc>
          <w:tcPr>
            <w:tcW w:w="1031" w:type="dxa"/>
            <w:vAlign w:val="center"/>
          </w:tcPr>
          <w:p>
            <w:pPr>
              <w:jc w:val="center"/>
            </w:pPr>
            <w:r>
              <w:rPr>
                <w:rFonts w:hint="eastAsi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1" w:type="dxa"/>
            <w:vAlign w:val="center"/>
          </w:tcPr>
          <w:p>
            <w:pPr>
              <w:jc w:val="center"/>
            </w:pPr>
            <w:r>
              <w:t>7</w:t>
            </w:r>
          </w:p>
        </w:tc>
        <w:tc>
          <w:tcPr>
            <w:tcW w:w="874" w:type="dxa"/>
            <w:vMerge w:val="continue"/>
          </w:tcPr>
          <w:p>
            <w:pPr>
              <w:jc w:val="center"/>
            </w:pPr>
          </w:p>
        </w:tc>
        <w:tc>
          <w:tcPr>
            <w:tcW w:w="1170" w:type="dxa"/>
            <w:vAlign w:val="center"/>
          </w:tcPr>
          <w:p>
            <w:pPr>
              <w:jc w:val="center"/>
            </w:pPr>
            <w:r>
              <w:rPr>
                <w:rFonts w:hint="eastAsia"/>
              </w:rPr>
              <w:t>项目理解</w:t>
            </w:r>
          </w:p>
        </w:tc>
        <w:tc>
          <w:tcPr>
            <w:tcW w:w="6071" w:type="dxa"/>
          </w:tcPr>
          <w:p>
            <w:r>
              <w:rPr>
                <w:rFonts w:hint="eastAsia"/>
              </w:rPr>
              <w:t>对项目的理解及现状认知是否深刻、准确（优得</w:t>
            </w:r>
            <w:r>
              <w:t>10</w:t>
            </w:r>
            <w:r>
              <w:rPr>
                <w:rFonts w:hint="eastAsia"/>
              </w:rPr>
              <w:t>-</w:t>
            </w:r>
            <w:r>
              <w:t>8</w:t>
            </w:r>
            <w:r>
              <w:rPr>
                <w:rFonts w:hint="eastAsia"/>
              </w:rPr>
              <w:t>.1分，良得</w:t>
            </w:r>
            <w:r>
              <w:t>8</w:t>
            </w:r>
            <w:r>
              <w:rPr>
                <w:rFonts w:hint="eastAsia"/>
              </w:rPr>
              <w:t>-</w:t>
            </w:r>
            <w:r>
              <w:t>6</w:t>
            </w:r>
            <w:r>
              <w:rPr>
                <w:rFonts w:hint="eastAsia"/>
              </w:rPr>
              <w:t>.1分，差得</w:t>
            </w:r>
            <w:r>
              <w:t>6</w:t>
            </w:r>
            <w:r>
              <w:rPr>
                <w:rFonts w:hint="eastAsia"/>
              </w:rPr>
              <w:t>-0分。）</w:t>
            </w:r>
          </w:p>
        </w:tc>
        <w:tc>
          <w:tcPr>
            <w:tcW w:w="1031"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1" w:type="dxa"/>
            <w:vAlign w:val="center"/>
          </w:tcPr>
          <w:p>
            <w:pPr>
              <w:jc w:val="center"/>
            </w:pPr>
            <w:r>
              <w:t>8</w:t>
            </w:r>
          </w:p>
        </w:tc>
        <w:tc>
          <w:tcPr>
            <w:tcW w:w="874" w:type="dxa"/>
            <w:vMerge w:val="continue"/>
          </w:tcPr>
          <w:p/>
        </w:tc>
        <w:tc>
          <w:tcPr>
            <w:tcW w:w="1170" w:type="dxa"/>
            <w:vAlign w:val="center"/>
          </w:tcPr>
          <w:p>
            <w:pPr>
              <w:jc w:val="center"/>
            </w:pPr>
            <w:r>
              <w:rPr>
                <w:rFonts w:hint="eastAsia"/>
              </w:rPr>
              <w:t>项目定位</w:t>
            </w:r>
          </w:p>
        </w:tc>
        <w:tc>
          <w:tcPr>
            <w:tcW w:w="6071" w:type="dxa"/>
          </w:tcPr>
          <w:p>
            <w:r>
              <w:rPr>
                <w:rFonts w:hint="eastAsia"/>
              </w:rPr>
              <w:t>对项目的发展目标及发展策略是否科学合理（优得</w:t>
            </w:r>
            <w:r>
              <w:t>7</w:t>
            </w:r>
            <w:r>
              <w:rPr>
                <w:rFonts w:hint="eastAsia"/>
              </w:rPr>
              <w:t>-</w:t>
            </w:r>
            <w:r>
              <w:t>5</w:t>
            </w:r>
            <w:r>
              <w:rPr>
                <w:rFonts w:hint="eastAsia"/>
              </w:rPr>
              <w:t>.1分，良得</w:t>
            </w:r>
            <w:r>
              <w:t>5</w:t>
            </w:r>
            <w:r>
              <w:rPr>
                <w:rFonts w:hint="eastAsia"/>
              </w:rPr>
              <w:t>-</w:t>
            </w:r>
            <w:r>
              <w:t>3</w:t>
            </w:r>
            <w:r>
              <w:rPr>
                <w:rFonts w:hint="eastAsia"/>
              </w:rPr>
              <w:t>.1分，差得</w:t>
            </w:r>
            <w:r>
              <w:t>3</w:t>
            </w:r>
            <w:r>
              <w:rPr>
                <w:rFonts w:hint="eastAsia"/>
              </w:rPr>
              <w:t>-0分。）</w:t>
            </w:r>
          </w:p>
        </w:tc>
        <w:tc>
          <w:tcPr>
            <w:tcW w:w="1031" w:type="dxa"/>
            <w:vAlign w:val="center"/>
          </w:tcPr>
          <w:p>
            <w:pPr>
              <w:jc w:val="center"/>
            </w:pPr>
            <w:r>
              <w:t>7</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1" w:type="dxa"/>
            <w:vAlign w:val="center"/>
          </w:tcPr>
          <w:p>
            <w:pPr>
              <w:jc w:val="center"/>
            </w:pPr>
            <w:r>
              <w:t>9</w:t>
            </w:r>
          </w:p>
        </w:tc>
        <w:tc>
          <w:tcPr>
            <w:tcW w:w="874" w:type="dxa"/>
            <w:vMerge w:val="continue"/>
          </w:tcPr>
          <w:p/>
        </w:tc>
        <w:tc>
          <w:tcPr>
            <w:tcW w:w="1170" w:type="dxa"/>
            <w:vAlign w:val="center"/>
          </w:tcPr>
          <w:p>
            <w:pPr>
              <w:jc w:val="center"/>
            </w:pPr>
            <w:r>
              <w:rPr>
                <w:rFonts w:hint="eastAsia"/>
              </w:rPr>
              <w:t>产业发展</w:t>
            </w:r>
          </w:p>
        </w:tc>
        <w:tc>
          <w:tcPr>
            <w:tcW w:w="6071" w:type="dxa"/>
          </w:tcPr>
          <w:p>
            <w:r>
              <w:rPr>
                <w:rFonts w:hint="eastAsia"/>
              </w:rPr>
              <w:t>对项目产业现状、产业策略、产业体系研究是否科学合理（优得</w:t>
            </w:r>
            <w:r>
              <w:t>15-12</w:t>
            </w:r>
            <w:r>
              <w:rPr>
                <w:rFonts w:hint="eastAsia"/>
              </w:rPr>
              <w:t>.1分，良得</w:t>
            </w:r>
            <w:r>
              <w:t>12</w:t>
            </w:r>
            <w:r>
              <w:rPr>
                <w:rFonts w:hint="eastAsia"/>
              </w:rPr>
              <w:t>-</w:t>
            </w:r>
            <w:r>
              <w:t>9</w:t>
            </w:r>
            <w:r>
              <w:rPr>
                <w:rFonts w:hint="eastAsia"/>
              </w:rPr>
              <w:t>.1分，差得</w:t>
            </w:r>
            <w:r>
              <w:t>9</w:t>
            </w:r>
            <w:r>
              <w:rPr>
                <w:rFonts w:hint="eastAsia"/>
              </w:rPr>
              <w:t>-0分。）</w:t>
            </w:r>
          </w:p>
        </w:tc>
        <w:tc>
          <w:tcPr>
            <w:tcW w:w="1031" w:type="dxa"/>
            <w:vAlign w:val="center"/>
          </w:tcPr>
          <w:p>
            <w:pPr>
              <w:jc w:val="center"/>
            </w:pPr>
            <w:r>
              <w:t>15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11" w:type="dxa"/>
            <w:vAlign w:val="center"/>
          </w:tcPr>
          <w:p>
            <w:pPr>
              <w:jc w:val="center"/>
            </w:pPr>
            <w:r>
              <w:t>10</w:t>
            </w:r>
          </w:p>
        </w:tc>
        <w:tc>
          <w:tcPr>
            <w:tcW w:w="874" w:type="dxa"/>
            <w:vMerge w:val="continue"/>
          </w:tcPr>
          <w:p/>
        </w:tc>
        <w:tc>
          <w:tcPr>
            <w:tcW w:w="1170" w:type="dxa"/>
            <w:vAlign w:val="center"/>
          </w:tcPr>
          <w:p>
            <w:pPr>
              <w:jc w:val="center"/>
            </w:pPr>
            <w:r>
              <w:rPr>
                <w:rFonts w:hint="eastAsia"/>
              </w:rPr>
              <w:t>空间方案</w:t>
            </w:r>
          </w:p>
        </w:tc>
        <w:tc>
          <w:tcPr>
            <w:tcW w:w="6071" w:type="dxa"/>
          </w:tcPr>
          <w:p>
            <w:r>
              <w:rPr>
                <w:rFonts w:hint="eastAsia"/>
              </w:rPr>
              <w:t>是否有具体的空间布局方案，方案是否科学合理；对于空间方案是否有完善的表达（优得</w:t>
            </w:r>
            <w:r>
              <w:t>15-12</w:t>
            </w:r>
            <w:r>
              <w:rPr>
                <w:rFonts w:hint="eastAsia"/>
              </w:rPr>
              <w:t>.1分，良得</w:t>
            </w:r>
            <w:r>
              <w:t>12</w:t>
            </w:r>
            <w:r>
              <w:rPr>
                <w:rFonts w:hint="eastAsia"/>
              </w:rPr>
              <w:t>-</w:t>
            </w:r>
            <w:r>
              <w:t>9</w:t>
            </w:r>
            <w:r>
              <w:rPr>
                <w:rFonts w:hint="eastAsia"/>
              </w:rPr>
              <w:t>.1分，差得</w:t>
            </w:r>
            <w:r>
              <w:t>9</w:t>
            </w:r>
            <w:r>
              <w:rPr>
                <w:rFonts w:hint="eastAsia"/>
              </w:rPr>
              <w:t>-0分。）</w:t>
            </w:r>
          </w:p>
        </w:tc>
        <w:tc>
          <w:tcPr>
            <w:tcW w:w="1031" w:type="dxa"/>
            <w:vAlign w:val="center"/>
          </w:tcPr>
          <w:p>
            <w:pPr>
              <w:jc w:val="center"/>
            </w:pPr>
            <w:r>
              <w:t>15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11" w:type="dxa"/>
            <w:vAlign w:val="center"/>
          </w:tcPr>
          <w:p>
            <w:pPr>
              <w:jc w:val="center"/>
            </w:pPr>
            <w:r>
              <w:rPr>
                <w:rFonts w:hint="eastAsia"/>
              </w:rPr>
              <w:t>1</w:t>
            </w:r>
            <w:r>
              <w:t>1</w:t>
            </w:r>
          </w:p>
        </w:tc>
        <w:tc>
          <w:tcPr>
            <w:tcW w:w="874" w:type="dxa"/>
            <w:vMerge w:val="continue"/>
          </w:tcPr>
          <w:p/>
        </w:tc>
        <w:tc>
          <w:tcPr>
            <w:tcW w:w="1170" w:type="dxa"/>
            <w:vAlign w:val="center"/>
          </w:tcPr>
          <w:p>
            <w:pPr>
              <w:jc w:val="center"/>
            </w:pPr>
            <w:r>
              <w:rPr>
                <w:rFonts w:hint="eastAsia"/>
              </w:rPr>
              <w:t>实施建议</w:t>
            </w:r>
          </w:p>
        </w:tc>
        <w:tc>
          <w:tcPr>
            <w:tcW w:w="6071" w:type="dxa"/>
          </w:tcPr>
          <w:p>
            <w:r>
              <w:rPr>
                <w:rFonts w:hint="eastAsia"/>
              </w:rPr>
              <w:t>对项目未来实施的建设时序安排、各阶段行动计划、项目投资估算等方面是否提出合理的建议。（优得5-4.1分，良得4-2.1分，差得2-0分。）</w:t>
            </w:r>
          </w:p>
        </w:tc>
        <w:tc>
          <w:tcPr>
            <w:tcW w:w="1031" w:type="dxa"/>
            <w:vAlign w:val="center"/>
          </w:tcPr>
          <w:p>
            <w:pPr>
              <w:jc w:val="center"/>
            </w:pPr>
            <w:r>
              <w:rPr>
                <w:rFonts w:hint="eastAsia"/>
              </w:rPr>
              <w:t>5分</w:t>
            </w:r>
          </w:p>
        </w:tc>
      </w:tr>
    </w:tbl>
    <w:p>
      <w:pPr>
        <w:pStyle w:val="24"/>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jc w:val="center"/>
      </w:pPr>
      <w:bookmarkStart w:id="11" w:name="_Toc7480"/>
      <w:r>
        <w:rPr>
          <w:rFonts w:hint="eastAsia"/>
        </w:rPr>
        <w:t>第四章 项目需求</w:t>
      </w:r>
      <w:bookmarkEnd w:id="11"/>
    </w:p>
    <w:p>
      <w:pPr>
        <w:autoSpaceDE w:val="0"/>
        <w:autoSpaceDN w:val="0"/>
        <w:adjustRightInd w:val="0"/>
        <w:spacing w:line="360" w:lineRule="auto"/>
        <w:ind w:firstLine="562" w:firstLineChars="200"/>
        <w:rPr>
          <w:rFonts w:ascii="微软雅黑" w:hAnsi="微软雅黑" w:eastAsia="微软雅黑"/>
          <w:sz w:val="24"/>
        </w:rPr>
      </w:pPr>
      <w:bookmarkStart w:id="12" w:name="_Toc269666268"/>
      <w:bookmarkStart w:id="13" w:name="_Toc239831557"/>
      <w:bookmarkStart w:id="14" w:name="_Toc239830073"/>
      <w:bookmarkStart w:id="15" w:name="_Toc216075976"/>
      <w:r>
        <w:rPr>
          <w:rFonts w:hint="eastAsia" w:ascii="Arial" w:hAnsi="Arial" w:cs="Arial"/>
          <w:b/>
          <w:bCs/>
          <w:sz w:val="28"/>
          <w:szCs w:val="28"/>
          <w:lang w:val="zh-CN"/>
        </w:rPr>
        <w:t>1、</w:t>
      </w:r>
      <w:bookmarkEnd w:id="12"/>
      <w:bookmarkEnd w:id="13"/>
      <w:bookmarkEnd w:id="14"/>
      <w:bookmarkEnd w:id="15"/>
      <w:r>
        <w:rPr>
          <w:rFonts w:hint="eastAsia" w:ascii="Arial" w:hAnsi="Arial" w:cs="Arial"/>
          <w:b/>
          <w:bCs/>
          <w:sz w:val="28"/>
          <w:szCs w:val="28"/>
          <w:lang w:val="zh-CN"/>
        </w:rPr>
        <w:t>项目概况</w:t>
      </w:r>
    </w:p>
    <w:p>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三门县大周塘片区位于三门滨海科技城西北侧，北邻旗门港，南靠自然山体，形成背山面海之势。</w:t>
      </w:r>
    </w:p>
    <w:p>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近年来，三门县经济开发区产业发展迅速，产业用地空间需求较高。同时，受国家用海政策影响，原拟填海</w:t>
      </w:r>
      <w:r>
        <w:rPr>
          <w:rFonts w:ascii="宋体" w:hAnsi="宋体"/>
          <w:color w:val="auto"/>
          <w:kern w:val="0"/>
          <w:sz w:val="24"/>
          <w:lang w:val="zh-CN"/>
        </w:rPr>
        <w:t>开发</w:t>
      </w:r>
      <w:r>
        <w:rPr>
          <w:rFonts w:hint="eastAsia" w:ascii="宋体" w:hAnsi="宋体"/>
          <w:color w:val="auto"/>
          <w:kern w:val="0"/>
          <w:sz w:val="24"/>
          <w:lang w:val="zh-CN"/>
        </w:rPr>
        <w:t>用地空间大幅缩减；而大周塘片区区位优势</w:t>
      </w:r>
      <w:r>
        <w:rPr>
          <w:rFonts w:ascii="宋体" w:hAnsi="宋体"/>
          <w:color w:val="auto"/>
          <w:kern w:val="0"/>
          <w:sz w:val="24"/>
          <w:lang w:val="zh-CN"/>
        </w:rPr>
        <w:t>明显，</w:t>
      </w:r>
      <w:r>
        <w:rPr>
          <w:rFonts w:hint="eastAsia" w:ascii="宋体" w:hAnsi="宋体"/>
          <w:color w:val="auto"/>
          <w:kern w:val="0"/>
          <w:sz w:val="24"/>
          <w:lang w:val="zh-CN"/>
        </w:rPr>
        <w:t>基地内部地势平坦，用地条件</w:t>
      </w:r>
      <w:r>
        <w:rPr>
          <w:rFonts w:ascii="宋体" w:hAnsi="宋体"/>
          <w:color w:val="auto"/>
          <w:kern w:val="0"/>
          <w:sz w:val="24"/>
          <w:lang w:val="zh-CN"/>
        </w:rPr>
        <w:t>较</w:t>
      </w:r>
      <w:r>
        <w:rPr>
          <w:rFonts w:hint="eastAsia" w:ascii="宋体" w:hAnsi="宋体"/>
          <w:color w:val="auto"/>
          <w:kern w:val="0"/>
          <w:sz w:val="24"/>
          <w:lang w:val="zh-CN"/>
        </w:rPr>
        <w:t>好，开发潜力巨大。基于此，为充分发挥片区</w:t>
      </w:r>
      <w:r>
        <w:rPr>
          <w:rFonts w:ascii="宋体" w:hAnsi="宋体"/>
          <w:color w:val="auto"/>
          <w:kern w:val="0"/>
          <w:sz w:val="24"/>
          <w:lang w:val="zh-CN"/>
        </w:rPr>
        <w:t>开发</w:t>
      </w:r>
      <w:r>
        <w:rPr>
          <w:rFonts w:hint="eastAsia" w:ascii="宋体" w:hAnsi="宋体"/>
          <w:color w:val="auto"/>
          <w:kern w:val="0"/>
          <w:sz w:val="24"/>
          <w:lang w:val="zh-CN"/>
        </w:rPr>
        <w:t>土地利用价值，释放</w:t>
      </w:r>
      <w:r>
        <w:rPr>
          <w:rFonts w:ascii="宋体" w:hAnsi="宋体"/>
          <w:color w:val="auto"/>
          <w:kern w:val="0"/>
          <w:sz w:val="24"/>
          <w:lang w:val="zh-CN"/>
        </w:rPr>
        <w:t>更多产业拓展空间，</w:t>
      </w:r>
      <w:r>
        <w:rPr>
          <w:rFonts w:hint="eastAsia" w:ascii="宋体" w:hAnsi="宋体"/>
          <w:color w:val="auto"/>
          <w:kern w:val="0"/>
          <w:sz w:val="24"/>
          <w:lang w:val="zh-CN"/>
        </w:rPr>
        <w:t>进一步</w:t>
      </w:r>
      <w:r>
        <w:rPr>
          <w:rFonts w:ascii="宋体" w:hAnsi="宋体"/>
          <w:color w:val="auto"/>
          <w:kern w:val="0"/>
          <w:sz w:val="24"/>
          <w:lang w:val="zh-CN"/>
        </w:rPr>
        <w:t>提升</w:t>
      </w:r>
      <w:r>
        <w:rPr>
          <w:rFonts w:hint="eastAsia" w:ascii="宋体" w:hAnsi="宋体"/>
          <w:color w:val="auto"/>
          <w:kern w:val="0"/>
          <w:sz w:val="24"/>
          <w:lang w:val="zh-CN"/>
        </w:rPr>
        <w:t>滨海</w:t>
      </w:r>
      <w:r>
        <w:rPr>
          <w:rFonts w:ascii="宋体" w:hAnsi="宋体"/>
          <w:color w:val="auto"/>
          <w:kern w:val="0"/>
          <w:sz w:val="24"/>
          <w:lang w:val="zh-CN"/>
        </w:rPr>
        <w:t>科技城的</w:t>
      </w:r>
      <w:r>
        <w:rPr>
          <w:rFonts w:hint="eastAsia" w:ascii="宋体" w:hAnsi="宋体"/>
          <w:color w:val="auto"/>
          <w:kern w:val="0"/>
          <w:sz w:val="24"/>
          <w:lang w:val="zh-CN"/>
        </w:rPr>
        <w:t>辐射带动作用，</w:t>
      </w:r>
      <w:r>
        <w:rPr>
          <w:rFonts w:hint="eastAsia" w:ascii="宋体" w:hAnsi="宋体"/>
          <w:bCs/>
          <w:color w:val="auto"/>
          <w:kern w:val="0"/>
          <w:sz w:val="24"/>
          <w:lang w:val="zh-CN"/>
        </w:rPr>
        <w:t>三门县</w:t>
      </w:r>
      <w:r>
        <w:rPr>
          <w:rFonts w:ascii="宋体" w:hAnsi="宋体"/>
          <w:bCs/>
          <w:color w:val="auto"/>
          <w:kern w:val="0"/>
          <w:sz w:val="24"/>
          <w:lang w:val="zh-CN"/>
        </w:rPr>
        <w:t>经济开发区管理委员会</w:t>
      </w:r>
      <w:r>
        <w:rPr>
          <w:rFonts w:hint="eastAsia" w:ascii="宋体" w:hAnsi="宋体"/>
          <w:color w:val="auto"/>
          <w:kern w:val="0"/>
          <w:sz w:val="24"/>
          <w:lang w:val="zh-CN"/>
        </w:rPr>
        <w:t>特组织开展《三门滨海科技城大周塘拓展区规划研究》项目。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562" w:firstLineChars="200"/>
        <w:jc w:val="left"/>
        <w:outlineLvl w:val="0"/>
        <w:rPr>
          <w:rFonts w:ascii="Arial" w:hAnsi="Arial" w:cs="Arial"/>
          <w:b/>
          <w:bCs/>
          <w:sz w:val="28"/>
          <w:szCs w:val="28"/>
          <w:lang w:val="zh-CN"/>
        </w:rPr>
      </w:pPr>
      <w:bookmarkStart w:id="16" w:name="_Toc6787"/>
      <w:r>
        <w:rPr>
          <w:rFonts w:hint="eastAsia" w:ascii="Arial" w:hAnsi="Arial" w:cs="Arial"/>
          <w:b/>
          <w:bCs/>
          <w:sz w:val="28"/>
          <w:szCs w:val="28"/>
        </w:rPr>
        <w:t>2、</w:t>
      </w:r>
      <w:r>
        <w:rPr>
          <w:rFonts w:hint="eastAsia" w:ascii="Arial" w:hAnsi="Arial" w:cs="Arial"/>
          <w:b/>
          <w:bCs/>
          <w:sz w:val="28"/>
          <w:szCs w:val="28"/>
          <w:lang w:val="zh-CN"/>
        </w:rPr>
        <w:t>投标报价为项目包干价。</w:t>
      </w:r>
      <w:bookmarkEnd w:id="16"/>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投标报价为项目包干价，包括涉及本项目实施所发生的全部费用及相关的项目实施、交通及相关业务费用、售后服务、利润、规费、税金、政策性文件规定、合同包含的所有风险责任等各项费用及不可预见费等所需的全部费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562" w:firstLineChars="200"/>
        <w:jc w:val="left"/>
        <w:outlineLvl w:val="0"/>
        <w:rPr>
          <w:rFonts w:ascii="Arial" w:hAnsi="Arial" w:cs="Arial"/>
          <w:b/>
          <w:bCs/>
          <w:sz w:val="28"/>
          <w:szCs w:val="28"/>
          <w:lang w:val="zh-CN"/>
        </w:rPr>
      </w:pPr>
      <w:bookmarkStart w:id="17" w:name="_Toc19055"/>
      <w:r>
        <w:rPr>
          <w:rFonts w:hint="eastAsia" w:ascii="Arial" w:hAnsi="Arial" w:cs="Arial"/>
          <w:b/>
          <w:bCs/>
          <w:sz w:val="28"/>
          <w:szCs w:val="28"/>
          <w:lang w:val="zh-CN"/>
        </w:rPr>
        <w:t>3、设计要求和成果内容</w:t>
      </w:r>
      <w:bookmarkEnd w:id="17"/>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本次规划</w:t>
      </w:r>
      <w:r>
        <w:rPr>
          <w:rFonts w:ascii="宋体" w:hAnsi="宋体"/>
          <w:kern w:val="0"/>
          <w:sz w:val="24"/>
          <w:lang w:val="zh-CN"/>
        </w:rPr>
        <w:t>研究</w:t>
      </w:r>
      <w:r>
        <w:rPr>
          <w:rFonts w:hint="eastAsia" w:ascii="宋体" w:hAnsi="宋体"/>
          <w:kern w:val="0"/>
          <w:sz w:val="24"/>
          <w:lang w:val="zh-CN"/>
        </w:rPr>
        <w:t>应能完整、清晰的表达规划思路，深入研究规划区的发展目标及功能业态，空间布局、交通组织、公共空间、景观风貌等内容，加强对城市区域空间立体性，平面协调性等方面的规划和管控。规划要点具体如下：</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（1）总体定位：结合三门县经济开发区总体发展定位以及相关规划，梳理区域内及周边自然资源，进一步深入挖掘基地的产业业态、城市风貌、生态格局等，明确其发展愿景、定位及规划理念</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（2）功能布局：导入新兴服务功能，探索重点地区发展新动能，形成与滨海科技城及周边城区功能错位联动，发挥激发市场活力、肩负县级功能疏解外溢的引擎作用。</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（3）空间形态引导：以重点地区陆域区域为空间载体，联动蓝色海湾及主干水系，营造疏密有度、和谐自然、水城共融的滨海空间。对城市界面景观特征、视廊控制、环境设施等提出引导要求。</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（4）交通组织：加强重点地区与周边的交通联系，完善城市综合交通体系。秉承公交及慢行交通优先发展理念，打造绿色、集约的交通组织，形成衔接顺畅、便捷的交通体系。</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（5）公共空间：充分利用区域内的海、水、山等生态景观资源，营造优美、安全、舒适、共享的城市公共空间。提高公共空间覆盖率、连续性，注重城市绿道、公园布局与开放空间的串联融合</w:t>
      </w:r>
    </w:p>
    <w:p>
      <w:pPr>
        <w:pStyle w:val="2"/>
        <w:spacing w:line="360" w:lineRule="auto"/>
        <w:ind w:firstLine="480" w:firstLineChars="200"/>
        <w:rPr>
          <w:rFonts w:ascii="宋体" w:hAnsi="宋体"/>
          <w:kern w:val="0"/>
          <w:sz w:val="24"/>
          <w:lang w:val="zh-CN"/>
        </w:rPr>
      </w:pPr>
      <w:r>
        <w:rPr>
          <w:rFonts w:hint="eastAsia" w:ascii="宋体" w:hAnsi="宋体"/>
          <w:kern w:val="0"/>
          <w:sz w:val="24"/>
          <w:lang w:val="zh-CN"/>
        </w:rPr>
        <w:t>（6）实施建议：规划应统筹协调基地与滨海科技城的关系，突出重点地区合理的分期建设方案以及经济测算内容，包括分期开发建设项目、规模及投资估算。</w:t>
      </w:r>
    </w:p>
    <w:p>
      <w:pPr>
        <w:pStyle w:val="45"/>
        <w:tabs>
          <w:tab w:val="left" w:pos="851"/>
        </w:tabs>
        <w:adjustRightInd w:val="0"/>
        <w:snapToGrid w:val="0"/>
        <w:spacing w:beforeAutospacing="0" w:afterAutospacing="0" w:line="380" w:lineRule="exact"/>
        <w:ind w:firstLine="720" w:firstLineChars="300"/>
        <w:rPr>
          <w:kern w:val="2"/>
          <w:sz w:val="24"/>
          <w:szCs w:val="24"/>
        </w:rPr>
      </w:pPr>
      <w:r>
        <w:rPr>
          <w:rFonts w:hint="eastAsia"/>
          <w:sz w:val="24"/>
          <w:szCs w:val="24"/>
          <w:lang w:val="zh-CN"/>
        </w:rPr>
        <w:t>三门滨海科技城大周塘拓展区规划</w:t>
      </w:r>
      <w:r>
        <w:rPr>
          <w:rFonts w:hint="eastAsia"/>
          <w:kern w:val="2"/>
          <w:sz w:val="24"/>
          <w:szCs w:val="24"/>
        </w:rPr>
        <w:t>研究成果内容包括：</w:t>
      </w:r>
    </w:p>
    <w:p>
      <w:pPr>
        <w:pStyle w:val="45"/>
        <w:tabs>
          <w:tab w:val="left" w:pos="851"/>
        </w:tabs>
        <w:adjustRightInd w:val="0"/>
        <w:snapToGrid w:val="0"/>
        <w:spacing w:line="380" w:lineRule="exact"/>
        <w:ind w:firstLine="720" w:firstLineChars="300"/>
        <w:rPr>
          <w:kern w:val="2"/>
          <w:sz w:val="24"/>
          <w:szCs w:val="24"/>
        </w:rPr>
      </w:pPr>
      <w:r>
        <w:rPr>
          <w:rFonts w:hint="eastAsia"/>
          <w:kern w:val="2"/>
          <w:sz w:val="24"/>
          <w:szCs w:val="24"/>
        </w:rPr>
        <w:t>本规划成果应准确、完整地阐述规划意图和内容，符合本任务书中所提出的深度要</w:t>
      </w:r>
    </w:p>
    <w:p>
      <w:pPr>
        <w:pStyle w:val="45"/>
        <w:tabs>
          <w:tab w:val="left" w:pos="851"/>
        </w:tabs>
        <w:adjustRightInd w:val="0"/>
        <w:snapToGrid w:val="0"/>
        <w:spacing w:beforeAutospacing="0" w:afterAutospacing="0" w:line="380" w:lineRule="exact"/>
        <w:rPr>
          <w:kern w:val="2"/>
          <w:sz w:val="24"/>
          <w:szCs w:val="24"/>
        </w:rPr>
      </w:pPr>
      <w:r>
        <w:rPr>
          <w:rFonts w:hint="eastAsia"/>
          <w:kern w:val="2"/>
          <w:sz w:val="24"/>
          <w:szCs w:val="24"/>
        </w:rPr>
        <w:t>求。规划成果包括规划研究</w:t>
      </w:r>
      <w:r>
        <w:rPr>
          <w:kern w:val="2"/>
          <w:sz w:val="24"/>
          <w:szCs w:val="24"/>
        </w:rPr>
        <w:t>报告文本</w:t>
      </w:r>
      <w:r>
        <w:rPr>
          <w:rFonts w:hint="eastAsia"/>
          <w:kern w:val="2"/>
          <w:sz w:val="24"/>
          <w:szCs w:val="24"/>
        </w:rPr>
        <w:t>及</w:t>
      </w:r>
      <w:r>
        <w:rPr>
          <w:kern w:val="2"/>
          <w:sz w:val="24"/>
          <w:szCs w:val="24"/>
        </w:rPr>
        <w:t>相关图纸</w:t>
      </w:r>
      <w:r>
        <w:rPr>
          <w:rFonts w:hint="eastAsia"/>
          <w:kern w:val="2"/>
          <w:sz w:val="24"/>
          <w:szCs w:val="24"/>
        </w:rPr>
        <w:t>。成果图纸应包含但不限于以下图纸：</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）区域位置图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）现状分析图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）总平面图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）规划结构图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）道路交通规划图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）绿地景观规划图</w:t>
      </w:r>
    </w:p>
    <w:p>
      <w:pPr>
        <w:spacing w:before="156" w:beforeLines="50" w:line="380" w:lineRule="exact"/>
        <w:ind w:firstLine="960" w:firstLineChars="400"/>
        <w:rPr>
          <w:rFonts w:ascii="宋体" w:hAnsi="宋体" w:cs="宋体"/>
          <w:sz w:val="24"/>
        </w:rPr>
      </w:pPr>
      <w:r>
        <w:rPr>
          <w:rFonts w:hint="eastAsia" w:ascii="宋体" w:hAnsi="宋体" w:cs="宋体"/>
          <w:sz w:val="24"/>
        </w:rPr>
        <w:t>（7）分期建设规划图</w:t>
      </w:r>
    </w:p>
    <w:p>
      <w:pPr>
        <w:spacing w:before="156" w:beforeLines="50" w:line="380" w:lineRule="exact"/>
        <w:ind w:firstLine="960" w:firstLineChars="4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）与设计相关的其他图纸</w:t>
      </w:r>
    </w:p>
    <w:p>
      <w:pPr>
        <w:spacing w:before="156" w:beforeLines="50" w:line="380" w:lineRule="exact"/>
        <w:ind w:left="821" w:leftChars="391"/>
        <w:rPr>
          <w:rFonts w:ascii="宋体" w:hAnsi="宋体" w:cs="宋体"/>
          <w:sz w:val="24"/>
        </w:rPr>
      </w:pPr>
      <w:r>
        <w:rPr>
          <w:rFonts w:hint="eastAsia" w:ascii="宋体" w:hAnsi="宋体" w:cs="宋体"/>
          <w:sz w:val="24"/>
        </w:rPr>
        <w:t>3、提交方案审查用阶段使用的A3规格文本8套，电子光盘2套；</w:t>
      </w:r>
    </w:p>
    <w:p>
      <w:pPr>
        <w:spacing w:before="156" w:beforeLines="50" w:line="380" w:lineRule="exact"/>
        <w:ind w:left="821" w:leftChars="391"/>
        <w:rPr>
          <w:rFonts w:ascii="宋体" w:hAnsi="宋体" w:cs="宋体"/>
          <w:sz w:val="24"/>
        </w:rPr>
      </w:pPr>
      <w:r>
        <w:rPr>
          <w:rFonts w:hint="eastAsia" w:ascii="宋体" w:hAnsi="宋体" w:cs="宋体"/>
          <w:sz w:val="24"/>
        </w:rPr>
        <w:t>4、方案通过审查并修改完善后，制作正式成果A3规格文本10套、电子光盘2套，以及用于本项目内容汇报使用的多媒体文件1套。</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before="50" w:line="360" w:lineRule="auto"/>
        <w:ind w:right="705" w:firstLine="562" w:firstLineChars="200"/>
        <w:jc w:val="left"/>
        <w:outlineLvl w:val="0"/>
        <w:rPr>
          <w:rFonts w:ascii="Arial" w:hAnsi="Arial" w:cs="Arial"/>
          <w:b/>
          <w:bCs/>
          <w:sz w:val="28"/>
          <w:szCs w:val="28"/>
          <w:lang w:val="zh-CN"/>
        </w:rPr>
      </w:pPr>
      <w:bookmarkStart w:id="18" w:name="_Toc10161"/>
      <w:r>
        <w:rPr>
          <w:rFonts w:hint="eastAsia" w:ascii="Arial" w:hAnsi="Arial" w:cs="Arial"/>
          <w:b/>
          <w:bCs/>
          <w:sz w:val="28"/>
          <w:szCs w:val="28"/>
        </w:rPr>
        <w:t>4</w:t>
      </w:r>
      <w:r>
        <w:rPr>
          <w:rFonts w:hint="eastAsia" w:ascii="Arial" w:hAnsi="Arial" w:cs="Arial"/>
          <w:b/>
          <w:bCs/>
          <w:sz w:val="28"/>
          <w:szCs w:val="28"/>
          <w:lang w:val="zh-CN"/>
        </w:rPr>
        <w:t>、商务需求</w:t>
      </w:r>
      <w:bookmarkEnd w:id="18"/>
    </w:p>
    <w:p>
      <w:pPr>
        <w:spacing w:before="50" w:line="360" w:lineRule="auto"/>
        <w:ind w:right="703" w:rightChars="335" w:firstLine="720" w:firstLineChars="300"/>
        <w:rPr>
          <w:rFonts w:ascii="宋体" w:hAnsi="宋体" w:cs="宋体"/>
          <w:color w:val="auto"/>
          <w:sz w:val="24"/>
        </w:rPr>
      </w:pPr>
      <w:r>
        <w:rPr>
          <w:rFonts w:hint="eastAsia" w:ascii="宋体" w:hAnsi="宋体" w:cs="宋体"/>
          <w:color w:val="auto"/>
          <w:sz w:val="24"/>
        </w:rPr>
        <w:t>1、工期：总工期</w:t>
      </w:r>
      <w:r>
        <w:rPr>
          <w:rFonts w:ascii="宋体" w:hAnsi="宋体" w:cs="宋体"/>
          <w:color w:val="auto"/>
          <w:sz w:val="24"/>
        </w:rPr>
        <w:t>30</w:t>
      </w:r>
      <w:r>
        <w:rPr>
          <w:rFonts w:hint="eastAsia" w:ascii="宋体" w:hAnsi="宋体" w:cs="宋体"/>
          <w:color w:val="auto"/>
          <w:sz w:val="24"/>
        </w:rPr>
        <w:t>天。合同签订后</w:t>
      </w:r>
      <w:r>
        <w:rPr>
          <w:rFonts w:ascii="宋体" w:hAnsi="宋体" w:cs="宋体"/>
          <w:color w:val="auto"/>
          <w:sz w:val="24"/>
        </w:rPr>
        <w:t>20</w:t>
      </w:r>
      <w:r>
        <w:rPr>
          <w:rFonts w:hint="eastAsia" w:ascii="宋体" w:hAnsi="宋体" w:cs="宋体"/>
          <w:color w:val="auto"/>
          <w:sz w:val="24"/>
        </w:rPr>
        <w:t>天内提交审查方案，收到采购人审查意见后</w:t>
      </w:r>
      <w:r>
        <w:rPr>
          <w:rFonts w:ascii="宋体" w:hAnsi="宋体" w:cs="宋体"/>
          <w:color w:val="auto"/>
          <w:sz w:val="24"/>
        </w:rPr>
        <w:t>10</w:t>
      </w:r>
      <w:r>
        <w:rPr>
          <w:rFonts w:hint="eastAsia" w:ascii="宋体" w:hAnsi="宋体" w:cs="宋体"/>
          <w:color w:val="auto"/>
          <w:sz w:val="24"/>
        </w:rPr>
        <w:t>天内提供最终规划成果。</w:t>
      </w:r>
    </w:p>
    <w:p>
      <w:pPr>
        <w:spacing w:before="50" w:line="360" w:lineRule="auto"/>
        <w:ind w:right="703" w:rightChars="335" w:firstLine="720" w:firstLineChars="300"/>
        <w:rPr>
          <w:rFonts w:ascii="宋体" w:hAnsi="宋体" w:cs="宋体"/>
          <w:color w:val="auto"/>
          <w:sz w:val="24"/>
        </w:rPr>
      </w:pPr>
      <w:r>
        <w:rPr>
          <w:rFonts w:hint="eastAsia" w:ascii="宋体" w:hAnsi="宋体" w:cs="宋体"/>
          <w:color w:val="auto"/>
          <w:sz w:val="24"/>
        </w:rPr>
        <w:t>2、付款方式：合同签订后五个</w:t>
      </w:r>
      <w:r>
        <w:rPr>
          <w:rFonts w:ascii="宋体" w:hAnsi="宋体" w:cs="宋体"/>
          <w:color w:val="auto"/>
          <w:sz w:val="24"/>
        </w:rPr>
        <w:t>工作日内</w:t>
      </w:r>
      <w:r>
        <w:rPr>
          <w:rFonts w:hint="eastAsia" w:ascii="宋体" w:hAnsi="宋体" w:cs="宋体"/>
          <w:color w:val="auto"/>
          <w:sz w:val="24"/>
        </w:rPr>
        <w:t>支付合同价的30%，</w:t>
      </w:r>
      <w:r>
        <w:rPr>
          <w:rFonts w:hint="eastAsia" w:ascii="宋体" w:hAnsi="宋体" w:cs="宋体"/>
          <w:color w:val="auto"/>
          <w:sz w:val="24"/>
          <w:lang w:eastAsia="zh-CN"/>
        </w:rPr>
        <w:t>规划研究</w:t>
      </w:r>
      <w:r>
        <w:rPr>
          <w:rFonts w:hint="eastAsia" w:ascii="宋体" w:hAnsi="宋体" w:cs="宋体"/>
          <w:color w:val="auto"/>
          <w:sz w:val="24"/>
        </w:rPr>
        <w:t>方案通过采购单位组织审查后五个</w:t>
      </w:r>
      <w:r>
        <w:rPr>
          <w:rFonts w:ascii="宋体" w:hAnsi="宋体" w:cs="宋体"/>
          <w:color w:val="auto"/>
          <w:sz w:val="24"/>
        </w:rPr>
        <w:t>工作日内</w:t>
      </w:r>
      <w:r>
        <w:rPr>
          <w:rFonts w:hint="eastAsia" w:ascii="宋体" w:hAnsi="宋体" w:cs="宋体"/>
          <w:color w:val="auto"/>
          <w:sz w:val="24"/>
        </w:rPr>
        <w:t>支付合同价的60%，供应商根据审查意见修改完善并提交</w:t>
      </w:r>
      <w:r>
        <w:rPr>
          <w:rFonts w:hint="eastAsia" w:ascii="宋体" w:hAnsi="宋体" w:cs="宋体"/>
          <w:color w:val="auto"/>
          <w:sz w:val="24"/>
          <w:lang w:eastAsia="zh-CN"/>
        </w:rPr>
        <w:t>规划研究</w:t>
      </w:r>
      <w:r>
        <w:rPr>
          <w:rFonts w:hint="eastAsia" w:ascii="宋体" w:hAnsi="宋体" w:cs="宋体"/>
          <w:color w:val="auto"/>
          <w:sz w:val="24"/>
        </w:rPr>
        <w:t>成果稿后五个</w:t>
      </w:r>
      <w:r>
        <w:rPr>
          <w:rFonts w:ascii="宋体" w:hAnsi="宋体" w:cs="宋体"/>
          <w:color w:val="auto"/>
          <w:sz w:val="24"/>
        </w:rPr>
        <w:t>工作日内</w:t>
      </w:r>
      <w:r>
        <w:rPr>
          <w:rFonts w:hint="eastAsia" w:ascii="宋体" w:hAnsi="宋体" w:cs="宋体"/>
          <w:color w:val="auto"/>
          <w:sz w:val="24"/>
          <w:lang w:val="zh-CN"/>
        </w:rPr>
        <w:t>支付合同价的</w:t>
      </w:r>
      <w:r>
        <w:rPr>
          <w:rFonts w:hint="eastAsia" w:ascii="宋体" w:hAnsi="宋体" w:cs="宋体"/>
          <w:color w:val="auto"/>
          <w:sz w:val="24"/>
        </w:rPr>
        <w:t>10</w:t>
      </w:r>
      <w:r>
        <w:rPr>
          <w:rFonts w:hint="eastAsia" w:ascii="宋体" w:hAnsi="宋体" w:cs="宋体"/>
          <w:color w:val="auto"/>
          <w:sz w:val="24"/>
          <w:lang w:val="zh-CN"/>
        </w:rPr>
        <w:t>%</w:t>
      </w:r>
      <w:r>
        <w:rPr>
          <w:rFonts w:hint="eastAsia" w:ascii="宋体" w:hAnsi="宋体" w:cs="宋体"/>
          <w:color w:val="auto"/>
          <w:sz w:val="24"/>
        </w:rPr>
        <w:t>。</w:t>
      </w:r>
    </w:p>
    <w:p>
      <w:pPr>
        <w:widowControl/>
        <w:jc w:val="left"/>
        <w:rPr>
          <w:rFonts w:asciiTheme="minorEastAsia" w:hAnsiTheme="minorEastAsia" w:eastAsiaTheme="minorEastAsia"/>
          <w:sz w:val="36"/>
          <w:szCs w:val="36"/>
        </w:rPr>
      </w:pPr>
    </w:p>
    <w:p>
      <w:pPr>
        <w:widowControl/>
        <w:jc w:val="left"/>
        <w:rPr>
          <w:rFonts w:hAnsi="宋体"/>
          <w:snapToGrid w:val="0"/>
          <w:sz w:val="24"/>
        </w:rPr>
      </w:pPr>
    </w:p>
    <w:p>
      <w:pPr>
        <w:pStyle w:val="4"/>
        <w:jc w:val="center"/>
      </w:pPr>
      <w:bookmarkStart w:id="19" w:name="_Toc23437"/>
      <w:r>
        <w:rPr>
          <w:rFonts w:hint="eastAsia"/>
        </w:rPr>
        <w:t>第五章　合同主要条款指引</w:t>
      </w:r>
      <w:bookmarkEnd w:id="19"/>
    </w:p>
    <w:p>
      <w:pPr>
        <w:ind w:left="1500" w:hanging="1400" w:hangingChars="5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zh-CN" w:eastAsia="zh-CN"/>
        </w:rPr>
        <w:t xml:space="preserve"> 三门县滨海科技城大周塘区块产业研究及概念规划项目</w:t>
      </w:r>
      <w:r>
        <w:rPr>
          <w:rFonts w:hint="eastAsia" w:asciiTheme="minorEastAsia" w:hAnsiTheme="minorEastAsia" w:eastAsiaTheme="minorEastAsia" w:cstheme="minorEastAsia"/>
          <w:sz w:val="28"/>
          <w:szCs w:val="28"/>
          <w:u w:val="single"/>
        </w:rPr>
        <w:t xml:space="preserve">   </w:t>
      </w:r>
    </w:p>
    <w:p>
      <w:pPr>
        <w:spacing w:line="360" w:lineRule="auto"/>
        <w:ind w:left="2100" w:hanging="1960" w:hangingChars="700"/>
        <w:jc w:val="lef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rPr>
        <w:t>委托方（甲方）：</w:t>
      </w:r>
      <w:r>
        <w:rPr>
          <w:rFonts w:hint="eastAsia" w:asciiTheme="minorEastAsia" w:hAnsiTheme="minorEastAsia" w:eastAsiaTheme="minorEastAsia" w:cstheme="minorEastAsia"/>
          <w:sz w:val="28"/>
          <w:szCs w:val="28"/>
          <w:u w:val="single"/>
        </w:rPr>
        <w:t xml:space="preserve"> 三门县</w:t>
      </w:r>
      <w:r>
        <w:rPr>
          <w:rFonts w:hint="eastAsia" w:asciiTheme="minorEastAsia" w:hAnsiTheme="minorEastAsia" w:eastAsiaTheme="minorEastAsia" w:cstheme="minorEastAsia"/>
          <w:sz w:val="28"/>
          <w:szCs w:val="28"/>
          <w:u w:val="single"/>
          <w:lang w:eastAsia="zh-CN"/>
        </w:rPr>
        <w:t>滨海科技城开发建设有限公司</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受托方（乙方）：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签订时间：    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年  月   日 </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签订地点：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有效期限：</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pPr>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bCs/>
          <w:sz w:val="28"/>
          <w:szCs w:val="28"/>
        </w:rPr>
        <w:t>委托方（甲方）</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                        </w:t>
      </w:r>
      <w:r>
        <w:rPr>
          <w:rFonts w:hint="eastAsia" w:asciiTheme="minorEastAsia" w:hAnsiTheme="minorEastAsia" w:eastAsiaTheme="minorEastAsia" w:cstheme="minorEastAsia"/>
          <w:b/>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  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传   真：</w:t>
      </w:r>
      <w:r>
        <w:rPr>
          <w:rFonts w:hint="eastAsia" w:asciiTheme="minorEastAsia" w:hAnsiTheme="minorEastAsia" w:eastAsiaTheme="minorEastAsia" w:cstheme="minorEastAsia"/>
          <w:sz w:val="28"/>
          <w:szCs w:val="28"/>
          <w:u w:val="single"/>
        </w:rPr>
        <w:t xml:space="preserve">                </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xml:space="preserve">受托方（乙方）： </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  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传 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600" w:firstLineChars="200"/>
        <w:rPr>
          <w:rFonts w:ascii="仿宋_GB2312" w:hAnsi="宋体" w:eastAsia="仿宋_GB2312"/>
          <w:sz w:val="30"/>
        </w:rPr>
      </w:pPr>
    </w:p>
    <w:p>
      <w:pPr>
        <w:pStyle w:val="2"/>
        <w:rPr>
          <w:rFonts w:hint="eastAsia" w:eastAsia="仿宋_GB2312"/>
          <w:lang w:eastAsia="zh-CN"/>
        </w:rPr>
      </w:pPr>
    </w:p>
    <w:p>
      <w:pPr>
        <w:pStyle w:val="2"/>
        <w:rPr>
          <w:rFonts w:hint="eastAsia" w:eastAsia="仿宋_GB2312"/>
          <w:lang w:eastAsia="zh-CN"/>
        </w:rPr>
      </w:pPr>
    </w:p>
    <w:p>
      <w:pPr>
        <w:pStyle w:val="2"/>
        <w:rPr>
          <w:rFonts w:hint="eastAsia" w:eastAsia="仿宋_GB2312"/>
          <w:lang w:eastAsia="zh-CN"/>
        </w:rPr>
      </w:pPr>
    </w:p>
    <w:p>
      <w:pPr>
        <w:pStyle w:val="2"/>
        <w:rPr>
          <w:rFonts w:ascii="仿宋_GB2312" w:hAnsi="宋体" w:eastAsia="仿宋_GB2312"/>
          <w:sz w:val="30"/>
        </w:rPr>
      </w:pPr>
    </w:p>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本合同甲方委托乙方</w:t>
      </w:r>
      <w:r>
        <w:rPr>
          <w:rFonts w:hint="eastAsia" w:ascii="宋体" w:hAnsi="宋体" w:eastAsia="宋体" w:cs="宋体"/>
          <w:sz w:val="24"/>
          <w:szCs w:val="24"/>
          <w:lang w:eastAsia="zh-CN"/>
        </w:rPr>
        <w:t>开展</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lang w:val="zh-CN"/>
        </w:rPr>
        <w:t>三门县滨海科技城大周塘区块产业研究及概念规划项目</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修编工作</w:t>
      </w:r>
      <w:r>
        <w:rPr>
          <w:rFonts w:hint="eastAsia" w:ascii="宋体" w:hAnsi="宋体" w:eastAsia="宋体" w:cs="宋体"/>
          <w:sz w:val="24"/>
          <w:szCs w:val="24"/>
        </w:rPr>
        <w:t>，并支付相应技术服务报酬。双方经过平等协商，在真实、充分地表达各自意愿的基础上，根据《中华人民共和国合同法》等规定，达成如下协议，并由双方共同恪守。</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甲方委托乙方进行技术服务的内容。</w:t>
      </w:r>
    </w:p>
    <w:p>
      <w:pPr>
        <w:numPr>
          <w:ilvl w:val="0"/>
          <w:numId w:val="4"/>
        </w:numPr>
        <w:spacing w:line="360" w:lineRule="auto"/>
        <w:rPr>
          <w:rFonts w:hint="eastAsia" w:ascii="宋体" w:hAnsi="宋体" w:eastAsia="宋体" w:cs="宋体"/>
          <w:sz w:val="24"/>
          <w:szCs w:val="24"/>
          <w:u w:val="single"/>
        </w:rPr>
      </w:pPr>
      <w:r>
        <w:rPr>
          <w:rFonts w:hint="eastAsia" w:ascii="宋体" w:hAnsi="宋体" w:eastAsia="宋体" w:cs="宋体"/>
          <w:sz w:val="24"/>
          <w:szCs w:val="24"/>
        </w:rPr>
        <w:t>技术服务的目标：</w:t>
      </w:r>
      <w:r>
        <w:rPr>
          <w:rFonts w:hint="eastAsia" w:ascii="宋体" w:hAnsi="宋体" w:eastAsia="宋体" w:cs="宋体"/>
          <w:sz w:val="24"/>
          <w:szCs w:val="24"/>
          <w:u w:val="single"/>
          <w:lang w:val="en-US" w:eastAsia="zh-CN"/>
        </w:rPr>
        <w:t>完成</w:t>
      </w:r>
      <w:r>
        <w:rPr>
          <w:rFonts w:hint="eastAsia" w:ascii="宋体" w:hAnsi="宋体" w:eastAsia="宋体" w:cs="宋体"/>
          <w:sz w:val="24"/>
          <w:szCs w:val="24"/>
          <w:u w:val="single"/>
          <w:lang w:val="zh-CN" w:eastAsia="zh-CN"/>
        </w:rPr>
        <w:t>三门县滨海科技城大周塘区块产业研究及概念规划项目</w:t>
      </w:r>
      <w:r>
        <w:rPr>
          <w:rFonts w:hint="eastAsia" w:ascii="宋体" w:hAnsi="宋体" w:eastAsia="宋体" w:cs="宋体"/>
          <w:sz w:val="24"/>
          <w:szCs w:val="24"/>
          <w:u w:val="single"/>
          <w:lang w:val="en-US" w:eastAsia="zh-CN"/>
        </w:rPr>
        <w:t>成</w:t>
      </w:r>
      <w:r>
        <w:rPr>
          <w:rFonts w:hint="eastAsia" w:ascii="宋体" w:hAnsi="宋体" w:eastAsia="宋体" w:cs="宋体"/>
          <w:sz w:val="24"/>
          <w:szCs w:val="24"/>
          <w:u w:val="single"/>
          <w:lang w:eastAsia="zh-CN"/>
        </w:rPr>
        <w:t>果</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spacing w:line="360" w:lineRule="auto"/>
        <w:rPr>
          <w:rFonts w:hint="eastAsia" w:ascii="宋体" w:hAnsi="宋体" w:eastAsia="宋体" w:cs="宋体"/>
          <w:kern w:val="2"/>
          <w:sz w:val="24"/>
          <w:szCs w:val="24"/>
          <w:u w:val="single"/>
          <w:lang w:val="zh-CN"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技术服务的内容：</w:t>
      </w:r>
      <w:r>
        <w:rPr>
          <w:rFonts w:hint="eastAsia" w:ascii="宋体" w:hAnsi="宋体" w:eastAsia="宋体" w:cs="宋体"/>
          <w:kern w:val="2"/>
          <w:sz w:val="24"/>
          <w:szCs w:val="24"/>
          <w:u w:val="single"/>
          <w:lang w:val="zh-CN" w:eastAsia="zh-CN" w:bidi="ar-SA"/>
        </w:rPr>
        <w:t>结合三门县经济开发区总体发展定位以及相关规划，梳理区域内及周边自然资源，进一步深入挖掘基地的产业业态、城市风貌、生态格局等，明确其发展愿景、定位及规划理念，研究区域内功能布局、空间形态引导、交通组织及公共空间等</w:t>
      </w:r>
      <w:r>
        <w:rPr>
          <w:rFonts w:hint="eastAsia" w:ascii="宋体" w:hAnsi="宋体" w:eastAsia="宋体" w:cs="宋体"/>
          <w:kern w:val="2"/>
          <w:sz w:val="24"/>
          <w:szCs w:val="24"/>
          <w:u w:val="single"/>
          <w:lang w:val="en-US" w:eastAsia="zh-CN" w:bidi="ar-SA"/>
        </w:rPr>
        <w:t>，形成规划研究报告文本及相关图纸。</w:t>
      </w:r>
    </w:p>
    <w:p>
      <w:pPr>
        <w:numPr>
          <w:ilvl w:val="0"/>
          <w:numId w:val="0"/>
        </w:numPr>
        <w:spacing w:line="360" w:lineRule="auto"/>
        <w:ind w:leftChars="0"/>
        <w:rPr>
          <w:rFonts w:hint="eastAsia" w:ascii="宋体" w:hAnsi="宋体" w:eastAsia="宋体" w:cs="宋体"/>
          <w:sz w:val="24"/>
          <w:szCs w:val="24"/>
          <w:u w:val="single"/>
        </w:rPr>
      </w:pPr>
      <w:r>
        <w:rPr>
          <w:rFonts w:hint="eastAsia" w:ascii="宋体" w:hAnsi="宋体" w:eastAsia="宋体" w:cs="宋体"/>
          <w:sz w:val="24"/>
          <w:szCs w:val="24"/>
          <w:lang w:val="en-US" w:eastAsia="zh-CN"/>
        </w:rPr>
        <w:t>3.</w:t>
      </w:r>
      <w:r>
        <w:rPr>
          <w:rFonts w:hint="eastAsia" w:ascii="宋体" w:hAnsi="宋体" w:eastAsia="宋体" w:cs="宋体"/>
          <w:sz w:val="24"/>
          <w:szCs w:val="24"/>
        </w:rPr>
        <w:t>技术服务的</w:t>
      </w:r>
      <w:r>
        <w:rPr>
          <w:rFonts w:hint="eastAsia" w:ascii="宋体" w:hAnsi="宋体" w:eastAsia="宋体" w:cs="宋体"/>
          <w:sz w:val="24"/>
          <w:szCs w:val="24"/>
          <w:u w:val="none"/>
        </w:rPr>
        <w:t>方式：</w:t>
      </w:r>
      <w:r>
        <w:rPr>
          <w:rFonts w:hint="eastAsia" w:ascii="宋体" w:hAnsi="宋体" w:eastAsia="宋体" w:cs="宋体"/>
          <w:sz w:val="24"/>
          <w:szCs w:val="24"/>
          <w:u w:val="single"/>
        </w:rPr>
        <w:t xml:space="preserve">    提供书面</w:t>
      </w:r>
      <w:r>
        <w:rPr>
          <w:rFonts w:hint="eastAsia" w:ascii="宋体" w:hAnsi="宋体" w:eastAsia="宋体" w:cs="宋体"/>
          <w:sz w:val="24"/>
          <w:szCs w:val="24"/>
          <w:u w:val="single"/>
          <w:lang w:eastAsia="zh-CN"/>
        </w:rPr>
        <w:t>文本</w:t>
      </w:r>
      <w:r>
        <w:rPr>
          <w:rFonts w:hint="eastAsia" w:ascii="宋体" w:hAnsi="宋体" w:eastAsia="宋体" w:cs="宋体"/>
          <w:sz w:val="24"/>
          <w:szCs w:val="24"/>
          <w:u w:val="single"/>
        </w:rPr>
        <w:t xml:space="preserve">和电子文件成果。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第二条</w:t>
      </w:r>
      <w:r>
        <w:rPr>
          <w:rFonts w:hint="eastAsia" w:ascii="宋体" w:hAnsi="宋体" w:eastAsia="宋体" w:cs="宋体"/>
          <w:sz w:val="24"/>
          <w:szCs w:val="24"/>
        </w:rPr>
        <w:t xml:space="preserve">  乙方应按下列要求完成技术服务工作。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1.技术服务地点：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2.技术服务期限：</w:t>
      </w:r>
      <w:r>
        <w:rPr>
          <w:rFonts w:hint="eastAsia" w:ascii="宋体" w:hAnsi="宋体" w:eastAsia="宋体" w:cs="宋体"/>
          <w:sz w:val="24"/>
          <w:szCs w:val="24"/>
          <w:u w:val="single"/>
        </w:rPr>
        <w:t xml:space="preserve">           合同有效期限。                 </w:t>
      </w:r>
    </w:p>
    <w:p>
      <w:pPr>
        <w:spacing w:line="360" w:lineRule="auto"/>
        <w:rPr>
          <w:rFonts w:hint="eastAsia" w:ascii="宋体" w:hAnsi="宋体" w:eastAsia="宋体" w:cs="宋体"/>
          <w:sz w:val="24"/>
          <w:szCs w:val="24"/>
        </w:rPr>
      </w:pPr>
      <w:r>
        <w:rPr>
          <w:rFonts w:hint="eastAsia" w:ascii="宋体" w:hAnsi="宋体" w:eastAsia="宋体" w:cs="宋体"/>
          <w:sz w:val="24"/>
          <w:szCs w:val="24"/>
        </w:rPr>
        <w:t>3.技术服务进度：</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w:t>
      </w:r>
      <w:r>
        <w:rPr>
          <w:rFonts w:hint="eastAsia" w:ascii="宋体" w:hAnsi="宋体" w:eastAsia="宋体" w:cs="宋体"/>
          <w:sz w:val="24"/>
          <w:szCs w:val="24"/>
          <w:u w:val="single"/>
          <w:lang w:eastAsia="zh-CN"/>
        </w:rPr>
        <w:t>合同签订后</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lang w:eastAsia="zh-CN"/>
        </w:rPr>
        <w:t>天内提交审查方案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w:t>
      </w:r>
      <w:r>
        <w:rPr>
          <w:rFonts w:hint="eastAsia" w:ascii="宋体" w:hAnsi="宋体" w:eastAsia="宋体" w:cs="宋体"/>
          <w:sz w:val="24"/>
          <w:szCs w:val="24"/>
          <w:u w:val="single"/>
          <w:lang w:eastAsia="zh-CN"/>
        </w:rPr>
        <w:t>收到采购人审查意见后</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lang w:eastAsia="zh-CN"/>
        </w:rPr>
        <w:t>天内提供最终规划成果。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2"/>
        <w:spacing w:line="360" w:lineRule="auto"/>
        <w:rPr>
          <w:rFonts w:hint="eastAsia" w:ascii="宋体" w:hAnsi="宋体" w:eastAsia="宋体" w:cs="宋体"/>
          <w:sz w:val="24"/>
          <w:szCs w:val="24"/>
          <w:u w:val="single"/>
        </w:rPr>
      </w:pPr>
      <w:r>
        <w:rPr>
          <w:rFonts w:hint="eastAsia" w:ascii="宋体" w:hAnsi="宋体" w:eastAsia="宋体" w:cs="宋体"/>
          <w:sz w:val="24"/>
          <w:szCs w:val="24"/>
        </w:rPr>
        <w:t>4.技术服务质量期限要求：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按有关规定 。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为保证乙方有效进行技术服务工作，甲方应当向乙方提供下列工作条件和协作事项。</w:t>
      </w:r>
    </w:p>
    <w:p>
      <w:pPr>
        <w:spacing w:line="360" w:lineRule="auto"/>
        <w:rPr>
          <w:rFonts w:hint="eastAsia" w:ascii="宋体" w:hAnsi="宋体" w:eastAsia="宋体" w:cs="宋体"/>
          <w:sz w:val="24"/>
          <w:szCs w:val="24"/>
        </w:rPr>
      </w:pPr>
      <w:r>
        <w:rPr>
          <w:rFonts w:hint="eastAsia" w:ascii="宋体" w:hAnsi="宋体" w:eastAsia="宋体" w:cs="宋体"/>
          <w:sz w:val="24"/>
          <w:szCs w:val="24"/>
        </w:rPr>
        <w:t>1.提供技术资料：</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zh-CN" w:eastAsia="zh-CN"/>
        </w:rPr>
        <w:t>三门县滨海科技城大周塘区块产业研究及概念规划项目</w:t>
      </w:r>
      <w:r>
        <w:rPr>
          <w:rFonts w:hint="eastAsia" w:ascii="宋体" w:hAnsi="宋体" w:eastAsia="宋体" w:cs="宋体"/>
          <w:sz w:val="24"/>
          <w:szCs w:val="24"/>
          <w:highlight w:val="none"/>
          <w:u w:val="single"/>
          <w:lang w:eastAsia="zh-CN"/>
        </w:rPr>
        <w:t>》文本及相关电子文件；</w:t>
      </w:r>
      <w:r>
        <w:rPr>
          <w:rFonts w:hint="eastAsia" w:ascii="宋体" w:hAnsi="宋体" w:eastAsia="宋体" w:cs="宋体"/>
          <w:sz w:val="24"/>
          <w:szCs w:val="24"/>
          <w:highlight w:val="none"/>
          <w:u w:val="single"/>
        </w:rPr>
        <w:t xml:space="preserve"> </w:t>
      </w:r>
    </w:p>
    <w:p>
      <w:pPr>
        <w:spacing w:line="44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 xml:space="preserve">涉及本次研究范围的地形图文件；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研究</w:t>
      </w:r>
      <w:r>
        <w:rPr>
          <w:rFonts w:hint="eastAsia" w:ascii="宋体" w:hAnsi="宋体" w:eastAsia="宋体" w:cs="宋体"/>
          <w:sz w:val="24"/>
          <w:szCs w:val="24"/>
          <w:highlight w:val="none"/>
          <w:u w:val="single"/>
          <w:lang w:eastAsia="zh-CN"/>
        </w:rPr>
        <w:t>范围内及周边的城乡规划相关资料。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2.提供工作条件：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协助现场调研。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 xml:space="preserve"> 方案</w:t>
      </w:r>
      <w:r>
        <w:rPr>
          <w:rFonts w:hint="eastAsia" w:ascii="宋体" w:hAnsi="宋体" w:eastAsia="宋体" w:cs="宋体"/>
          <w:sz w:val="24"/>
          <w:szCs w:val="24"/>
          <w:u w:val="single"/>
          <w:lang w:eastAsia="zh-CN"/>
        </w:rPr>
        <w:t>审查</w:t>
      </w:r>
      <w:r>
        <w:rPr>
          <w:rFonts w:hint="eastAsia" w:ascii="宋体" w:hAnsi="宋体" w:eastAsia="宋体" w:cs="宋体"/>
          <w:sz w:val="24"/>
          <w:szCs w:val="24"/>
          <w:u w:val="single"/>
        </w:rPr>
        <w:t>的组织、协调</w:t>
      </w:r>
      <w:r>
        <w:rPr>
          <w:rFonts w:hint="eastAsia" w:ascii="宋体" w:hAnsi="宋体" w:eastAsia="宋体" w:cs="宋体"/>
          <w:sz w:val="24"/>
          <w:szCs w:val="24"/>
          <w:u w:val="single"/>
          <w:lang w:eastAsia="zh-CN"/>
        </w:rPr>
        <w:t>，最终成果的验收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按合同支付经费。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3.其他：</w:t>
      </w:r>
      <w:r>
        <w:rPr>
          <w:rFonts w:hint="eastAsia" w:ascii="宋体" w:hAnsi="宋体" w:eastAsia="宋体" w:cs="宋体"/>
          <w:sz w:val="24"/>
          <w:szCs w:val="24"/>
          <w:u w:val="single"/>
        </w:rPr>
        <w:t xml:space="preserve"> 未尽事宜双方协商。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numPr>
          <w:ilvl w:val="0"/>
          <w:numId w:val="4"/>
        </w:numPr>
        <w:spacing w:line="360" w:lineRule="auto"/>
        <w:rPr>
          <w:rFonts w:hint="eastAsia" w:ascii="宋体" w:hAnsi="宋体" w:eastAsia="宋体" w:cs="宋体"/>
          <w:sz w:val="24"/>
          <w:szCs w:val="24"/>
          <w:u w:val="single"/>
        </w:rPr>
      </w:pPr>
      <w:r>
        <w:rPr>
          <w:rFonts w:hint="eastAsia" w:ascii="宋体" w:hAnsi="宋体" w:eastAsia="宋体" w:cs="宋体"/>
          <w:sz w:val="24"/>
          <w:szCs w:val="24"/>
        </w:rPr>
        <w:t>甲方提供上述工作条件和协作事项的时间及方式：</w:t>
      </w:r>
      <w:r>
        <w:rPr>
          <w:rFonts w:hint="eastAsia" w:ascii="宋体" w:hAnsi="宋体" w:eastAsia="宋体" w:cs="宋体"/>
          <w:sz w:val="24"/>
          <w:szCs w:val="24"/>
          <w:u w:val="single"/>
        </w:rPr>
        <w:t xml:space="preserve"> 提供工作条件和协作事项的时间为乙方</w:t>
      </w:r>
      <w:r>
        <w:rPr>
          <w:rFonts w:hint="eastAsia" w:ascii="宋体" w:hAnsi="宋体" w:eastAsia="宋体" w:cs="宋体"/>
          <w:sz w:val="24"/>
          <w:szCs w:val="24"/>
          <w:u w:val="single"/>
          <w:lang w:eastAsia="zh-CN"/>
        </w:rPr>
        <w:t>规划研究</w:t>
      </w:r>
      <w:r>
        <w:rPr>
          <w:rFonts w:hint="eastAsia" w:ascii="宋体" w:hAnsi="宋体" w:eastAsia="宋体" w:cs="宋体"/>
          <w:sz w:val="24"/>
          <w:szCs w:val="24"/>
          <w:u w:val="single"/>
        </w:rPr>
        <w:t>的全过程；方式为甲、乙双方密切配合。</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支付技术服务报酬及支付方式。</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技术服务费总额为：</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具体支付方式和时间如下：</w:t>
      </w:r>
    </w:p>
    <w:p>
      <w:pPr>
        <w:numPr>
          <w:ilvl w:val="0"/>
          <w:numId w:val="5"/>
        </w:numPr>
        <w:spacing w:line="360" w:lineRule="auto"/>
        <w:ind w:left="0" w:firstLine="0"/>
        <w:rPr>
          <w:rFonts w:hint="eastAsia" w:ascii="宋体" w:hAnsi="宋体" w:eastAsia="宋体" w:cs="宋体"/>
          <w:sz w:val="24"/>
          <w:szCs w:val="24"/>
          <w:u w:val="single"/>
        </w:rPr>
      </w:pPr>
      <w:r>
        <w:rPr>
          <w:rFonts w:hint="eastAsia" w:ascii="宋体" w:hAnsi="宋体" w:eastAsia="宋体" w:cs="宋体"/>
          <w:sz w:val="24"/>
          <w:szCs w:val="24"/>
          <w:u w:val="single"/>
        </w:rPr>
        <w:t>合同签订后五个工作日内支付合同价的30%。</w:t>
      </w:r>
    </w:p>
    <w:p>
      <w:pPr>
        <w:numPr>
          <w:ilvl w:val="0"/>
          <w:numId w:val="5"/>
        </w:numPr>
        <w:spacing w:line="360" w:lineRule="auto"/>
        <w:ind w:left="0" w:firstLine="0"/>
        <w:rPr>
          <w:rFonts w:hint="eastAsia" w:ascii="宋体" w:hAnsi="宋体" w:eastAsia="宋体" w:cs="宋体"/>
          <w:sz w:val="24"/>
          <w:szCs w:val="24"/>
          <w:u w:val="single"/>
        </w:rPr>
      </w:pPr>
      <w:r>
        <w:rPr>
          <w:rFonts w:hint="eastAsia" w:ascii="宋体" w:hAnsi="宋体" w:eastAsia="宋体" w:cs="宋体"/>
          <w:sz w:val="24"/>
          <w:szCs w:val="24"/>
          <w:u w:val="single"/>
          <w:lang w:eastAsia="zh-CN"/>
        </w:rPr>
        <w:t>规划研究</w:t>
      </w:r>
      <w:r>
        <w:rPr>
          <w:rFonts w:hint="eastAsia" w:ascii="宋体" w:hAnsi="宋体" w:eastAsia="宋体" w:cs="宋体"/>
          <w:sz w:val="24"/>
          <w:szCs w:val="24"/>
          <w:u w:val="single"/>
        </w:rPr>
        <w:t>方案通过采购单位组织审查后五个工作日内支付合同价的60%。</w:t>
      </w:r>
    </w:p>
    <w:p>
      <w:pPr>
        <w:numPr>
          <w:ilvl w:val="0"/>
          <w:numId w:val="5"/>
        </w:numPr>
        <w:spacing w:line="360" w:lineRule="auto"/>
        <w:ind w:left="0" w:firstLine="0"/>
        <w:rPr>
          <w:rFonts w:hint="eastAsia" w:ascii="宋体" w:hAnsi="宋体" w:eastAsia="宋体" w:cs="宋体"/>
          <w:sz w:val="24"/>
          <w:szCs w:val="24"/>
          <w:u w:val="single"/>
        </w:rPr>
      </w:pPr>
      <w:r>
        <w:rPr>
          <w:rFonts w:hint="eastAsia" w:ascii="宋体" w:hAnsi="宋体" w:eastAsia="宋体" w:cs="宋体"/>
          <w:sz w:val="24"/>
          <w:szCs w:val="24"/>
          <w:u w:val="single"/>
        </w:rPr>
        <w:t>供应商根据审查意见修改完善并提交</w:t>
      </w:r>
      <w:r>
        <w:rPr>
          <w:rFonts w:hint="eastAsia" w:ascii="宋体" w:hAnsi="宋体" w:eastAsia="宋体" w:cs="宋体"/>
          <w:sz w:val="24"/>
          <w:szCs w:val="24"/>
          <w:u w:val="single"/>
          <w:lang w:eastAsia="zh-CN"/>
        </w:rPr>
        <w:t>规划研究</w:t>
      </w:r>
      <w:r>
        <w:rPr>
          <w:rFonts w:hint="eastAsia" w:ascii="宋体" w:hAnsi="宋体" w:eastAsia="宋体" w:cs="宋体"/>
          <w:sz w:val="24"/>
          <w:szCs w:val="24"/>
          <w:u w:val="single"/>
        </w:rPr>
        <w:t>成果稿后五个工作日内</w:t>
      </w:r>
      <w:r>
        <w:rPr>
          <w:rFonts w:hint="eastAsia" w:ascii="宋体" w:hAnsi="宋体" w:eastAsia="宋体" w:cs="宋体"/>
          <w:sz w:val="24"/>
          <w:szCs w:val="24"/>
          <w:u w:val="single"/>
          <w:lang w:val="zh-CN"/>
        </w:rPr>
        <w:t>支付合同价的</w:t>
      </w:r>
      <w:r>
        <w:rPr>
          <w:rFonts w:hint="eastAsia" w:ascii="宋体" w:hAnsi="宋体" w:eastAsia="宋体" w:cs="宋体"/>
          <w:sz w:val="24"/>
          <w:szCs w:val="24"/>
          <w:u w:val="single"/>
        </w:rPr>
        <w:t>10</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双方确定因履行本合同应遵守的保密义务。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1.保密内容（包括技术信息和经营信息）：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2.涉密人员范围：</w:t>
      </w:r>
      <w:r>
        <w:rPr>
          <w:rFonts w:hint="eastAsia" w:ascii="宋体" w:hAnsi="宋体" w:eastAsia="宋体" w:cs="宋体"/>
          <w:sz w:val="24"/>
          <w:szCs w:val="24"/>
          <w:u w:val="single"/>
        </w:rPr>
        <w:t xml:space="preserve">   所涉及到的相关技术人员。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3.保密期限：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4.泄密责任：</w:t>
      </w:r>
      <w:r>
        <w:rPr>
          <w:rFonts w:hint="eastAsia" w:ascii="宋体" w:hAnsi="宋体" w:eastAsia="宋体" w:cs="宋体"/>
          <w:sz w:val="24"/>
          <w:szCs w:val="24"/>
          <w:u w:val="single"/>
        </w:rPr>
        <w:t xml:space="preserve">   按国家保密法规定执行。                            </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pPr>
        <w:spacing w:line="360" w:lineRule="auto"/>
        <w:rPr>
          <w:rFonts w:hint="eastAsia" w:ascii="宋体" w:hAnsi="宋体" w:eastAsia="宋体" w:cs="宋体"/>
          <w:sz w:val="24"/>
          <w:szCs w:val="24"/>
        </w:rPr>
      </w:pPr>
      <w:r>
        <w:rPr>
          <w:rFonts w:hint="eastAsia" w:ascii="宋体" w:hAnsi="宋体" w:eastAsia="宋体" w:cs="宋体"/>
          <w:sz w:val="24"/>
          <w:szCs w:val="24"/>
        </w:rPr>
        <w:t>1.保密内容（包括技术信息和经营信息）：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2.涉密人员范围：</w:t>
      </w:r>
      <w:r>
        <w:rPr>
          <w:rFonts w:hint="eastAsia" w:ascii="宋体" w:hAnsi="宋体" w:eastAsia="宋体" w:cs="宋体"/>
          <w:sz w:val="24"/>
          <w:szCs w:val="24"/>
          <w:u w:val="single"/>
        </w:rPr>
        <w:t xml:space="preserve"> 全体设计人员。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3.保密期限：</w:t>
      </w:r>
      <w:r>
        <w:rPr>
          <w:rFonts w:hint="eastAsia" w:ascii="宋体" w:hAnsi="宋体" w:eastAsia="宋体" w:cs="宋体"/>
          <w:sz w:val="24"/>
          <w:szCs w:val="24"/>
          <w:u w:val="single"/>
        </w:rPr>
        <w:t xml:space="preserve"> 按甲方要求、《保密法》。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4.泄密责任：</w:t>
      </w:r>
      <w:r>
        <w:rPr>
          <w:rFonts w:hint="eastAsia" w:ascii="宋体" w:hAnsi="宋体" w:eastAsia="宋体" w:cs="宋体"/>
          <w:sz w:val="24"/>
          <w:szCs w:val="24"/>
          <w:u w:val="single"/>
        </w:rPr>
        <w:t xml:space="preserve"> 按国家保密法规定执行 。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本合同的变更必须由双方协商一致，并以书面形式确定。但有下列情形之一的，一方可以向另一方提出变更合同权利与义务的请求，另一方应当在</w:t>
      </w:r>
      <w:r>
        <w:rPr>
          <w:rFonts w:hint="eastAsia" w:ascii="宋体" w:hAnsi="宋体" w:eastAsia="宋体" w:cs="宋体"/>
          <w:sz w:val="24"/>
          <w:szCs w:val="24"/>
          <w:u w:val="single"/>
        </w:rPr>
        <w:t xml:space="preserve"> 7 </w:t>
      </w:r>
      <w:r>
        <w:rPr>
          <w:rFonts w:hint="eastAsia" w:ascii="宋体" w:hAnsi="宋体" w:eastAsia="宋体" w:cs="宋体"/>
          <w:sz w:val="24"/>
          <w:szCs w:val="24"/>
        </w:rPr>
        <w:t>日内予以答复；逾期未予答复的，视为同意。</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 xml:space="preserve"> 委托任务有变更；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 xml:space="preserve"> 现场条件与提供条件不符。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双方确定以下列标准和方式对乙方的技术服务工作成果进行验收。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1.乙方完成技术服务工作的形式：</w:t>
      </w:r>
      <w:r>
        <w:rPr>
          <w:rFonts w:hint="eastAsia" w:ascii="宋体" w:hAnsi="宋体" w:eastAsia="宋体" w:cs="宋体"/>
          <w:sz w:val="24"/>
          <w:szCs w:val="24"/>
          <w:u w:val="single"/>
        </w:rPr>
        <w:t xml:space="preserve">正式成果A3规格文本10套、电子光盘2套，以及用于本项目内容汇报使用的多媒体文件1套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2.技术服务工作成果的验收标准：</w:t>
      </w:r>
      <w:r>
        <w:rPr>
          <w:rFonts w:hint="eastAsia" w:ascii="宋体" w:hAnsi="宋体" w:eastAsia="宋体" w:cs="宋体"/>
          <w:sz w:val="24"/>
          <w:szCs w:val="24"/>
          <w:u w:val="single"/>
        </w:rPr>
        <w:t xml:space="preserve"> 符合合同的技术服务目标、技术服务内容、技术服务方式。                            </w:t>
      </w:r>
    </w:p>
    <w:p>
      <w:pPr>
        <w:spacing w:line="360" w:lineRule="auto"/>
        <w:rPr>
          <w:rFonts w:hint="eastAsia" w:ascii="宋体" w:hAnsi="宋体" w:eastAsia="宋体" w:cs="宋体"/>
          <w:sz w:val="24"/>
          <w:szCs w:val="24"/>
        </w:rPr>
      </w:pPr>
      <w:r>
        <w:rPr>
          <w:rFonts w:hint="eastAsia" w:ascii="宋体" w:hAnsi="宋体" w:eastAsia="宋体" w:cs="宋体"/>
          <w:sz w:val="24"/>
          <w:szCs w:val="24"/>
        </w:rPr>
        <w:t>3.技术服务工作成果的验收方式：</w:t>
      </w:r>
      <w:r>
        <w:rPr>
          <w:rFonts w:hint="eastAsia" w:ascii="宋体" w:hAnsi="宋体" w:eastAsia="宋体" w:cs="宋体"/>
          <w:sz w:val="24"/>
          <w:szCs w:val="24"/>
          <w:u w:val="single"/>
        </w:rPr>
        <w:t xml:space="preserve"> 提交甲方所需最后成果。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4.验收的时间和地点：</w:t>
      </w:r>
      <w:r>
        <w:rPr>
          <w:rFonts w:hint="eastAsia" w:ascii="宋体" w:hAnsi="宋体" w:eastAsia="宋体" w:cs="宋体"/>
          <w:sz w:val="24"/>
          <w:szCs w:val="24"/>
          <w:u w:val="single"/>
        </w:rPr>
        <w:t xml:space="preserve">    由甲方确定。  </w:t>
      </w:r>
    </w:p>
    <w:p>
      <w:pPr>
        <w:spacing w:line="440" w:lineRule="exact"/>
        <w:rPr>
          <w:rFonts w:hint="eastAsia" w:ascii="宋体" w:hAnsi="宋体" w:eastAsia="宋体" w:cs="宋体"/>
          <w:b/>
          <w:bCs/>
          <w:sz w:val="24"/>
          <w:szCs w:val="24"/>
          <w:u w:val="single"/>
        </w:rPr>
      </w:pPr>
      <w:r>
        <w:rPr>
          <w:rFonts w:hint="eastAsia" w:ascii="宋体" w:hAnsi="宋体" w:eastAsia="宋体" w:cs="宋体"/>
          <w:b/>
          <w:bCs/>
          <w:sz w:val="24"/>
          <w:szCs w:val="24"/>
        </w:rPr>
        <w:t>第八条</w:t>
      </w:r>
      <w:r>
        <w:rPr>
          <w:rFonts w:hint="eastAsia" w:ascii="宋体" w:hAnsi="宋体" w:eastAsia="宋体" w:cs="宋体"/>
          <w:sz w:val="24"/>
          <w:szCs w:val="24"/>
        </w:rPr>
        <w:t xml:space="preserve">  双方约定本合同其他相关事项为：</w:t>
      </w:r>
      <w:r>
        <w:rPr>
          <w:rFonts w:hint="eastAsia" w:ascii="宋体" w:hAnsi="宋体" w:eastAsia="宋体" w:cs="宋体"/>
          <w:sz w:val="24"/>
          <w:szCs w:val="24"/>
          <w:u w:val="single"/>
        </w:rPr>
        <w:t>未尽事宜双方协商解决。</w:t>
      </w:r>
      <w:r>
        <w:rPr>
          <w:rFonts w:hint="eastAsia" w:ascii="宋体" w:hAnsi="宋体" w:eastAsia="宋体" w:cs="宋体"/>
          <w:sz w:val="24"/>
          <w:szCs w:val="24"/>
          <w:u w:val="single"/>
          <w:lang w:eastAsia="zh-CN"/>
        </w:rPr>
        <w:t>协商不</w:t>
      </w:r>
      <w:r>
        <w:rPr>
          <w:rFonts w:hint="eastAsia" w:ascii="宋体" w:hAnsi="宋体" w:eastAsia="宋体" w:cs="宋体"/>
          <w:sz w:val="24"/>
          <w:szCs w:val="24"/>
          <w:u w:val="single"/>
        </w:rPr>
        <w:t>成时，</w:t>
      </w:r>
      <w:r>
        <w:rPr>
          <w:rFonts w:hint="eastAsia" w:ascii="宋体" w:hAnsi="宋体" w:eastAsia="宋体" w:cs="宋体"/>
          <w:sz w:val="24"/>
          <w:szCs w:val="24"/>
          <w:u w:val="single"/>
          <w:lang w:eastAsia="zh-CN"/>
        </w:rPr>
        <w:t>双方可向</w:t>
      </w:r>
      <w:r>
        <w:rPr>
          <w:rFonts w:hint="eastAsia" w:ascii="宋体" w:hAnsi="宋体" w:eastAsia="宋体" w:cs="宋体"/>
          <w:sz w:val="24"/>
          <w:szCs w:val="24"/>
          <w:u w:val="single"/>
        </w:rPr>
        <w:t>甲方所在地</w:t>
      </w:r>
      <w:r>
        <w:rPr>
          <w:rFonts w:hint="eastAsia" w:ascii="宋体" w:hAnsi="宋体" w:eastAsia="宋体" w:cs="宋体"/>
          <w:sz w:val="24"/>
          <w:szCs w:val="24"/>
          <w:u w:val="single"/>
          <w:lang w:eastAsia="zh-CN"/>
        </w:rPr>
        <w:t>人民</w:t>
      </w:r>
      <w:r>
        <w:rPr>
          <w:rFonts w:hint="eastAsia" w:ascii="宋体" w:hAnsi="宋体" w:eastAsia="宋体" w:cs="宋体"/>
          <w:sz w:val="24"/>
          <w:szCs w:val="24"/>
          <w:u w:val="single"/>
        </w:rPr>
        <w:t>法院</w:t>
      </w:r>
      <w:r>
        <w:rPr>
          <w:rFonts w:hint="eastAsia" w:ascii="宋体" w:hAnsi="宋体" w:eastAsia="宋体" w:cs="宋体"/>
          <w:sz w:val="24"/>
          <w:szCs w:val="24"/>
          <w:u w:val="single"/>
          <w:lang w:eastAsia="zh-CN"/>
        </w:rPr>
        <w:t>提起诉讼</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xml:space="preserve"> 本合同一式</w:t>
      </w:r>
      <w:r>
        <w:rPr>
          <w:rFonts w:hint="eastAsia" w:ascii="宋体" w:hAnsi="宋体" w:eastAsia="宋体" w:cs="宋体"/>
          <w:sz w:val="24"/>
          <w:szCs w:val="24"/>
          <w:u w:val="single"/>
        </w:rPr>
        <w:t xml:space="preserve"> 六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三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三 </w:t>
      </w:r>
      <w:r>
        <w:rPr>
          <w:rFonts w:hint="eastAsia" w:ascii="宋体" w:hAnsi="宋体" w:eastAsia="宋体" w:cs="宋体"/>
          <w:sz w:val="24"/>
          <w:szCs w:val="24"/>
        </w:rPr>
        <w:t>份。</w:t>
      </w:r>
    </w:p>
    <w:p>
      <w:pPr>
        <w:spacing w:line="360" w:lineRule="auto"/>
        <w:rPr>
          <w:rFonts w:hint="eastAsia" w:ascii="宋体" w:hAnsi="宋体" w:eastAsia="宋体" w:cs="宋体"/>
          <w:sz w:val="24"/>
          <w:szCs w:val="24"/>
        </w:rPr>
      </w:pPr>
      <w:r>
        <w:rPr>
          <w:rFonts w:hint="eastAsia" w:ascii="宋体" w:hAnsi="宋体" w:eastAsia="宋体" w:cs="宋体"/>
          <w:b/>
          <w:sz w:val="24"/>
          <w:szCs w:val="24"/>
        </w:rPr>
        <w:softHyphen/>
      </w:r>
      <w:r>
        <w:rPr>
          <w:rFonts w:hint="eastAsia" w:ascii="宋体" w:hAnsi="宋体" w:eastAsia="宋体" w:cs="宋体"/>
          <w:b/>
          <w:sz w:val="24"/>
          <w:szCs w:val="24"/>
        </w:rPr>
        <w:t>第十条</w:t>
      </w:r>
      <w:r>
        <w:rPr>
          <w:rFonts w:hint="eastAsia" w:ascii="宋体" w:hAnsi="宋体" w:eastAsia="宋体" w:cs="宋体"/>
          <w:sz w:val="24"/>
          <w:szCs w:val="24"/>
        </w:rPr>
        <w:t xml:space="preserve"> 本合同经双方签字盖章后生效。</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甲方（公章）                                     乙方（公章）</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法定代表人：                                     法定代表人：</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委托代理人：                                     委托代理人：</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联系电话：                                       联系电话：</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开户银行：                                       开户银行：</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帐号：                                           帐号：</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地址及邮编：                                     地址及邮编：</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4"/>
        <w:jc w:val="center"/>
      </w:pPr>
      <w:bookmarkStart w:id="20" w:name="_Toc25860"/>
      <w:r>
        <w:rPr>
          <w:rFonts w:hint="eastAsia"/>
        </w:rPr>
        <w:t>第六章：响应文件格式附件</w:t>
      </w:r>
      <w:bookmarkEnd w:id="20"/>
    </w:p>
    <w:p>
      <w:pPr>
        <w:pStyle w:val="5"/>
        <w:rPr>
          <w:rFonts w:asciiTheme="majorEastAsia" w:hAnsiTheme="majorEastAsia"/>
          <w:color w:val="000000"/>
          <w:sz w:val="36"/>
          <w:szCs w:val="36"/>
        </w:rPr>
      </w:pPr>
      <w:bookmarkStart w:id="21" w:name="_Toc426"/>
      <w:r>
        <w:rPr>
          <w:rFonts w:hint="eastAsia" w:asciiTheme="majorEastAsia" w:hAnsiTheme="majorEastAsia"/>
          <w:kern w:val="0"/>
          <w:sz w:val="36"/>
          <w:szCs w:val="36"/>
        </w:rPr>
        <w:t>附件1</w:t>
      </w:r>
      <w:bookmarkEnd w:id="21"/>
      <w:r>
        <w:rPr>
          <w:rFonts w:hint="eastAsia" w:asciiTheme="majorEastAsia" w:hAnsiTheme="majorEastAsia"/>
          <w:sz w:val="36"/>
          <w:szCs w:val="36"/>
        </w:rPr>
        <w:t xml:space="preserve">                              　　　</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项目编号：（标项）</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磋</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jc w:val="center"/>
        <w:rPr>
          <w:rFonts w:ascii="宋体" w:hAnsi="宋体"/>
          <w:sz w:val="36"/>
          <w:szCs w:val="36"/>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color w:val="000000"/>
          <w:sz w:val="32"/>
          <w:szCs w:val="32"/>
        </w:rPr>
      </w:pPr>
      <w:r>
        <w:rPr>
          <w:rFonts w:ascii="宋体" w:hAnsi="宋体"/>
          <w:b/>
          <w:bCs/>
          <w:color w:val="000000"/>
          <w:sz w:val="32"/>
          <w:szCs w:val="32"/>
        </w:rPr>
        <w:br w:type="page"/>
      </w:r>
    </w:p>
    <w:p>
      <w:pPr>
        <w:snapToGrid w:val="0"/>
        <w:spacing w:before="50" w:after="50" w:line="360" w:lineRule="auto"/>
        <w:jc w:val="center"/>
        <w:rPr>
          <w:rFonts w:ascii="宋体" w:hAnsi="宋体"/>
          <w:b/>
          <w:bCs/>
          <w:color w:val="000000"/>
          <w:sz w:val="36"/>
          <w:szCs w:val="36"/>
        </w:rPr>
      </w:pPr>
      <w:r>
        <w:rPr>
          <w:rFonts w:hint="eastAsia" w:ascii="宋体" w:hAnsi="宋体"/>
          <w:b/>
          <w:bCs/>
          <w:color w:val="000000"/>
          <w:sz w:val="36"/>
          <w:szCs w:val="36"/>
        </w:rPr>
        <w:t>磋商响应文件目录</w:t>
      </w:r>
    </w:p>
    <w:p>
      <w:pPr>
        <w:snapToGrid w:val="0"/>
        <w:spacing w:before="50" w:after="50" w:line="420" w:lineRule="exact"/>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snapToGrid w:val="0"/>
        <w:spacing w:line="420" w:lineRule="exact"/>
        <w:ind w:firstLine="480" w:firstLineChars="200"/>
        <w:rPr>
          <w:rFonts w:hint="eastAsia" w:ascii="宋体" w:hAnsi="宋体" w:cs="宋体"/>
          <w:sz w:val="24"/>
        </w:rPr>
      </w:pPr>
      <w:r>
        <w:rPr>
          <w:rFonts w:hint="eastAsia" w:ascii="宋体" w:hAnsi="宋体" w:cs="宋体"/>
          <w:sz w:val="24"/>
        </w:rPr>
        <w:t>（1）磋商声明书（附件2）；</w:t>
      </w:r>
    </w:p>
    <w:p>
      <w:pPr>
        <w:snapToGrid w:val="0"/>
        <w:spacing w:line="420" w:lineRule="exact"/>
        <w:ind w:firstLine="480" w:firstLineChars="200"/>
        <w:rPr>
          <w:rFonts w:ascii="宋体" w:hAnsi="宋体" w:cs="宋体"/>
          <w:sz w:val="24"/>
        </w:rPr>
      </w:pPr>
      <w:r>
        <w:rPr>
          <w:rFonts w:hint="eastAsia" w:ascii="宋体" w:hAnsi="宋体" w:cs="宋体"/>
          <w:sz w:val="24"/>
        </w:rPr>
        <w:t>（2）授权委托书（附件3）；</w:t>
      </w:r>
    </w:p>
    <w:p>
      <w:pPr>
        <w:snapToGrid w:val="0"/>
        <w:spacing w:line="420" w:lineRule="exact"/>
        <w:ind w:firstLine="480" w:firstLineChars="200"/>
        <w:rPr>
          <w:rFonts w:ascii="宋体" w:hAnsi="宋体" w:cs="宋体"/>
          <w:sz w:val="24"/>
        </w:rPr>
      </w:pPr>
      <w:r>
        <w:rPr>
          <w:rFonts w:hint="eastAsia" w:ascii="宋体" w:hAnsi="宋体" w:cs="宋体"/>
          <w:sz w:val="24"/>
        </w:rPr>
        <w:t>（3）提供有效的营业执照复印件；如事业单位参加投标的，则提供有效的《事业单位法人证书》复印件；</w:t>
      </w:r>
    </w:p>
    <w:p>
      <w:pPr>
        <w:snapToGrid w:val="0"/>
        <w:spacing w:line="420" w:lineRule="exact"/>
        <w:ind w:firstLine="480" w:firstLineChars="200"/>
        <w:rPr>
          <w:rFonts w:ascii="宋体" w:hAnsi="宋体" w:cs="宋体"/>
          <w:sz w:val="24"/>
        </w:rPr>
      </w:pPr>
      <w:r>
        <w:rPr>
          <w:rFonts w:hint="eastAsia" w:ascii="宋体" w:hAnsi="宋体" w:cs="宋体"/>
          <w:sz w:val="24"/>
        </w:rPr>
        <w:t>（4）提供最近年度的资产负债表、利润表，或者银行出具的资信证明；</w:t>
      </w:r>
    </w:p>
    <w:p>
      <w:pPr>
        <w:snapToGrid w:val="0"/>
        <w:spacing w:line="420" w:lineRule="exact"/>
        <w:ind w:firstLine="480" w:firstLineChars="200"/>
        <w:rPr>
          <w:rFonts w:ascii="宋体" w:hAnsi="宋体" w:cs="宋体"/>
          <w:sz w:val="24"/>
        </w:rPr>
      </w:pPr>
      <w:r>
        <w:rPr>
          <w:rFonts w:hint="eastAsia" w:ascii="宋体" w:hAnsi="宋体" w:cs="宋体"/>
          <w:sz w:val="24"/>
        </w:rPr>
        <w:t>（5）提供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420" w:lineRule="exact"/>
        <w:ind w:firstLine="480" w:firstLineChars="200"/>
        <w:rPr>
          <w:rFonts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napToGrid w:val="0"/>
        <w:spacing w:line="420" w:lineRule="exact"/>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napToGrid w:val="0"/>
        <w:spacing w:line="420" w:lineRule="exact"/>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供应商情况介绍（附件4）；</w:t>
      </w:r>
    </w:p>
    <w:p>
      <w:pPr>
        <w:spacing w:line="420" w:lineRule="exact"/>
        <w:ind w:right="-108" w:firstLine="480" w:firstLineChars="200"/>
        <w:rPr>
          <w:rFonts w:ascii="宋体" w:hAnsi="宋体" w:cs="宋体"/>
          <w:sz w:val="24"/>
        </w:rPr>
      </w:pPr>
      <w:r>
        <w:rPr>
          <w:rFonts w:hint="eastAsia" w:ascii="宋体" w:hAnsi="宋体" w:cs="宋体"/>
          <w:sz w:val="24"/>
        </w:rPr>
        <w:t>（2）、商务及技术响应表（附件5）；</w:t>
      </w:r>
    </w:p>
    <w:p>
      <w:pPr>
        <w:spacing w:line="420" w:lineRule="exact"/>
        <w:ind w:right="-108" w:firstLine="480" w:firstLineChars="200"/>
        <w:rPr>
          <w:rFonts w:ascii="宋体" w:hAnsi="宋体" w:cs="宋体"/>
          <w:sz w:val="24"/>
        </w:rPr>
      </w:pPr>
      <w:r>
        <w:rPr>
          <w:rFonts w:hint="eastAsia" w:ascii="宋体" w:hAnsi="宋体" w:cs="宋体"/>
          <w:sz w:val="24"/>
        </w:rPr>
        <w:t>（3）、类似项目业绩一览表（附件6）；</w:t>
      </w:r>
    </w:p>
    <w:p>
      <w:pPr>
        <w:spacing w:line="420" w:lineRule="exact"/>
        <w:ind w:right="-108" w:firstLine="480" w:firstLineChars="200"/>
        <w:rPr>
          <w:rFonts w:ascii="宋体" w:hAnsi="宋体" w:cs="宋体"/>
          <w:sz w:val="24"/>
        </w:rPr>
      </w:pPr>
      <w:r>
        <w:rPr>
          <w:rFonts w:hint="eastAsia" w:ascii="宋体" w:hAnsi="宋体" w:cs="宋体"/>
          <w:sz w:val="24"/>
        </w:rPr>
        <w:t>（4）、项目实施人员一览表（附件7）；</w:t>
      </w:r>
    </w:p>
    <w:p>
      <w:pPr>
        <w:spacing w:line="420" w:lineRule="exact"/>
        <w:ind w:right="-108" w:firstLine="480" w:firstLineChars="200"/>
        <w:rPr>
          <w:rFonts w:ascii="宋体" w:hAnsi="宋体"/>
          <w:sz w:val="24"/>
        </w:rPr>
      </w:pPr>
      <w:r>
        <w:rPr>
          <w:rFonts w:hint="eastAsia" w:ascii="宋体" w:hAnsi="宋体"/>
          <w:sz w:val="24"/>
        </w:rPr>
        <w:t>（5）、对本项目采购需求的理解、技术服务方案、</w:t>
      </w:r>
      <w:r>
        <w:rPr>
          <w:rFonts w:hint="eastAsia" w:cs="宋体" w:asciiTheme="minorEastAsia" w:hAnsiTheme="minorEastAsia" w:eastAsiaTheme="minorEastAsia"/>
          <w:kern w:val="0"/>
          <w:sz w:val="24"/>
        </w:rPr>
        <w:t>项目组织实施方案</w:t>
      </w:r>
      <w:r>
        <w:rPr>
          <w:rFonts w:ascii="宋体" w:hAnsi="宋体"/>
          <w:color w:val="000000"/>
          <w:kern w:val="0"/>
          <w:sz w:val="24"/>
        </w:rPr>
        <w:t>、</w:t>
      </w:r>
      <w:r>
        <w:rPr>
          <w:rFonts w:hint="eastAsia" w:cs="宋体" w:asciiTheme="minorEastAsia" w:hAnsiTheme="minorEastAsia" w:eastAsiaTheme="minorEastAsia"/>
          <w:kern w:val="0"/>
          <w:sz w:val="24"/>
        </w:rPr>
        <w:t>培训计划及维护能力、售后服务及技术团队</w:t>
      </w:r>
      <w:r>
        <w:rPr>
          <w:rFonts w:hint="eastAsia" w:ascii="宋体" w:hAnsi="宋体"/>
          <w:sz w:val="24"/>
        </w:rPr>
        <w:t>等]（格式自拟）；</w:t>
      </w:r>
    </w:p>
    <w:p>
      <w:pPr>
        <w:spacing w:line="420" w:lineRule="exact"/>
        <w:ind w:right="-108" w:firstLine="480" w:firstLineChars="200"/>
        <w:rPr>
          <w:rFonts w:ascii="宋体" w:hAnsi="宋体" w:cs="宋体"/>
          <w:sz w:val="24"/>
        </w:rPr>
      </w:pPr>
      <w:r>
        <w:rPr>
          <w:rFonts w:hint="eastAsia" w:ascii="宋体" w:hAnsi="宋体" w:cs="宋体"/>
          <w:sz w:val="24"/>
        </w:rPr>
        <w:t>（6）、供应商认为需要提供的其他资料（包括可能影响供应商商务与技术内容评分的各类证明材料）；</w:t>
      </w:r>
    </w:p>
    <w:p>
      <w:pPr>
        <w:spacing w:line="420" w:lineRule="exact"/>
        <w:ind w:right="-108" w:firstLine="562" w:firstLineChars="20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报价</w:t>
      </w:r>
      <w:r>
        <w:rPr>
          <w:rFonts w:hint="eastAsia" w:ascii="宋体" w:hAnsi="宋体" w:cs="宋体"/>
          <w:b/>
          <w:bCs/>
          <w:sz w:val="28"/>
          <w:szCs w:val="28"/>
        </w:rPr>
        <w:t>部分</w:t>
      </w:r>
    </w:p>
    <w:p>
      <w:pPr>
        <w:spacing w:line="420" w:lineRule="exact"/>
        <w:ind w:right="-108" w:firstLine="480" w:firstLineChars="200"/>
        <w:rPr>
          <w:rFonts w:ascii="宋体" w:hAnsi="宋体" w:cs="宋体"/>
          <w:sz w:val="24"/>
        </w:rPr>
      </w:pPr>
      <w:r>
        <w:rPr>
          <w:rFonts w:hint="eastAsia" w:ascii="宋体" w:hAnsi="宋体" w:cs="宋体"/>
          <w:sz w:val="24"/>
        </w:rPr>
        <w:t>（1）、首次报价一览表 （见附件8）；</w:t>
      </w:r>
    </w:p>
    <w:p>
      <w:pPr>
        <w:spacing w:line="420" w:lineRule="exact"/>
        <w:ind w:right="-108"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）、投标人认为其他需要说明的内容；</w:t>
      </w:r>
    </w:p>
    <w:p>
      <w:pPr>
        <w:spacing w:line="420" w:lineRule="exact"/>
        <w:ind w:left="216" w:leftChars="103" w:right="-108" w:firstLine="202" w:firstLineChars="72"/>
        <w:rPr>
          <w:rFonts w:ascii="宋体" w:hAnsi="宋体" w:cs="宋体"/>
          <w:sz w:val="24"/>
        </w:rPr>
      </w:pPr>
      <w:r>
        <w:rPr>
          <w:rFonts w:hint="eastAsia" w:ascii="宋体" w:hAnsi="宋体" w:cs="宋体"/>
          <w:b/>
          <w:bCs/>
          <w:kern w:val="0"/>
          <w:sz w:val="28"/>
          <w:szCs w:val="28"/>
        </w:rPr>
        <w:t>第四部分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420" w:lineRule="exact"/>
        <w:ind w:firstLine="480" w:firstLineChars="200"/>
        <w:rPr>
          <w:rFonts w:ascii="宋体" w:hAnsi="宋体" w:cs="宋体"/>
          <w:kern w:val="0"/>
          <w:sz w:val="24"/>
        </w:rPr>
      </w:pPr>
      <w:r>
        <w:rPr>
          <w:rFonts w:hint="eastAsia" w:ascii="宋体" w:hAnsi="宋体" w:cs="宋体"/>
          <w:sz w:val="24"/>
        </w:rPr>
        <w:t>1、针对磋商，响应供应商认为其他需要说明的；</w:t>
      </w:r>
    </w:p>
    <w:p>
      <w:pPr>
        <w:snapToGrid w:val="0"/>
        <w:spacing w:line="420" w:lineRule="exact"/>
        <w:ind w:left="837" w:leftChars="223" w:hanging="369" w:hangingChars="154"/>
        <w:rPr>
          <w:rFonts w:ascii="宋体" w:hAnsi="宋体" w:cs="宋体"/>
          <w:kern w:val="0"/>
          <w:sz w:val="24"/>
        </w:rPr>
      </w:pPr>
      <w:r>
        <w:rPr>
          <w:rFonts w:hint="eastAsia" w:ascii="宋体" w:hAnsi="宋体" w:cs="宋体"/>
          <w:kern w:val="0"/>
          <w:sz w:val="24"/>
        </w:rPr>
        <w:t>（以上内容具体描述详见“第二章 供应商须知”中“二、磋商响应文件”的组成说明）</w:t>
      </w:r>
    </w:p>
    <w:p>
      <w:pPr>
        <w:widowControl/>
        <w:jc w:val="left"/>
        <w:rPr>
          <w:rFonts w:ascii="宋体" w:hAnsi="宋体"/>
          <w:b/>
          <w:sz w:val="28"/>
        </w:rPr>
      </w:pPr>
      <w:r>
        <w:rPr>
          <w:rFonts w:ascii="宋体" w:hAnsi="宋体"/>
          <w:b/>
          <w:sz w:val="28"/>
        </w:rPr>
        <w:br w:type="page"/>
      </w:r>
    </w:p>
    <w:p>
      <w:pPr>
        <w:pStyle w:val="5"/>
        <w:rPr>
          <w:rFonts w:asciiTheme="majorEastAsia" w:hAnsiTheme="majorEastAsia"/>
          <w:kern w:val="0"/>
          <w:sz w:val="36"/>
          <w:szCs w:val="36"/>
        </w:rPr>
      </w:pPr>
      <w:bookmarkStart w:id="22" w:name="_Toc18440"/>
      <w:r>
        <w:rPr>
          <w:rFonts w:hint="eastAsia" w:asciiTheme="majorEastAsia" w:hAnsiTheme="majorEastAsia"/>
          <w:kern w:val="0"/>
          <w:sz w:val="36"/>
          <w:szCs w:val="36"/>
        </w:rPr>
        <w:t>附件2</w:t>
      </w:r>
      <w:bookmarkEnd w:id="22"/>
    </w:p>
    <w:p>
      <w:pPr>
        <w:snapToGrid w:val="0"/>
        <w:spacing w:before="156" w:beforeLines="50" w:after="50" w:line="360" w:lineRule="auto"/>
        <w:ind w:firstLine="643" w:firstLineChars="200"/>
        <w:jc w:val="center"/>
        <w:rPr>
          <w:rStyle w:val="23"/>
          <w:b/>
          <w:color w:val="000000"/>
          <w:sz w:val="32"/>
          <w:szCs w:val="32"/>
        </w:rPr>
      </w:pPr>
      <w:r>
        <w:rPr>
          <w:rStyle w:val="23"/>
          <w:rFonts w:hint="eastAsia"/>
          <w:b/>
          <w:color w:val="000000"/>
          <w:sz w:val="32"/>
          <w:szCs w:val="32"/>
        </w:rPr>
        <w:t>磋商声明书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 。</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）的法定代表人，我公司自愿参加贵方组织的（磋商</w:t>
      </w:r>
      <w:r>
        <w:rPr>
          <w:rFonts w:hint="eastAsia" w:ascii="宋体" w:hAnsi="宋体" w:cs="宋体"/>
          <w:kern w:val="0"/>
          <w:sz w:val="24"/>
          <w:u w:val="single"/>
        </w:rPr>
        <w:t>项目名称</w:t>
      </w:r>
      <w:r>
        <w:rPr>
          <w:rFonts w:hint="eastAsia" w:ascii="宋体" w:hAnsi="宋体" w:cs="宋体"/>
          <w:kern w:val="0"/>
          <w:sz w:val="24"/>
        </w:rPr>
        <w:t>）（编号为 ）的磋商，为此，我公司就本次磋商有关事项郑重声明如下：</w:t>
      </w:r>
    </w:p>
    <w:p>
      <w:pPr>
        <w:numPr>
          <w:ilvl w:val="0"/>
          <w:numId w:val="6"/>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采购活动过程中无任何不良行为记录；无重大违法记录（重大违法记录是指供应商因违法经营受到刑事处罚或者责令停产停业、吊销许可证或者执照、较大数额罚款等行政处罚）。</w:t>
      </w:r>
    </w:p>
    <w:p>
      <w:pPr>
        <w:numPr>
          <w:ilvl w:val="0"/>
          <w:numId w:val="6"/>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hAnsi="宋体" w:cs="仿宋_GB2312"/>
          <w:kern w:val="0"/>
          <w:sz w:val="24"/>
          <w:lang w:val="zh-CN"/>
        </w:rPr>
      </w:pPr>
    </w:p>
    <w:p>
      <w:pPr>
        <w:widowControl/>
        <w:jc w:val="left"/>
        <w:rPr>
          <w:rFonts w:ascii="宋体" w:hAnsi="宋体" w:cs="仿宋_GB2312"/>
          <w:kern w:val="0"/>
          <w:sz w:val="24"/>
          <w:lang w:val="zh-CN"/>
        </w:rPr>
      </w:pPr>
      <w:r>
        <w:rPr>
          <w:rFonts w:ascii="宋体" w:hAnsi="宋体" w:cs="仿宋_GB2312"/>
          <w:kern w:val="0"/>
          <w:sz w:val="24"/>
          <w:lang w:val="zh-CN"/>
        </w:rPr>
        <w:br w:type="page"/>
      </w:r>
    </w:p>
    <w:p>
      <w:pPr>
        <w:pStyle w:val="5"/>
        <w:rPr>
          <w:rFonts w:asciiTheme="majorEastAsia" w:hAnsiTheme="majorEastAsia"/>
          <w:kern w:val="0"/>
          <w:sz w:val="36"/>
          <w:szCs w:val="36"/>
        </w:rPr>
      </w:pPr>
      <w:bookmarkStart w:id="23" w:name="_Toc2482"/>
      <w:r>
        <w:rPr>
          <w:rFonts w:hint="eastAsia" w:asciiTheme="majorEastAsia" w:hAnsiTheme="majorEastAsia"/>
          <w:kern w:val="0"/>
          <w:sz w:val="36"/>
          <w:szCs w:val="36"/>
        </w:rPr>
        <w:t>附件3</w:t>
      </w:r>
      <w:bookmarkEnd w:id="23"/>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widowControl/>
        <w:jc w:val="left"/>
        <w:rPr>
          <w:rFonts w:ascii="宋体"/>
          <w:sz w:val="24"/>
        </w:rPr>
      </w:pPr>
      <w:r>
        <w:rPr>
          <w:rFonts w:ascii="宋体"/>
          <w:sz w:val="24"/>
        </w:rPr>
        <w:br w:type="page"/>
      </w:r>
    </w:p>
    <w:p>
      <w:pPr>
        <w:pStyle w:val="5"/>
        <w:rPr>
          <w:b w:val="0"/>
          <w:color w:val="000000"/>
          <w:sz w:val="28"/>
        </w:rPr>
      </w:pPr>
      <w:bookmarkStart w:id="24" w:name="_Toc2392"/>
      <w:r>
        <w:rPr>
          <w:rFonts w:hint="eastAsia" w:asciiTheme="majorEastAsia" w:hAnsiTheme="majorEastAsia"/>
          <w:kern w:val="0"/>
          <w:sz w:val="36"/>
          <w:szCs w:val="36"/>
        </w:rPr>
        <w:t>附件4：</w:t>
      </w:r>
      <w:bookmarkEnd w:id="24"/>
    </w:p>
    <w:p>
      <w:pPr>
        <w:pStyle w:val="42"/>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19"/>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172"/>
        <w:gridCol w:w="393"/>
        <w:gridCol w:w="913"/>
        <w:gridCol w:w="575"/>
        <w:gridCol w:w="999"/>
        <w:gridCol w:w="584"/>
        <w:gridCol w:w="1024"/>
        <w:gridCol w:w="400"/>
        <w:gridCol w:w="1157"/>
        <w:gridCol w:w="837"/>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30" w:type="dxa"/>
          </w:tcPr>
          <w:p>
            <w:pPr>
              <w:pStyle w:val="42"/>
              <w:shd w:val="clear" w:color="auto" w:fill="FFFFFF"/>
              <w:spacing w:line="360" w:lineRule="auto"/>
              <w:rPr>
                <w:bCs/>
                <w:color w:val="000000"/>
              </w:rPr>
            </w:pPr>
            <w:r>
              <w:rPr>
                <w:rFonts w:hint="eastAsia"/>
                <w:bCs/>
                <w:color w:val="000000"/>
                <w:spacing w:val="27"/>
              </w:rPr>
              <w:t>企业名称</w:t>
            </w:r>
          </w:p>
        </w:tc>
        <w:tc>
          <w:tcPr>
            <w:tcW w:w="5660" w:type="dxa"/>
            <w:gridSpan w:val="7"/>
          </w:tcPr>
          <w:p>
            <w:pPr>
              <w:pStyle w:val="42"/>
              <w:shd w:val="clear" w:color="auto" w:fill="FFFFFF"/>
              <w:spacing w:line="360" w:lineRule="auto"/>
              <w:rPr>
                <w:bCs/>
                <w:color w:val="000000"/>
              </w:rPr>
            </w:pPr>
          </w:p>
        </w:tc>
        <w:tc>
          <w:tcPr>
            <w:tcW w:w="1557" w:type="dxa"/>
            <w:gridSpan w:val="2"/>
          </w:tcPr>
          <w:p>
            <w:pPr>
              <w:pStyle w:val="42"/>
              <w:shd w:val="clear" w:color="auto" w:fill="FFFFFF"/>
              <w:spacing w:line="360" w:lineRule="auto"/>
              <w:rPr>
                <w:bCs/>
                <w:color w:val="000000"/>
              </w:rPr>
            </w:pPr>
            <w:r>
              <w:rPr>
                <w:rFonts w:hint="eastAsia"/>
                <w:bCs/>
                <w:color w:val="000000"/>
                <w:spacing w:val="16"/>
              </w:rPr>
              <w:t>法人代表</w:t>
            </w:r>
          </w:p>
        </w:tc>
        <w:tc>
          <w:tcPr>
            <w:tcW w:w="1691" w:type="dxa"/>
            <w:gridSpan w:val="2"/>
          </w:tcPr>
          <w:p>
            <w:pPr>
              <w:pStyle w:val="42"/>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0" w:type="dxa"/>
          </w:tcPr>
          <w:p>
            <w:pPr>
              <w:pStyle w:val="42"/>
              <w:shd w:val="clear" w:color="auto" w:fill="FFFFFF"/>
              <w:spacing w:line="360" w:lineRule="auto"/>
              <w:rPr>
                <w:bCs/>
                <w:color w:val="000000"/>
                <w:spacing w:val="16"/>
              </w:rPr>
            </w:pPr>
            <w:r>
              <w:rPr>
                <w:rFonts w:hint="eastAsia"/>
                <w:bCs/>
                <w:color w:val="000000"/>
                <w:spacing w:val="27"/>
              </w:rPr>
              <w:t>地址</w:t>
            </w:r>
          </w:p>
        </w:tc>
        <w:tc>
          <w:tcPr>
            <w:tcW w:w="5660" w:type="dxa"/>
            <w:gridSpan w:val="7"/>
            <w:tcBorders>
              <w:bottom w:val="single" w:color="auto" w:sz="4" w:space="0"/>
            </w:tcBorders>
          </w:tcPr>
          <w:p>
            <w:pPr>
              <w:pStyle w:val="42"/>
              <w:shd w:val="clear" w:color="auto" w:fill="FFFFFF"/>
              <w:spacing w:line="360" w:lineRule="auto"/>
              <w:rPr>
                <w:bCs/>
                <w:color w:val="000000"/>
                <w:spacing w:val="16"/>
              </w:rPr>
            </w:pPr>
          </w:p>
        </w:tc>
        <w:tc>
          <w:tcPr>
            <w:tcW w:w="1557" w:type="dxa"/>
            <w:gridSpan w:val="2"/>
          </w:tcPr>
          <w:p>
            <w:pPr>
              <w:pStyle w:val="42"/>
              <w:shd w:val="clear" w:color="auto" w:fill="FFFFFF"/>
              <w:spacing w:line="360" w:lineRule="auto"/>
              <w:rPr>
                <w:bCs/>
                <w:color w:val="000000"/>
                <w:spacing w:val="16"/>
              </w:rPr>
            </w:pPr>
            <w:r>
              <w:rPr>
                <w:rFonts w:hint="eastAsia"/>
                <w:bCs/>
                <w:color w:val="000000"/>
                <w:spacing w:val="16"/>
              </w:rPr>
              <w:t>企业性质</w:t>
            </w:r>
          </w:p>
        </w:tc>
        <w:tc>
          <w:tcPr>
            <w:tcW w:w="1691" w:type="dxa"/>
            <w:gridSpan w:val="2"/>
          </w:tcPr>
          <w:p>
            <w:pPr>
              <w:pStyle w:val="4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30" w:type="dxa"/>
            <w:tcBorders>
              <w:bottom w:val="single" w:color="auto" w:sz="4" w:space="0"/>
            </w:tcBorders>
          </w:tcPr>
          <w:p>
            <w:pPr>
              <w:pStyle w:val="42"/>
              <w:shd w:val="clear" w:color="auto" w:fill="FFFFFF"/>
              <w:spacing w:line="360" w:lineRule="auto"/>
              <w:rPr>
                <w:bCs/>
                <w:color w:val="000000"/>
                <w:spacing w:val="16"/>
              </w:rPr>
            </w:pPr>
            <w:r>
              <w:rPr>
                <w:rFonts w:hint="eastAsia"/>
                <w:bCs/>
                <w:color w:val="000000"/>
                <w:spacing w:val="27"/>
              </w:rPr>
              <w:t>股东姓名</w:t>
            </w:r>
          </w:p>
        </w:tc>
        <w:tc>
          <w:tcPr>
            <w:tcW w:w="1172" w:type="dxa"/>
            <w:tcBorders>
              <w:bottom w:val="single" w:color="auto" w:sz="4" w:space="0"/>
            </w:tcBorders>
          </w:tcPr>
          <w:p>
            <w:pPr>
              <w:pStyle w:val="42"/>
              <w:shd w:val="clear" w:color="auto" w:fill="FFFFFF"/>
              <w:spacing w:before="0" w:beforeAutospacing="0" w:after="0" w:afterAutospacing="0" w:line="360" w:lineRule="auto"/>
              <w:rPr>
                <w:bCs/>
                <w:color w:val="000000"/>
                <w:spacing w:val="16"/>
              </w:rPr>
            </w:pPr>
          </w:p>
        </w:tc>
        <w:tc>
          <w:tcPr>
            <w:tcW w:w="1306" w:type="dxa"/>
            <w:gridSpan w:val="2"/>
            <w:tcBorders>
              <w:bottom w:val="single" w:color="auto" w:sz="4" w:space="0"/>
            </w:tcBorders>
          </w:tcPr>
          <w:p>
            <w:pPr>
              <w:pStyle w:val="42"/>
              <w:shd w:val="clear" w:color="auto" w:fill="FFFFFF"/>
              <w:spacing w:line="360" w:lineRule="auto"/>
              <w:rPr>
                <w:bCs/>
                <w:color w:val="000000"/>
                <w:spacing w:val="16"/>
              </w:rPr>
            </w:pPr>
            <w:r>
              <w:rPr>
                <w:rFonts w:hint="eastAsia"/>
                <w:bCs/>
                <w:color w:val="000000"/>
                <w:spacing w:val="16"/>
              </w:rPr>
              <w:t>股权结构（%）</w:t>
            </w:r>
          </w:p>
        </w:tc>
        <w:tc>
          <w:tcPr>
            <w:tcW w:w="3182" w:type="dxa"/>
            <w:gridSpan w:val="4"/>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42"/>
              <w:shd w:val="clear" w:color="auto" w:fill="FFFFFF"/>
              <w:spacing w:line="360" w:lineRule="auto"/>
              <w:rPr>
                <w:bCs/>
                <w:color w:val="000000"/>
                <w:spacing w:val="16"/>
              </w:rPr>
            </w:pPr>
          </w:p>
        </w:tc>
        <w:tc>
          <w:tcPr>
            <w:tcW w:w="1557" w:type="dxa"/>
            <w:gridSpan w:val="2"/>
          </w:tcPr>
          <w:p>
            <w:pPr>
              <w:pStyle w:val="42"/>
              <w:shd w:val="clear" w:color="auto" w:fill="FFFFFF"/>
              <w:spacing w:line="360" w:lineRule="auto"/>
              <w:ind w:left="107"/>
              <w:rPr>
                <w:bCs/>
                <w:color w:val="000000"/>
                <w:spacing w:val="16"/>
              </w:rPr>
            </w:pPr>
            <w:r>
              <w:rPr>
                <w:rFonts w:hint="eastAsia"/>
                <w:bCs/>
                <w:color w:val="000000"/>
                <w:spacing w:val="16"/>
              </w:rPr>
              <w:t>股东关系</w:t>
            </w:r>
          </w:p>
        </w:tc>
        <w:tc>
          <w:tcPr>
            <w:tcW w:w="1691" w:type="dxa"/>
            <w:gridSpan w:val="2"/>
          </w:tcPr>
          <w:p>
            <w:pPr>
              <w:pStyle w:val="42"/>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30" w:type="dxa"/>
            <w:vMerge w:val="restart"/>
          </w:tcPr>
          <w:p>
            <w:pPr>
              <w:pStyle w:val="42"/>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1172" w:type="dxa"/>
            <w:vMerge w:val="restart"/>
            <w:tcBorders>
              <w:top w:val="nil"/>
            </w:tcBorders>
          </w:tcPr>
          <w:p>
            <w:pPr>
              <w:pStyle w:val="42"/>
              <w:shd w:val="clear" w:color="auto" w:fill="FFFFFF"/>
              <w:spacing w:line="360" w:lineRule="auto"/>
              <w:rPr>
                <w:bCs/>
                <w:color w:val="000000"/>
                <w:spacing w:val="16"/>
              </w:rPr>
            </w:pPr>
          </w:p>
        </w:tc>
        <w:tc>
          <w:tcPr>
            <w:tcW w:w="1306" w:type="dxa"/>
            <w:gridSpan w:val="2"/>
            <w:tcBorders>
              <w:top w:val="nil"/>
              <w:bottom w:val="single" w:color="auto" w:sz="4" w:space="0"/>
            </w:tcBorders>
          </w:tcPr>
          <w:p>
            <w:pPr>
              <w:pStyle w:val="42"/>
              <w:shd w:val="clear" w:color="auto" w:fill="FFFFFF"/>
              <w:spacing w:line="360" w:lineRule="auto"/>
              <w:rPr>
                <w:bCs/>
                <w:color w:val="000000"/>
                <w:spacing w:val="16"/>
              </w:rPr>
            </w:pPr>
            <w:r>
              <w:rPr>
                <w:rFonts w:hint="eastAsia"/>
                <w:bCs/>
                <w:color w:val="000000"/>
                <w:spacing w:val="16"/>
              </w:rPr>
              <w:t>固定电话</w:t>
            </w:r>
          </w:p>
        </w:tc>
        <w:tc>
          <w:tcPr>
            <w:tcW w:w="3182" w:type="dxa"/>
            <w:gridSpan w:val="4"/>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42"/>
              <w:shd w:val="clear" w:color="auto" w:fill="FFFFFF"/>
              <w:spacing w:line="360" w:lineRule="auto"/>
              <w:rPr>
                <w:bCs/>
                <w:color w:val="000000"/>
                <w:spacing w:val="16"/>
              </w:rPr>
            </w:pPr>
          </w:p>
        </w:tc>
        <w:tc>
          <w:tcPr>
            <w:tcW w:w="1557" w:type="dxa"/>
            <w:gridSpan w:val="2"/>
            <w:vMerge w:val="restart"/>
          </w:tcPr>
          <w:p>
            <w:pPr>
              <w:pStyle w:val="42"/>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1691" w:type="dxa"/>
            <w:gridSpan w:val="2"/>
            <w:vMerge w:val="restart"/>
          </w:tcPr>
          <w:p>
            <w:pPr>
              <w:pStyle w:val="4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0" w:type="dxa"/>
            <w:vMerge w:val="continue"/>
            <w:tcBorders>
              <w:bottom w:val="single" w:color="auto" w:sz="4" w:space="0"/>
            </w:tcBorders>
          </w:tcPr>
          <w:p>
            <w:pPr>
              <w:pStyle w:val="42"/>
              <w:shd w:val="clear" w:color="auto" w:fill="FFFFFF"/>
              <w:spacing w:line="360" w:lineRule="auto"/>
              <w:ind w:left="107"/>
              <w:rPr>
                <w:bCs/>
                <w:color w:val="000000"/>
              </w:rPr>
            </w:pPr>
          </w:p>
        </w:tc>
        <w:tc>
          <w:tcPr>
            <w:tcW w:w="1172" w:type="dxa"/>
            <w:vMerge w:val="continue"/>
            <w:tcBorders>
              <w:bottom w:val="single" w:color="auto" w:sz="4" w:space="0"/>
            </w:tcBorders>
          </w:tcPr>
          <w:p>
            <w:pPr>
              <w:pStyle w:val="42"/>
              <w:shd w:val="clear" w:color="auto" w:fill="FFFFFF"/>
              <w:spacing w:line="360" w:lineRule="auto"/>
              <w:rPr>
                <w:bCs/>
                <w:color w:val="000000"/>
                <w:spacing w:val="16"/>
              </w:rPr>
            </w:pPr>
          </w:p>
        </w:tc>
        <w:tc>
          <w:tcPr>
            <w:tcW w:w="1306" w:type="dxa"/>
            <w:gridSpan w:val="2"/>
            <w:tcBorders>
              <w:bottom w:val="single" w:color="auto" w:sz="4" w:space="0"/>
            </w:tcBorders>
          </w:tcPr>
          <w:p>
            <w:pPr>
              <w:pStyle w:val="42"/>
              <w:shd w:val="clear" w:color="auto" w:fill="FFFFFF"/>
              <w:spacing w:line="360" w:lineRule="auto"/>
              <w:rPr>
                <w:bCs/>
                <w:color w:val="000000"/>
                <w:spacing w:val="16"/>
              </w:rPr>
            </w:pPr>
            <w:r>
              <w:rPr>
                <w:rFonts w:hint="eastAsia"/>
                <w:bCs/>
                <w:color w:val="000000"/>
                <w:spacing w:val="27"/>
              </w:rPr>
              <w:t>手机</w:t>
            </w:r>
          </w:p>
        </w:tc>
        <w:tc>
          <w:tcPr>
            <w:tcW w:w="3182" w:type="dxa"/>
            <w:gridSpan w:val="4"/>
            <w:tcBorders>
              <w:bottom w:val="single" w:color="auto" w:sz="4" w:space="0"/>
            </w:tcBorders>
          </w:tcPr>
          <w:p>
            <w:pPr>
              <w:pStyle w:val="42"/>
              <w:shd w:val="clear" w:color="auto" w:fill="FFFFFF"/>
              <w:spacing w:line="360" w:lineRule="auto"/>
              <w:rPr>
                <w:bCs/>
                <w:color w:val="000000"/>
                <w:spacing w:val="16"/>
              </w:rPr>
            </w:pPr>
          </w:p>
        </w:tc>
        <w:tc>
          <w:tcPr>
            <w:tcW w:w="1557" w:type="dxa"/>
            <w:gridSpan w:val="2"/>
            <w:vMerge w:val="continue"/>
            <w:tcBorders>
              <w:bottom w:val="single" w:color="auto" w:sz="4" w:space="0"/>
            </w:tcBorders>
          </w:tcPr>
          <w:p>
            <w:pPr>
              <w:pStyle w:val="42"/>
              <w:shd w:val="clear" w:color="auto" w:fill="FFFFFF"/>
              <w:spacing w:line="360" w:lineRule="auto"/>
              <w:rPr>
                <w:bCs/>
                <w:color w:val="000000"/>
                <w:spacing w:val="16"/>
              </w:rPr>
            </w:pPr>
          </w:p>
        </w:tc>
        <w:tc>
          <w:tcPr>
            <w:tcW w:w="1691" w:type="dxa"/>
            <w:gridSpan w:val="2"/>
            <w:vMerge w:val="continue"/>
            <w:tcBorders>
              <w:bottom w:val="single" w:color="auto" w:sz="4" w:space="0"/>
            </w:tcBorders>
          </w:tcPr>
          <w:p>
            <w:pPr>
              <w:pStyle w:val="4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30" w:type="dxa"/>
            <w:vMerge w:val="restart"/>
            <w:tcBorders>
              <w:top w:val="single" w:color="auto" w:sz="4" w:space="0"/>
            </w:tcBorders>
          </w:tcPr>
          <w:p>
            <w:pPr>
              <w:pStyle w:val="42"/>
              <w:shd w:val="clear" w:color="auto" w:fill="FFFFFF"/>
              <w:spacing w:line="360" w:lineRule="auto"/>
              <w:ind w:left="107"/>
              <w:rPr>
                <w:bCs/>
                <w:color w:val="000000"/>
              </w:rPr>
            </w:pPr>
            <w:r>
              <w:rPr>
                <w:bCs/>
                <w:color w:val="000000"/>
              </w:rPr>
              <w:t>1</w:t>
            </w:r>
            <w:r>
              <w:rPr>
                <w:rFonts w:hint="eastAsia"/>
                <w:bCs/>
                <w:color w:val="000000"/>
              </w:rPr>
              <w:t>.</w:t>
            </w:r>
          </w:p>
          <w:p>
            <w:pPr>
              <w:pStyle w:val="42"/>
              <w:shd w:val="clear" w:color="auto" w:fill="FFFFFF"/>
              <w:spacing w:line="360" w:lineRule="auto"/>
              <w:ind w:left="107"/>
              <w:rPr>
                <w:bCs/>
                <w:color w:val="000000"/>
              </w:rPr>
            </w:pPr>
            <w:r>
              <w:rPr>
                <w:rFonts w:hint="eastAsia"/>
                <w:bCs/>
                <w:color w:val="000000"/>
              </w:rPr>
              <w:t>企</w:t>
            </w:r>
          </w:p>
          <w:p>
            <w:pPr>
              <w:pStyle w:val="42"/>
              <w:shd w:val="clear" w:color="auto" w:fill="FFFFFF"/>
              <w:spacing w:line="360" w:lineRule="auto"/>
              <w:ind w:left="107"/>
              <w:rPr>
                <w:bCs/>
                <w:color w:val="000000"/>
              </w:rPr>
            </w:pPr>
            <w:r>
              <w:rPr>
                <w:rFonts w:hint="eastAsia"/>
                <w:bCs/>
                <w:color w:val="000000"/>
              </w:rPr>
              <w:t>业</w:t>
            </w:r>
          </w:p>
          <w:p>
            <w:pPr>
              <w:pStyle w:val="42"/>
              <w:shd w:val="clear" w:color="auto" w:fill="FFFFFF"/>
              <w:spacing w:line="360" w:lineRule="auto"/>
              <w:ind w:left="107"/>
              <w:rPr>
                <w:bCs/>
                <w:color w:val="000000"/>
                <w:spacing w:val="27"/>
              </w:rPr>
            </w:pPr>
            <w:r>
              <w:rPr>
                <w:rFonts w:hint="eastAsia"/>
                <w:bCs/>
                <w:color w:val="000000"/>
                <w:spacing w:val="27"/>
              </w:rPr>
              <w:t>概</w:t>
            </w:r>
          </w:p>
          <w:p>
            <w:pPr>
              <w:pStyle w:val="42"/>
              <w:shd w:val="clear" w:color="auto" w:fill="FFFFFF"/>
              <w:spacing w:line="360" w:lineRule="auto"/>
              <w:ind w:left="107"/>
              <w:rPr>
                <w:bCs/>
                <w:color w:val="000000"/>
              </w:rPr>
            </w:pPr>
            <w:r>
              <w:rPr>
                <w:rFonts w:hint="eastAsia"/>
                <w:bCs/>
                <w:color w:val="000000"/>
                <w:spacing w:val="27"/>
              </w:rPr>
              <w:t>况</w:t>
            </w:r>
          </w:p>
        </w:tc>
        <w:tc>
          <w:tcPr>
            <w:tcW w:w="1172" w:type="dxa"/>
            <w:tcBorders>
              <w:top w:val="single" w:color="auto" w:sz="4" w:space="0"/>
            </w:tcBorders>
          </w:tcPr>
          <w:p>
            <w:pPr>
              <w:pStyle w:val="42"/>
              <w:shd w:val="clear" w:color="auto" w:fill="FFFFFF"/>
              <w:spacing w:line="360" w:lineRule="auto"/>
              <w:rPr>
                <w:bCs/>
                <w:color w:val="000000"/>
                <w:spacing w:val="16"/>
              </w:rPr>
            </w:pPr>
            <w:r>
              <w:rPr>
                <w:rFonts w:hint="eastAsia"/>
                <w:bCs/>
                <w:color w:val="000000"/>
                <w:spacing w:val="16"/>
              </w:rPr>
              <w:t>职工人数</w:t>
            </w:r>
          </w:p>
        </w:tc>
        <w:tc>
          <w:tcPr>
            <w:tcW w:w="1306" w:type="dxa"/>
            <w:gridSpan w:val="2"/>
            <w:tcBorders>
              <w:top w:val="single" w:color="auto" w:sz="4" w:space="0"/>
            </w:tcBorders>
          </w:tcPr>
          <w:p>
            <w:pPr>
              <w:pStyle w:val="42"/>
              <w:shd w:val="clear" w:color="auto" w:fill="FFFFFF"/>
              <w:spacing w:line="360" w:lineRule="auto"/>
              <w:rPr>
                <w:bCs/>
                <w:color w:val="000000"/>
                <w:spacing w:val="16"/>
              </w:rPr>
            </w:pPr>
          </w:p>
        </w:tc>
        <w:tc>
          <w:tcPr>
            <w:tcW w:w="1574" w:type="dxa"/>
            <w:gridSpan w:val="2"/>
            <w:tcBorders>
              <w:top w:val="single" w:color="auto" w:sz="4" w:space="0"/>
            </w:tcBorders>
          </w:tcPr>
          <w:p>
            <w:pPr>
              <w:pStyle w:val="42"/>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608"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42"/>
              <w:shd w:val="clear" w:color="auto" w:fill="FFFFFF"/>
              <w:spacing w:line="360" w:lineRule="auto"/>
              <w:rPr>
                <w:bCs/>
                <w:color w:val="000000"/>
                <w:spacing w:val="16"/>
              </w:rPr>
            </w:pPr>
          </w:p>
        </w:tc>
        <w:tc>
          <w:tcPr>
            <w:tcW w:w="1557" w:type="dxa"/>
            <w:gridSpan w:val="2"/>
            <w:tcBorders>
              <w:top w:val="single" w:color="auto" w:sz="4" w:space="0"/>
            </w:tcBorders>
          </w:tcPr>
          <w:p>
            <w:pPr>
              <w:pStyle w:val="42"/>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1691"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pStyle w:val="4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30" w:type="dxa"/>
            <w:vMerge w:val="continue"/>
          </w:tcPr>
          <w:p>
            <w:pPr>
              <w:pStyle w:val="42"/>
              <w:shd w:val="clear" w:color="auto" w:fill="FFFFFF"/>
              <w:spacing w:line="360" w:lineRule="auto"/>
              <w:ind w:left="107"/>
              <w:rPr>
                <w:bCs/>
                <w:color w:val="000000"/>
              </w:rPr>
            </w:pPr>
          </w:p>
        </w:tc>
        <w:tc>
          <w:tcPr>
            <w:tcW w:w="1172" w:type="dxa"/>
          </w:tcPr>
          <w:p>
            <w:pPr>
              <w:pStyle w:val="42"/>
              <w:shd w:val="clear" w:color="auto" w:fill="FFFFFF"/>
              <w:spacing w:line="360" w:lineRule="auto"/>
              <w:rPr>
                <w:bCs/>
                <w:color w:val="000000"/>
              </w:rPr>
            </w:pPr>
            <w:r>
              <w:rPr>
                <w:rFonts w:hint="eastAsia"/>
                <w:bCs/>
                <w:color w:val="000000"/>
                <w:spacing w:val="16"/>
              </w:rPr>
              <w:t>占地面积</w:t>
            </w:r>
          </w:p>
        </w:tc>
        <w:tc>
          <w:tcPr>
            <w:tcW w:w="1306" w:type="dxa"/>
            <w:gridSpan w:val="2"/>
          </w:tcPr>
          <w:p>
            <w:pPr>
              <w:pStyle w:val="42"/>
              <w:shd w:val="clear" w:color="auto" w:fill="FFFFFF"/>
              <w:spacing w:line="360" w:lineRule="auto"/>
              <w:rPr>
                <w:bCs/>
                <w:color w:val="000000"/>
              </w:rPr>
            </w:pPr>
          </w:p>
        </w:tc>
        <w:tc>
          <w:tcPr>
            <w:tcW w:w="1574" w:type="dxa"/>
            <w:gridSpan w:val="2"/>
          </w:tcPr>
          <w:p>
            <w:pPr>
              <w:pStyle w:val="42"/>
              <w:shd w:val="clear" w:color="auto" w:fill="FFFFFF"/>
              <w:spacing w:line="360" w:lineRule="auto"/>
              <w:rPr>
                <w:bCs/>
                <w:color w:val="000000"/>
              </w:rPr>
            </w:pPr>
            <w:r>
              <w:rPr>
                <w:rFonts w:hint="eastAsia"/>
                <w:bCs/>
                <w:color w:val="000000"/>
                <w:spacing w:val="16"/>
              </w:rPr>
              <w:t>建筑面积</w:t>
            </w:r>
          </w:p>
        </w:tc>
        <w:tc>
          <w:tcPr>
            <w:tcW w:w="1608" w:type="dxa"/>
            <w:gridSpan w:val="2"/>
          </w:tcPr>
          <w:p>
            <w:pPr>
              <w:pStyle w:val="42"/>
              <w:shd w:val="clear" w:color="auto" w:fill="FFFFFF"/>
              <w:spacing w:line="360" w:lineRule="auto"/>
              <w:ind w:firstLine="480" w:firstLineChars="200"/>
              <w:rPr>
                <w:bCs/>
                <w:color w:val="000000"/>
              </w:rPr>
            </w:pPr>
            <w:r>
              <w:rPr>
                <w:rFonts w:hint="eastAsia"/>
                <w:bCs/>
                <w:color w:val="000000"/>
              </w:rPr>
              <w:t xml:space="preserve">平方米 </w:t>
            </w:r>
          </w:p>
          <w:p>
            <w:pPr>
              <w:pStyle w:val="42"/>
              <w:shd w:val="clear" w:color="auto" w:fill="FFFFFF"/>
              <w:spacing w:line="360" w:lineRule="auto"/>
              <w:rPr>
                <w:bCs/>
                <w:color w:val="000000"/>
              </w:rPr>
            </w:pPr>
            <w:r>
              <w:rPr>
                <w:rFonts w:hint="eastAsia"/>
                <w:bCs/>
                <w:color w:val="000000"/>
                <w:spacing w:val="16"/>
              </w:rPr>
              <w:t>□自有□租賃</w:t>
            </w:r>
          </w:p>
        </w:tc>
        <w:tc>
          <w:tcPr>
            <w:tcW w:w="1557" w:type="dxa"/>
            <w:gridSpan w:val="2"/>
          </w:tcPr>
          <w:p>
            <w:pPr>
              <w:pStyle w:val="42"/>
              <w:shd w:val="clear" w:color="auto" w:fill="FFFFFF"/>
              <w:spacing w:line="360" w:lineRule="auto"/>
              <w:rPr>
                <w:bCs/>
                <w:color w:val="000000"/>
              </w:rPr>
            </w:pPr>
            <w:r>
              <w:rPr>
                <w:rFonts w:hint="eastAsia"/>
                <w:bCs/>
                <w:color w:val="000000"/>
                <w:spacing w:val="16"/>
              </w:rPr>
              <w:t>生产经营场所及场所的设施与设备</w:t>
            </w:r>
          </w:p>
        </w:tc>
        <w:tc>
          <w:tcPr>
            <w:tcW w:w="1691" w:type="dxa"/>
            <w:gridSpan w:val="2"/>
          </w:tcPr>
          <w:p>
            <w:pPr>
              <w:pStyle w:val="42"/>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930" w:type="dxa"/>
            <w:vMerge w:val="continue"/>
          </w:tcPr>
          <w:p>
            <w:pPr>
              <w:pStyle w:val="42"/>
              <w:shd w:val="clear" w:color="auto" w:fill="FFFFFF"/>
              <w:spacing w:line="360" w:lineRule="auto"/>
              <w:ind w:left="107"/>
              <w:rPr>
                <w:bCs/>
                <w:color w:val="000000"/>
              </w:rPr>
            </w:pPr>
          </w:p>
        </w:tc>
        <w:tc>
          <w:tcPr>
            <w:tcW w:w="1172" w:type="dxa"/>
          </w:tcPr>
          <w:p>
            <w:pPr>
              <w:pStyle w:val="42"/>
              <w:shd w:val="clear" w:color="auto" w:fill="FFFFFF"/>
              <w:spacing w:line="360" w:lineRule="auto"/>
              <w:ind w:left="2"/>
              <w:rPr>
                <w:bCs/>
                <w:color w:val="000000"/>
                <w:spacing w:val="16"/>
              </w:rPr>
            </w:pPr>
            <w:r>
              <w:rPr>
                <w:rFonts w:hint="eastAsia"/>
                <w:bCs/>
                <w:color w:val="000000"/>
                <w:spacing w:val="16"/>
              </w:rPr>
              <w:t>注册资金</w:t>
            </w:r>
          </w:p>
        </w:tc>
        <w:tc>
          <w:tcPr>
            <w:tcW w:w="1306" w:type="dxa"/>
            <w:gridSpan w:val="2"/>
          </w:tcPr>
          <w:p>
            <w:pPr>
              <w:pStyle w:val="42"/>
              <w:shd w:val="clear" w:color="auto" w:fill="FFFFFF"/>
              <w:spacing w:line="360" w:lineRule="auto"/>
              <w:ind w:left="2"/>
              <w:rPr>
                <w:bCs/>
                <w:color w:val="000000"/>
              </w:rPr>
            </w:pPr>
          </w:p>
        </w:tc>
        <w:tc>
          <w:tcPr>
            <w:tcW w:w="1574" w:type="dxa"/>
            <w:gridSpan w:val="2"/>
          </w:tcPr>
          <w:p>
            <w:pPr>
              <w:pStyle w:val="42"/>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165" w:type="dxa"/>
            <w:gridSpan w:val="4"/>
          </w:tcPr>
          <w:p>
            <w:pPr>
              <w:widowControl/>
              <w:spacing w:line="360" w:lineRule="auto"/>
              <w:jc w:val="left"/>
              <w:rPr>
                <w:rFonts w:ascii="宋体" w:hAnsi="宋体" w:cs="宋体"/>
                <w:bCs/>
                <w:color w:val="000000"/>
                <w:kern w:val="0"/>
                <w:sz w:val="24"/>
              </w:rPr>
            </w:pPr>
          </w:p>
          <w:p>
            <w:pPr>
              <w:pStyle w:val="42"/>
              <w:shd w:val="clear" w:color="auto" w:fill="FFFFFF"/>
              <w:spacing w:line="360" w:lineRule="auto"/>
              <w:ind w:left="107"/>
              <w:rPr>
                <w:bCs/>
                <w:color w:val="000000"/>
              </w:rPr>
            </w:pPr>
          </w:p>
        </w:tc>
        <w:tc>
          <w:tcPr>
            <w:tcW w:w="837" w:type="dxa"/>
          </w:tcPr>
          <w:p>
            <w:pPr>
              <w:pStyle w:val="42"/>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854" w:type="dxa"/>
          </w:tcPr>
          <w:p>
            <w:pPr>
              <w:pStyle w:val="42"/>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30" w:type="dxa"/>
            <w:vMerge w:val="continue"/>
          </w:tcPr>
          <w:p>
            <w:pPr>
              <w:pStyle w:val="42"/>
              <w:shd w:val="clear" w:color="auto" w:fill="FFFFFF"/>
              <w:spacing w:line="360" w:lineRule="auto"/>
              <w:ind w:left="107"/>
              <w:rPr>
                <w:bCs/>
                <w:color w:val="000000"/>
              </w:rPr>
            </w:pPr>
          </w:p>
        </w:tc>
        <w:tc>
          <w:tcPr>
            <w:tcW w:w="1172" w:type="dxa"/>
          </w:tcPr>
          <w:p>
            <w:pPr>
              <w:pStyle w:val="42"/>
              <w:shd w:val="clear" w:color="auto" w:fill="FFFFFF"/>
              <w:spacing w:line="360" w:lineRule="auto"/>
              <w:ind w:left="2"/>
              <w:rPr>
                <w:bCs/>
                <w:color w:val="000000"/>
              </w:rPr>
            </w:pPr>
            <w:r>
              <w:rPr>
                <w:rFonts w:hint="eastAsia"/>
                <w:bCs/>
                <w:color w:val="000000"/>
              </w:rPr>
              <w:t>核准经营范围</w:t>
            </w:r>
          </w:p>
        </w:tc>
        <w:tc>
          <w:tcPr>
            <w:tcW w:w="7736" w:type="dxa"/>
            <w:gridSpan w:val="10"/>
          </w:tcPr>
          <w:p>
            <w:pPr>
              <w:pStyle w:val="42"/>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0" w:type="dxa"/>
            <w:vMerge w:val="continue"/>
          </w:tcPr>
          <w:p>
            <w:pPr>
              <w:pStyle w:val="42"/>
              <w:shd w:val="clear" w:color="auto" w:fill="FFFFFF"/>
              <w:spacing w:line="360" w:lineRule="auto"/>
              <w:ind w:left="107"/>
              <w:rPr>
                <w:bCs/>
                <w:color w:val="000000"/>
              </w:rPr>
            </w:pPr>
          </w:p>
        </w:tc>
        <w:tc>
          <w:tcPr>
            <w:tcW w:w="8908" w:type="dxa"/>
            <w:gridSpan w:val="11"/>
          </w:tcPr>
          <w:p>
            <w:pPr>
              <w:pStyle w:val="42"/>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30" w:type="dxa"/>
            <w:vMerge w:val="restart"/>
          </w:tcPr>
          <w:p>
            <w:pPr>
              <w:pStyle w:val="42"/>
              <w:shd w:val="clear" w:color="auto" w:fill="FFFFFF"/>
              <w:spacing w:line="360" w:lineRule="auto"/>
              <w:ind w:left="107"/>
              <w:rPr>
                <w:bCs/>
                <w:color w:val="000000"/>
              </w:rPr>
            </w:pPr>
            <w:r>
              <w:rPr>
                <w:bCs/>
                <w:color w:val="000000"/>
              </w:rPr>
              <w:t>2</w:t>
            </w:r>
            <w:r>
              <w:rPr>
                <w:rFonts w:hint="eastAsia"/>
                <w:bCs/>
                <w:color w:val="000000"/>
              </w:rPr>
              <w:t>．</w:t>
            </w:r>
          </w:p>
          <w:p>
            <w:pPr>
              <w:pStyle w:val="42"/>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65" w:type="dxa"/>
            <w:gridSpan w:val="2"/>
            <w:vMerge w:val="restart"/>
          </w:tcPr>
          <w:p>
            <w:pPr>
              <w:pStyle w:val="42"/>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488" w:type="dxa"/>
            <w:gridSpan w:val="2"/>
          </w:tcPr>
          <w:p>
            <w:pPr>
              <w:pStyle w:val="42"/>
              <w:shd w:val="clear" w:color="auto" w:fill="FFFFFF"/>
              <w:spacing w:line="360" w:lineRule="auto"/>
              <w:ind w:right="-78" w:rightChars="-37"/>
              <w:rPr>
                <w:bCs/>
                <w:color w:val="000000"/>
                <w:spacing w:val="16"/>
              </w:rPr>
            </w:pPr>
            <w:r>
              <w:rPr>
                <w:rFonts w:hint="eastAsia"/>
                <w:bCs/>
                <w:color w:val="000000"/>
                <w:spacing w:val="16"/>
              </w:rPr>
              <w:t>产品名称</w:t>
            </w:r>
          </w:p>
        </w:tc>
        <w:tc>
          <w:tcPr>
            <w:tcW w:w="1583" w:type="dxa"/>
            <w:gridSpan w:val="2"/>
          </w:tcPr>
          <w:p>
            <w:pPr>
              <w:pStyle w:val="42"/>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424" w:type="dxa"/>
            <w:gridSpan w:val="2"/>
          </w:tcPr>
          <w:p>
            <w:pPr>
              <w:pStyle w:val="42"/>
              <w:shd w:val="clear" w:color="auto" w:fill="FFFFFF"/>
              <w:spacing w:line="360" w:lineRule="auto"/>
              <w:jc w:val="center"/>
              <w:rPr>
                <w:bCs/>
                <w:color w:val="000000"/>
              </w:rPr>
            </w:pPr>
            <w:r>
              <w:rPr>
                <w:rFonts w:hint="eastAsia"/>
                <w:bCs/>
                <w:color w:val="000000"/>
                <w:spacing w:val="27"/>
              </w:rPr>
              <w:t>编号</w:t>
            </w:r>
          </w:p>
        </w:tc>
        <w:tc>
          <w:tcPr>
            <w:tcW w:w="1994" w:type="dxa"/>
            <w:gridSpan w:val="2"/>
          </w:tcPr>
          <w:p>
            <w:pPr>
              <w:pStyle w:val="42"/>
              <w:shd w:val="clear" w:color="auto" w:fill="FFFFFF"/>
              <w:spacing w:line="360" w:lineRule="auto"/>
              <w:jc w:val="center"/>
              <w:rPr>
                <w:bCs/>
                <w:color w:val="000000"/>
              </w:rPr>
            </w:pPr>
            <w:r>
              <w:rPr>
                <w:rFonts w:hint="eastAsia"/>
                <w:bCs/>
                <w:color w:val="000000"/>
                <w:spacing w:val="16"/>
              </w:rPr>
              <w:t>发证时间</w:t>
            </w:r>
          </w:p>
        </w:tc>
        <w:tc>
          <w:tcPr>
            <w:tcW w:w="854" w:type="dxa"/>
          </w:tcPr>
          <w:p>
            <w:pPr>
              <w:pStyle w:val="42"/>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30" w:type="dxa"/>
            <w:vMerge w:val="continue"/>
          </w:tcPr>
          <w:p>
            <w:pPr>
              <w:pStyle w:val="42"/>
              <w:shd w:val="clear" w:color="auto" w:fill="FFFFFF"/>
              <w:spacing w:line="360" w:lineRule="auto"/>
              <w:ind w:left="107"/>
              <w:rPr>
                <w:bCs/>
                <w:color w:val="000000"/>
              </w:rPr>
            </w:pPr>
          </w:p>
        </w:tc>
        <w:tc>
          <w:tcPr>
            <w:tcW w:w="1565" w:type="dxa"/>
            <w:gridSpan w:val="2"/>
            <w:vMerge w:val="continue"/>
          </w:tcPr>
          <w:p>
            <w:pPr>
              <w:pStyle w:val="42"/>
              <w:shd w:val="clear" w:color="auto" w:fill="FFFFFF"/>
              <w:spacing w:line="360" w:lineRule="auto"/>
              <w:rPr>
                <w:bCs/>
                <w:color w:val="000000"/>
              </w:rPr>
            </w:pPr>
          </w:p>
        </w:tc>
        <w:tc>
          <w:tcPr>
            <w:tcW w:w="1488" w:type="dxa"/>
            <w:gridSpan w:val="2"/>
          </w:tcPr>
          <w:p>
            <w:pPr>
              <w:pStyle w:val="42"/>
              <w:shd w:val="clear" w:color="auto" w:fill="FFFFFF"/>
              <w:spacing w:line="360" w:lineRule="auto"/>
              <w:rPr>
                <w:bCs/>
                <w:color w:val="000000"/>
              </w:rPr>
            </w:pPr>
          </w:p>
        </w:tc>
        <w:tc>
          <w:tcPr>
            <w:tcW w:w="1583" w:type="dxa"/>
            <w:gridSpan w:val="2"/>
          </w:tcPr>
          <w:p>
            <w:pPr>
              <w:pStyle w:val="42"/>
              <w:shd w:val="clear" w:color="auto" w:fill="FFFFFF"/>
              <w:spacing w:line="360" w:lineRule="auto"/>
              <w:rPr>
                <w:bCs/>
                <w:color w:val="000000"/>
              </w:rPr>
            </w:pPr>
          </w:p>
        </w:tc>
        <w:tc>
          <w:tcPr>
            <w:tcW w:w="1424" w:type="dxa"/>
            <w:gridSpan w:val="2"/>
          </w:tcPr>
          <w:p>
            <w:pPr>
              <w:pStyle w:val="42"/>
              <w:shd w:val="clear" w:color="auto" w:fill="FFFFFF"/>
              <w:spacing w:line="360" w:lineRule="auto"/>
              <w:rPr>
                <w:bCs/>
                <w:color w:val="000000"/>
              </w:rPr>
            </w:pPr>
          </w:p>
        </w:tc>
        <w:tc>
          <w:tcPr>
            <w:tcW w:w="2848" w:type="dxa"/>
            <w:gridSpan w:val="3"/>
          </w:tcPr>
          <w:p>
            <w:pPr>
              <w:pStyle w:val="42"/>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930" w:type="dxa"/>
            <w:vMerge w:val="continue"/>
          </w:tcPr>
          <w:p>
            <w:pPr>
              <w:pStyle w:val="42"/>
              <w:shd w:val="clear" w:color="auto" w:fill="FFFFFF"/>
              <w:spacing w:line="360" w:lineRule="auto"/>
              <w:ind w:left="107"/>
              <w:rPr>
                <w:bCs/>
                <w:color w:val="000000"/>
                <w:spacing w:val="16"/>
              </w:rPr>
            </w:pPr>
          </w:p>
        </w:tc>
        <w:tc>
          <w:tcPr>
            <w:tcW w:w="1565" w:type="dxa"/>
            <w:gridSpan w:val="2"/>
          </w:tcPr>
          <w:p>
            <w:pPr>
              <w:pStyle w:val="42"/>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7343" w:type="dxa"/>
            <w:gridSpan w:val="9"/>
          </w:tcPr>
          <w:p>
            <w:pPr>
              <w:pStyle w:val="4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30" w:type="dxa"/>
            <w:vMerge w:val="continue"/>
          </w:tcPr>
          <w:p>
            <w:pPr>
              <w:pStyle w:val="42"/>
              <w:shd w:val="clear" w:color="auto" w:fill="FFFFFF"/>
              <w:spacing w:line="360" w:lineRule="auto"/>
              <w:ind w:left="107"/>
              <w:rPr>
                <w:bCs/>
                <w:color w:val="000000"/>
                <w:spacing w:val="27"/>
              </w:rPr>
            </w:pPr>
          </w:p>
        </w:tc>
        <w:tc>
          <w:tcPr>
            <w:tcW w:w="1565" w:type="dxa"/>
            <w:gridSpan w:val="2"/>
          </w:tcPr>
          <w:p>
            <w:pPr>
              <w:pStyle w:val="42"/>
              <w:shd w:val="clear" w:color="auto" w:fill="FFFFFF"/>
              <w:spacing w:line="360" w:lineRule="auto"/>
              <w:rPr>
                <w:bCs/>
                <w:color w:val="000000"/>
                <w:spacing w:val="16"/>
              </w:rPr>
            </w:pPr>
            <w:r>
              <w:rPr>
                <w:rFonts w:hint="eastAsia"/>
                <w:bCs/>
                <w:color w:val="000000"/>
                <w:spacing w:val="10"/>
              </w:rPr>
              <w:t>企业获得专利情况</w:t>
            </w:r>
          </w:p>
        </w:tc>
        <w:tc>
          <w:tcPr>
            <w:tcW w:w="7343" w:type="dxa"/>
            <w:gridSpan w:val="9"/>
          </w:tcPr>
          <w:p>
            <w:pPr>
              <w:pStyle w:val="42"/>
              <w:shd w:val="clear" w:color="auto" w:fill="FFFFFF"/>
              <w:spacing w:line="360" w:lineRule="auto"/>
              <w:rPr>
                <w:bCs/>
                <w:color w:val="000000"/>
                <w:spacing w:val="16"/>
              </w:rPr>
            </w:pPr>
          </w:p>
        </w:tc>
      </w:tr>
    </w:tbl>
    <w:p>
      <w:pPr>
        <w:pStyle w:val="42"/>
        <w:shd w:val="clear" w:color="auto" w:fill="FFFFFF"/>
        <w:spacing w:before="0" w:beforeAutospacing="0" w:after="0" w:afterAutospacing="0" w:line="360" w:lineRule="auto"/>
        <w:rPr>
          <w:rFonts w:ascii="仿宋_GB2312" w:eastAsia="仿宋_GB2312"/>
          <w:color w:val="000000"/>
        </w:rPr>
      </w:pPr>
    </w:p>
    <w:p>
      <w:pPr>
        <w:pStyle w:val="42"/>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42"/>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磋商供应商名称（盖章）：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42"/>
        <w:shd w:val="clear" w:color="auto" w:fill="FFFFFF"/>
        <w:spacing w:before="0" w:beforeAutospacing="0" w:after="0" w:afterAutospacing="0"/>
        <w:ind w:firstLine="424" w:firstLineChars="177"/>
        <w:rPr>
          <w:b/>
          <w:color w:val="000000"/>
          <w:sz w:val="28"/>
        </w:rPr>
      </w:pPr>
      <w:r>
        <w:rPr>
          <w:rFonts w:hint="eastAsia"/>
          <w:color w:val="000000"/>
        </w:rPr>
        <w:t>日        期：</w:t>
      </w:r>
    </w:p>
    <w:p>
      <w:pPr>
        <w:spacing w:line="360" w:lineRule="auto"/>
        <w:ind w:firstLine="435"/>
        <w:rPr>
          <w:rFonts w:ascii="宋体" w:hAnsi="宋体"/>
          <w:b/>
          <w:color w:val="000000"/>
          <w:sz w:val="28"/>
        </w:rPr>
      </w:pPr>
    </w:p>
    <w:p>
      <w:pPr>
        <w:widowControl/>
        <w:jc w:val="left"/>
        <w:rPr>
          <w:rFonts w:ascii="宋体" w:hAnsi="宋体"/>
          <w:b/>
          <w:color w:val="000000"/>
          <w:sz w:val="28"/>
        </w:rPr>
      </w:pPr>
      <w:r>
        <w:rPr>
          <w:rFonts w:ascii="宋体" w:hAnsi="宋体"/>
          <w:b/>
          <w:color w:val="000000"/>
          <w:sz w:val="28"/>
        </w:rPr>
        <w:br w:type="page"/>
      </w:r>
    </w:p>
    <w:p>
      <w:pPr>
        <w:pStyle w:val="5"/>
        <w:rPr>
          <w:rFonts w:asciiTheme="majorEastAsia" w:hAnsiTheme="majorEastAsia"/>
          <w:kern w:val="0"/>
          <w:sz w:val="36"/>
          <w:szCs w:val="36"/>
        </w:rPr>
      </w:pPr>
      <w:bookmarkStart w:id="25" w:name="_Toc29609"/>
      <w:r>
        <w:rPr>
          <w:rFonts w:hint="eastAsia" w:asciiTheme="majorEastAsia" w:hAnsiTheme="majorEastAsia"/>
          <w:kern w:val="0"/>
          <w:sz w:val="36"/>
          <w:szCs w:val="36"/>
        </w:rPr>
        <w:t>附件5：</w:t>
      </w:r>
      <w:bookmarkEnd w:id="25"/>
    </w:p>
    <w:p>
      <w:pPr>
        <w:pStyle w:val="11"/>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1"/>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19"/>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bl>
    <w:p>
      <w:pPr>
        <w:pStyle w:val="11"/>
        <w:adjustRightInd w:val="0"/>
        <w:snapToGrid w:val="0"/>
        <w:spacing w:line="360" w:lineRule="auto"/>
        <w:rPr>
          <w:rFonts w:hAnsi="宋体"/>
          <w:color w:val="000000"/>
          <w:sz w:val="24"/>
        </w:rPr>
      </w:pPr>
      <w:r>
        <w:rPr>
          <w:rFonts w:hint="eastAsia" w:hAnsi="宋体"/>
          <w:color w:val="000000"/>
          <w:sz w:val="24"/>
        </w:rPr>
        <w:t>备注：供应商在填写其中的“磋商响应文件技术响应”内容时，必须对照本磋商文件“技术要求”中各指标项逐条说明，不得以“符合”或“满足”等词语作简单回答或者完全复制本项目采购需求中参数内容，否则磋商小组有权视其磋商响应文件未响应磋商文件要求。</w:t>
      </w:r>
    </w:p>
    <w:p>
      <w:pPr>
        <w:ind w:firstLine="424" w:firstLineChars="177"/>
        <w:rPr>
          <w:rFonts w:ascii="宋体" w:hAnsi="宋体"/>
          <w:color w:val="000000"/>
          <w:sz w:val="24"/>
          <w:u w:val="single"/>
        </w:rPr>
      </w:pPr>
      <w:r>
        <w:rPr>
          <w:rFonts w:hint="eastAsia" w:ascii="宋体" w:hAnsi="宋体"/>
          <w:color w:val="000000"/>
          <w:sz w:val="24"/>
        </w:rPr>
        <w:t>磋商供应商名称（盖章）：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42"/>
        <w:shd w:val="clear" w:color="auto" w:fill="FFFFFF"/>
        <w:spacing w:before="0" w:beforeAutospacing="0" w:after="0" w:afterAutospacing="0"/>
        <w:ind w:firstLine="424" w:firstLineChars="177"/>
        <w:rPr>
          <w:b/>
          <w:color w:val="000000"/>
          <w:sz w:val="28"/>
        </w:rPr>
      </w:pPr>
      <w:r>
        <w:rPr>
          <w:rFonts w:hint="eastAsia"/>
          <w:color w:val="000000"/>
        </w:rPr>
        <w:t>日        期：</w:t>
      </w:r>
    </w:p>
    <w:p>
      <w:pPr>
        <w:widowControl/>
        <w:jc w:val="left"/>
        <w:rPr>
          <w:rFonts w:ascii="宋体" w:hAnsi="宋体"/>
          <w:b/>
          <w:color w:val="000000"/>
          <w:sz w:val="28"/>
        </w:rPr>
      </w:pPr>
      <w:r>
        <w:rPr>
          <w:rFonts w:ascii="宋体" w:hAnsi="宋体"/>
          <w:b/>
          <w:color w:val="000000"/>
          <w:sz w:val="28"/>
        </w:rPr>
        <w:br w:type="page"/>
      </w:r>
    </w:p>
    <w:p>
      <w:pPr>
        <w:pStyle w:val="5"/>
        <w:rPr>
          <w:rFonts w:asciiTheme="majorEastAsia" w:hAnsiTheme="majorEastAsia"/>
          <w:kern w:val="0"/>
          <w:sz w:val="36"/>
          <w:szCs w:val="36"/>
        </w:rPr>
      </w:pPr>
      <w:bookmarkStart w:id="26" w:name="_Toc4955"/>
      <w:r>
        <w:rPr>
          <w:rFonts w:hint="eastAsia" w:asciiTheme="majorEastAsia" w:hAnsiTheme="majorEastAsia"/>
          <w:kern w:val="0"/>
          <w:sz w:val="36"/>
          <w:szCs w:val="36"/>
        </w:rPr>
        <w:t>附件6:</w:t>
      </w:r>
      <w:bookmarkEnd w:id="26"/>
    </w:p>
    <w:p>
      <w:pPr>
        <w:pStyle w:val="11"/>
        <w:spacing w:line="360" w:lineRule="auto"/>
        <w:jc w:val="center"/>
        <w:rPr>
          <w:rFonts w:hAnsi="宋体"/>
          <w:b/>
          <w:sz w:val="36"/>
          <w:szCs w:val="36"/>
        </w:rPr>
      </w:pPr>
      <w:r>
        <w:rPr>
          <w:rFonts w:hint="eastAsia" w:hAnsi="宋体"/>
          <w:b/>
          <w:sz w:val="36"/>
          <w:szCs w:val="36"/>
        </w:rPr>
        <w:t>类似项目业绩一览表</w:t>
      </w:r>
    </w:p>
    <w:p>
      <w:pPr>
        <w:pStyle w:val="11"/>
        <w:adjustRightInd w:val="0"/>
        <w:snapToGrid w:val="0"/>
        <w:spacing w:line="360" w:lineRule="auto"/>
        <w:jc w:val="left"/>
        <w:rPr>
          <w:rFonts w:hAnsi="宋体"/>
          <w:b/>
          <w:sz w:val="36"/>
          <w:szCs w:val="36"/>
          <w:lang w:val="zh-CN"/>
        </w:rPr>
      </w:pPr>
      <w:r>
        <w:rPr>
          <w:rFonts w:hint="eastAsia" w:hAnsi="宋体"/>
          <w:b/>
          <w:bCs/>
          <w:color w:val="000000"/>
          <w:sz w:val="24"/>
        </w:rPr>
        <w:t>项目名称及编号：</w:t>
      </w:r>
    </w:p>
    <w:tbl>
      <w:tblPr>
        <w:tblStyle w:val="1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jc w:val="center"/>
              <w:rPr>
                <w:rFonts w:hAnsi="宋体"/>
                <w:sz w:val="24"/>
              </w:rPr>
            </w:pPr>
            <w:r>
              <w:rPr>
                <w:rFonts w:hAnsi="宋体"/>
                <w:sz w:val="24"/>
              </w:rPr>
              <w:t>序号</w:t>
            </w:r>
          </w:p>
        </w:tc>
        <w:tc>
          <w:tcPr>
            <w:tcW w:w="1561" w:type="dxa"/>
            <w:vAlign w:val="center"/>
          </w:tcPr>
          <w:p>
            <w:pPr>
              <w:pStyle w:val="11"/>
              <w:jc w:val="center"/>
              <w:rPr>
                <w:rFonts w:hAnsi="宋体"/>
                <w:sz w:val="24"/>
              </w:rPr>
            </w:pPr>
            <w:r>
              <w:rPr>
                <w:rFonts w:hAnsi="宋体"/>
                <w:sz w:val="24"/>
              </w:rPr>
              <w:t>项目名称</w:t>
            </w:r>
          </w:p>
        </w:tc>
        <w:tc>
          <w:tcPr>
            <w:tcW w:w="1744" w:type="dxa"/>
            <w:vAlign w:val="center"/>
          </w:tcPr>
          <w:p>
            <w:pPr>
              <w:pStyle w:val="11"/>
              <w:jc w:val="center"/>
              <w:rPr>
                <w:rFonts w:hAnsi="宋体"/>
                <w:sz w:val="24"/>
              </w:rPr>
            </w:pPr>
            <w:r>
              <w:rPr>
                <w:rFonts w:hAnsi="宋体"/>
                <w:sz w:val="24"/>
              </w:rPr>
              <w:t>业主单位</w:t>
            </w:r>
          </w:p>
        </w:tc>
        <w:tc>
          <w:tcPr>
            <w:tcW w:w="1260" w:type="dxa"/>
            <w:vAlign w:val="center"/>
          </w:tcPr>
          <w:p>
            <w:pPr>
              <w:pStyle w:val="11"/>
              <w:jc w:val="center"/>
              <w:rPr>
                <w:rFonts w:hAnsi="宋体"/>
                <w:sz w:val="24"/>
              </w:rPr>
            </w:pPr>
            <w:r>
              <w:rPr>
                <w:rFonts w:hAnsi="宋体"/>
                <w:sz w:val="24"/>
              </w:rPr>
              <w:t>合同金额</w:t>
            </w:r>
          </w:p>
        </w:tc>
        <w:tc>
          <w:tcPr>
            <w:tcW w:w="1800" w:type="dxa"/>
            <w:vAlign w:val="center"/>
          </w:tcPr>
          <w:p>
            <w:pPr>
              <w:pStyle w:val="11"/>
              <w:jc w:val="center"/>
              <w:rPr>
                <w:rFonts w:hAnsi="宋体"/>
                <w:sz w:val="24"/>
              </w:rPr>
            </w:pPr>
            <w:r>
              <w:rPr>
                <w:rFonts w:hAnsi="宋体"/>
                <w:sz w:val="24"/>
              </w:rPr>
              <w:t>合同签订时间</w:t>
            </w:r>
          </w:p>
        </w:tc>
        <w:tc>
          <w:tcPr>
            <w:tcW w:w="2520" w:type="dxa"/>
            <w:vAlign w:val="center"/>
          </w:tcPr>
          <w:p>
            <w:pPr>
              <w:pStyle w:val="11"/>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r>
              <w:rPr>
                <w:rFonts w:hint="eastAsia" w:hAnsi="宋体"/>
                <w:sz w:val="24"/>
              </w:rPr>
              <w:t>……</w:t>
            </w: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numPr>
          <w:ilvl w:val="0"/>
          <w:numId w:val="7"/>
        </w:num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业绩证明应提供证明材料（</w:t>
      </w:r>
      <w:r>
        <w:rPr>
          <w:rFonts w:hint="eastAsia" w:ascii="宋体" w:hAnsi="宋体" w:cs="Arial"/>
          <w:color w:val="000000"/>
          <w:szCs w:val="21"/>
          <w:lang w:val="zh-CN"/>
        </w:rPr>
        <w:t>提供合同原件彩色扫描件并加盖投标人公章</w:t>
      </w:r>
      <w:r>
        <w:rPr>
          <w:rFonts w:ascii="宋体" w:hAnsi="宋体" w:cs="Arial"/>
          <w:color w:val="000000"/>
          <w:szCs w:val="21"/>
        </w:rPr>
        <w:t>）</w:t>
      </w:r>
      <w:r>
        <w:rPr>
          <w:rFonts w:ascii="宋体" w:hAnsi="宋体" w:cs="Arial"/>
          <w:szCs w:val="21"/>
        </w:rPr>
        <w:t>；</w:t>
      </w:r>
    </w:p>
    <w:p>
      <w:pPr>
        <w:spacing w:line="360" w:lineRule="auto"/>
        <w:ind w:firstLine="424" w:firstLineChars="202"/>
        <w:jc w:val="left"/>
        <w:rPr>
          <w:rFonts w:ascii="宋体" w:hAnsi="宋体"/>
          <w:color w:val="000000"/>
          <w:sz w:val="22"/>
          <w:szCs w:val="22"/>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可按此表格式复制</w:t>
      </w:r>
      <w:r>
        <w:rPr>
          <w:rFonts w:hint="eastAsia" w:ascii="宋体" w:hAnsi="宋体" w:cs="Arial"/>
          <w:color w:val="000000"/>
          <w:szCs w:val="21"/>
        </w:rPr>
        <w:t>。</w:t>
      </w:r>
    </w:p>
    <w:p>
      <w:pPr>
        <w:spacing w:line="360" w:lineRule="auto"/>
        <w:rPr>
          <w:rFonts w:ascii="宋体" w:hAnsi="宋体"/>
          <w:color w:val="000000"/>
          <w:sz w:val="22"/>
          <w:szCs w:val="22"/>
        </w:rPr>
      </w:pPr>
    </w:p>
    <w:p>
      <w:pPr>
        <w:spacing w:line="360" w:lineRule="auto"/>
        <w:ind w:left="420"/>
        <w:rPr>
          <w:rFonts w:ascii="宋体" w:hAnsi="宋体"/>
          <w:color w:val="000000"/>
          <w:sz w:val="24"/>
          <w:u w:val="single"/>
        </w:rPr>
      </w:pPr>
      <w:r>
        <w:rPr>
          <w:rFonts w:hint="eastAsia" w:ascii="宋体" w:hAnsi="宋体"/>
          <w:color w:val="000000"/>
          <w:sz w:val="24"/>
        </w:rPr>
        <w:t>磋商供应商名称（盖章）：</w:t>
      </w:r>
    </w:p>
    <w:p>
      <w:pPr>
        <w:spacing w:line="360" w:lineRule="auto"/>
        <w:ind w:firstLine="435"/>
        <w:rPr>
          <w:rFonts w:ascii="宋体" w:hAnsi="宋体"/>
          <w:color w:val="000000"/>
          <w:sz w:val="24"/>
        </w:rPr>
      </w:pPr>
      <w:r>
        <w:rPr>
          <w:rFonts w:hint="eastAsia" w:ascii="宋体" w:hAnsi="宋体"/>
          <w:color w:val="000000"/>
          <w:sz w:val="24"/>
        </w:rPr>
        <w:t>磋商供应商代表签字：</w:t>
      </w: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ind w:firstLine="435"/>
        <w:rPr>
          <w:rFonts w:ascii="宋体" w:hAnsi="宋体"/>
          <w:color w:val="000000"/>
          <w:sz w:val="24"/>
          <w:u w:val="single"/>
        </w:rPr>
      </w:pPr>
      <w:r>
        <w:rPr>
          <w:rFonts w:hint="eastAsia" w:ascii="宋体" w:hAnsi="宋体"/>
          <w:color w:val="000000"/>
          <w:sz w:val="24"/>
        </w:rPr>
        <w:t>日        期：</w:t>
      </w:r>
    </w:p>
    <w:p>
      <w:pPr>
        <w:widowControl/>
        <w:jc w:val="left"/>
        <w:rPr>
          <w:rFonts w:ascii="宋体" w:hAnsi="宋体"/>
          <w:color w:val="000000"/>
          <w:sz w:val="24"/>
          <w:u w:val="single"/>
        </w:rPr>
      </w:pPr>
      <w:r>
        <w:rPr>
          <w:rFonts w:ascii="宋体" w:hAnsi="宋体"/>
          <w:color w:val="000000"/>
          <w:sz w:val="24"/>
          <w:u w:val="single"/>
        </w:rPr>
        <w:br w:type="page"/>
      </w:r>
    </w:p>
    <w:p>
      <w:pPr>
        <w:pStyle w:val="5"/>
        <w:rPr>
          <w:rFonts w:asciiTheme="majorEastAsia" w:hAnsiTheme="majorEastAsia"/>
          <w:kern w:val="0"/>
          <w:sz w:val="36"/>
          <w:szCs w:val="36"/>
        </w:rPr>
      </w:pPr>
      <w:bookmarkStart w:id="27" w:name="_Toc2310"/>
      <w:r>
        <w:rPr>
          <w:rFonts w:hint="eastAsia" w:asciiTheme="majorEastAsia" w:hAnsiTheme="majorEastAsia"/>
          <w:kern w:val="0"/>
          <w:sz w:val="36"/>
          <w:szCs w:val="36"/>
        </w:rPr>
        <w:t>附件7:</w:t>
      </w:r>
      <w:bookmarkEnd w:id="27"/>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pStyle w:val="11"/>
        <w:adjustRightInd w:val="0"/>
        <w:snapToGrid w:val="0"/>
        <w:spacing w:line="360" w:lineRule="auto"/>
        <w:jc w:val="left"/>
        <w:rPr>
          <w:rFonts w:hAnsi="宋体"/>
          <w:b/>
          <w:sz w:val="32"/>
          <w:szCs w:val="32"/>
        </w:rPr>
      </w:pPr>
      <w:r>
        <w:rPr>
          <w:rFonts w:hint="eastAsia" w:hAnsi="宋体"/>
          <w:b/>
          <w:bCs/>
          <w:color w:val="000000"/>
          <w:sz w:val="24"/>
        </w:rPr>
        <w:t>项目名称及编号：</w:t>
      </w:r>
    </w:p>
    <w:tbl>
      <w:tblPr>
        <w:tblStyle w:val="19"/>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ind w:left="420"/>
        <w:rPr>
          <w:rFonts w:ascii="宋体" w:hAnsi="宋体"/>
          <w:color w:val="000000"/>
          <w:sz w:val="24"/>
        </w:rPr>
      </w:pPr>
      <w:r>
        <w:rPr>
          <w:rFonts w:hint="eastAsia" w:ascii="宋体" w:hAnsi="宋体"/>
          <w:color w:val="000000"/>
          <w:sz w:val="24"/>
        </w:rPr>
        <w:t>要求：</w:t>
      </w:r>
    </w:p>
    <w:p>
      <w:pPr>
        <w:spacing w:line="360" w:lineRule="auto"/>
        <w:ind w:left="420"/>
        <w:rPr>
          <w:rFonts w:ascii="宋体" w:hAnsi="宋体"/>
          <w:color w:val="000000"/>
          <w:sz w:val="24"/>
        </w:rPr>
      </w:pPr>
      <w:r>
        <w:rPr>
          <w:rFonts w:hint="eastAsia" w:ascii="宋体" w:hAnsi="宋体"/>
          <w:color w:val="000000"/>
          <w:sz w:val="24"/>
        </w:rPr>
        <w:t>1.在填写时，如本表格不适合投标单位的实际情况，可根据本表格式自行划表填写。</w:t>
      </w:r>
    </w:p>
    <w:p>
      <w:pPr>
        <w:spacing w:line="360" w:lineRule="auto"/>
        <w:ind w:left="420"/>
        <w:rPr>
          <w:rFonts w:ascii="宋体" w:hAnsi="宋体"/>
          <w:color w:val="000000"/>
          <w:sz w:val="24"/>
        </w:rPr>
      </w:pPr>
      <w:r>
        <w:rPr>
          <w:rFonts w:hint="eastAsia" w:ascii="宋体" w:hAnsi="宋体"/>
          <w:color w:val="000000"/>
          <w:sz w:val="24"/>
        </w:rPr>
        <w:t>2.附人员证书复印件；</w:t>
      </w:r>
    </w:p>
    <w:p>
      <w:pPr>
        <w:spacing w:line="360" w:lineRule="auto"/>
        <w:ind w:left="420"/>
        <w:rPr>
          <w:rFonts w:ascii="宋体" w:hAnsi="宋体"/>
          <w:color w:val="000000"/>
          <w:sz w:val="24"/>
          <w:u w:val="single"/>
        </w:rPr>
      </w:pPr>
      <w:r>
        <w:rPr>
          <w:rFonts w:hint="eastAsia" w:ascii="宋体" w:hAnsi="宋体"/>
          <w:color w:val="000000"/>
          <w:sz w:val="24"/>
        </w:rPr>
        <w:t>磋商供应商名称（盖章）：</w:t>
      </w:r>
    </w:p>
    <w:p>
      <w:pPr>
        <w:spacing w:line="360" w:lineRule="auto"/>
        <w:ind w:left="420"/>
        <w:rPr>
          <w:rFonts w:ascii="宋体" w:hAnsi="宋体"/>
          <w:color w:val="000000"/>
          <w:sz w:val="24"/>
          <w:u w:val="single"/>
        </w:rPr>
      </w:pPr>
    </w:p>
    <w:p>
      <w:pPr>
        <w:spacing w:line="360" w:lineRule="auto"/>
        <w:ind w:firstLine="435"/>
        <w:rPr>
          <w:rFonts w:ascii="宋体" w:hAnsi="宋体"/>
          <w:color w:val="000000"/>
          <w:sz w:val="24"/>
        </w:rPr>
      </w:pPr>
      <w:r>
        <w:rPr>
          <w:rFonts w:hint="eastAsia" w:ascii="宋体" w:hAnsi="宋体"/>
          <w:color w:val="000000"/>
          <w:sz w:val="24"/>
        </w:rPr>
        <w:t>磋商供应商代表签字：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widowControl/>
        <w:jc w:val="left"/>
        <w:rPr>
          <w:rFonts w:ascii="宋体" w:hAnsi="宋体"/>
          <w:b/>
          <w:color w:val="000000"/>
          <w:sz w:val="28"/>
        </w:rPr>
      </w:pPr>
      <w:r>
        <w:rPr>
          <w:rFonts w:ascii="宋体" w:hAnsi="宋体"/>
          <w:b/>
          <w:color w:val="000000"/>
          <w:sz w:val="28"/>
        </w:rPr>
        <w:br w:type="page"/>
      </w:r>
    </w:p>
    <w:p>
      <w:pPr>
        <w:pStyle w:val="5"/>
        <w:rPr>
          <w:rFonts w:ascii="仿宋_GB2312" w:hAnsi="宋体" w:eastAsia="仿宋_GB2312"/>
          <w:b w:val="0"/>
          <w:color w:val="000000"/>
          <w:sz w:val="30"/>
          <w:szCs w:val="30"/>
        </w:rPr>
      </w:pPr>
      <w:bookmarkStart w:id="28" w:name="_Toc6060"/>
      <w:r>
        <w:rPr>
          <w:rFonts w:hint="eastAsia" w:asciiTheme="majorEastAsia" w:hAnsiTheme="majorEastAsia"/>
          <w:kern w:val="0"/>
          <w:sz w:val="36"/>
          <w:szCs w:val="36"/>
        </w:rPr>
        <w:t>附件8：</w:t>
      </w:r>
      <w:bookmarkEnd w:id="28"/>
    </w:p>
    <w:p>
      <w:pPr>
        <w:spacing w:line="360" w:lineRule="auto"/>
        <w:ind w:right="25" w:rightChars="12"/>
        <w:jc w:val="center"/>
        <w:rPr>
          <w:rFonts w:ascii="宋体" w:hAnsi="宋体"/>
          <w:b/>
          <w:sz w:val="28"/>
          <w:szCs w:val="28"/>
        </w:rPr>
      </w:pPr>
      <w:r>
        <w:rPr>
          <w:rFonts w:hint="eastAsia" w:ascii="宋体" w:hAnsi="宋体"/>
          <w:b/>
          <w:sz w:val="28"/>
          <w:szCs w:val="28"/>
        </w:rPr>
        <w:t>首次报价一览表</w:t>
      </w:r>
    </w:p>
    <w:p>
      <w:pPr>
        <w:spacing w:line="300" w:lineRule="exact"/>
        <w:ind w:right="25" w:rightChars="12"/>
        <w:rPr>
          <w:rFonts w:ascii="宋体" w:hAnsi="宋体"/>
          <w:b/>
          <w:sz w:val="28"/>
          <w:szCs w:val="28"/>
        </w:rPr>
      </w:pPr>
    </w:p>
    <w:p>
      <w:pPr>
        <w:spacing w:line="360" w:lineRule="auto"/>
        <w:ind w:right="25" w:rightChars="12"/>
        <w:rPr>
          <w:rFonts w:ascii="宋体" w:hAnsi="宋体"/>
          <w:b/>
          <w:sz w:val="28"/>
          <w:szCs w:val="28"/>
        </w:rPr>
      </w:pPr>
    </w:p>
    <w:p>
      <w:pPr>
        <w:spacing w:line="360" w:lineRule="auto"/>
        <w:ind w:right="25" w:rightChars="12"/>
        <w:rPr>
          <w:rFonts w:ascii="宋体" w:hAnsi="宋体"/>
          <w:sz w:val="28"/>
          <w:szCs w:val="28"/>
        </w:rPr>
      </w:pPr>
    </w:p>
    <w:tbl>
      <w:tblPr>
        <w:tblStyle w:val="19"/>
        <w:tblW w:w="867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470"/>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57" w:type="dxa"/>
            <w:vMerge w:val="restart"/>
            <w:vAlign w:val="center"/>
          </w:tcPr>
          <w:p>
            <w:pPr>
              <w:ind w:right="25" w:rightChars="12"/>
              <w:jc w:val="center"/>
              <w:rPr>
                <w:rFonts w:ascii="宋体" w:hAnsi="宋体"/>
                <w:b/>
                <w:sz w:val="28"/>
                <w:szCs w:val="28"/>
              </w:rPr>
            </w:pPr>
            <w:r>
              <w:rPr>
                <w:rFonts w:hint="eastAsia" w:ascii="宋体" w:hAnsi="宋体"/>
                <w:b/>
                <w:sz w:val="28"/>
                <w:szCs w:val="28"/>
              </w:rPr>
              <w:t>谈判总价</w:t>
            </w:r>
          </w:p>
          <w:p>
            <w:pPr>
              <w:ind w:right="25" w:rightChars="12"/>
              <w:jc w:val="center"/>
              <w:rPr>
                <w:rFonts w:ascii="宋体" w:hAnsi="宋体"/>
                <w:sz w:val="28"/>
                <w:szCs w:val="28"/>
              </w:rPr>
            </w:pPr>
            <w:r>
              <w:rPr>
                <w:rFonts w:hint="eastAsia" w:ascii="宋体" w:hAnsi="宋体"/>
                <w:b/>
                <w:sz w:val="28"/>
                <w:szCs w:val="28"/>
              </w:rPr>
              <w:t>(人民币元)</w:t>
            </w: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（大写）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57" w:type="dxa"/>
            <w:vMerge w:val="continue"/>
            <w:vAlign w:val="center"/>
          </w:tcPr>
          <w:p>
            <w:pPr>
              <w:ind w:right="25" w:rightChars="12"/>
              <w:rPr>
                <w:rFonts w:ascii="宋体" w:hAnsi="宋体"/>
                <w:sz w:val="28"/>
                <w:szCs w:val="28"/>
              </w:rPr>
            </w:pP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（小写）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672" w:type="dxa"/>
            <w:gridSpan w:val="3"/>
            <w:vAlign w:val="center"/>
          </w:tcPr>
          <w:p>
            <w:pPr>
              <w:spacing w:line="360" w:lineRule="auto"/>
              <w:ind w:right="25" w:rightChars="12" w:firstLine="420" w:firstLineChars="150"/>
              <w:rPr>
                <w:rFonts w:ascii="宋体" w:hAnsi="宋体"/>
                <w:sz w:val="28"/>
                <w:szCs w:val="28"/>
              </w:rPr>
            </w:pPr>
            <w:r>
              <w:rPr>
                <w:rFonts w:hint="eastAsia" w:ascii="宋体" w:hAnsi="宋体"/>
                <w:sz w:val="28"/>
                <w:szCs w:val="28"/>
              </w:rPr>
              <w:t>备注：</w:t>
            </w:r>
          </w:p>
          <w:p>
            <w:pPr>
              <w:spacing w:line="360" w:lineRule="auto"/>
              <w:ind w:right="25" w:rightChars="12" w:firstLine="420" w:firstLineChars="150"/>
              <w:rPr>
                <w:rFonts w:ascii="宋体" w:hAns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、报价一经涂改，应在涂改处加盖单位公章或者由法定代表人或授权委托人签字或盖章，否则其谈判作无效标处理；</w:t>
            </w:r>
          </w:p>
          <w:p>
            <w:pPr>
              <w:spacing w:line="360" w:lineRule="auto"/>
              <w:ind w:right="25" w:rightChars="12" w:firstLine="420" w:firstLineChars="150"/>
              <w:rPr>
                <w:rFonts w:ascii="宋体" w:hAnsi="宋体"/>
                <w:sz w:val="28"/>
                <w:szCs w:val="28"/>
              </w:rPr>
            </w:pPr>
            <w:r>
              <w:rPr>
                <w:rFonts w:ascii="宋体" w:hAnsi="宋体"/>
                <w:sz w:val="28"/>
                <w:szCs w:val="28"/>
              </w:rPr>
              <w:t>2</w:t>
            </w:r>
            <w:r>
              <w:rPr>
                <w:rFonts w:hint="eastAsia" w:ascii="宋体" w:hAnsi="宋体"/>
                <w:sz w:val="28"/>
                <w:szCs w:val="28"/>
              </w:rPr>
              <w:t>、项目费用包括项目实施所需的服务费、税费及其他一切费用。</w:t>
            </w:r>
          </w:p>
        </w:tc>
      </w:tr>
    </w:tbl>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谈判供应商单位全称（公章）：</w:t>
      </w: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法定代表人（签字或盖章）：</w:t>
      </w:r>
    </w:p>
    <w:p>
      <w:pPr>
        <w:spacing w:line="320" w:lineRule="exact"/>
        <w:ind w:left="420" w:right="25" w:rightChars="12"/>
        <w:jc w:val="center"/>
        <w:rPr>
          <w:rFonts w:ascii="宋体" w:hAnsi="宋体"/>
          <w:sz w:val="28"/>
          <w:szCs w:val="28"/>
        </w:rPr>
      </w:pPr>
    </w:p>
    <w:p>
      <w:pPr>
        <w:spacing w:line="320" w:lineRule="exact"/>
        <w:ind w:right="25" w:rightChars="12"/>
        <w:rPr>
          <w:rFonts w:ascii="宋体" w:hAnsi="宋体"/>
          <w:sz w:val="28"/>
          <w:szCs w:val="28"/>
        </w:rPr>
      </w:pPr>
      <w:r>
        <w:rPr>
          <w:rFonts w:hint="eastAsia" w:ascii="宋体" w:hAnsi="宋体"/>
          <w:sz w:val="28"/>
          <w:szCs w:val="28"/>
        </w:rPr>
        <w:t>日     期：</w:t>
      </w:r>
    </w:p>
    <w:p>
      <w:pPr>
        <w:widowControl/>
        <w:jc w:val="left"/>
        <w:rPr>
          <w:rFonts w:ascii="宋体" w:hAnsi="宋体" w:cs="宋体"/>
          <w:color w:val="000000"/>
          <w:kern w:val="0"/>
          <w:sz w:val="24"/>
          <w:u w:val="single"/>
        </w:rPr>
      </w:pPr>
    </w:p>
    <w:sectPr>
      <w:headerReference r:id="rId3" w:type="default"/>
      <w:footerReference r:id="rId4" w:type="default"/>
      <w:pgSz w:w="11906" w:h="16838"/>
      <w:pgMar w:top="907" w:right="1276"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8689"/>
    </w:sdtPr>
    <w:sdtContent>
      <w:p>
        <w:pPr>
          <w:pStyle w:val="14"/>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hint="eastAsia" w:eastAsia="宋体"/>
        <w:b/>
        <w:sz w:val="36"/>
        <w:szCs w:val="36"/>
        <w:u w:val="single"/>
        <w:lang w:eastAsia="zh-CN"/>
      </w:rPr>
    </w:pP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Cs w:val="21"/>
        <w:u w:val="single"/>
        <w:lang w:eastAsia="zh-CN"/>
      </w:rPr>
      <w:t>三门县滨海科技城大周塘区块产业研究及概念规划项目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eastAsia"/>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D2F4C66"/>
    <w:multiLevelType w:val="multilevel"/>
    <w:tmpl w:val="4D2F4C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B8F1BF4"/>
    <w:multiLevelType w:val="singleLevel"/>
    <w:tmpl w:val="5B8F1BF4"/>
    <w:lvl w:ilvl="0" w:tentative="0">
      <w:start w:val="1"/>
      <w:numFmt w:val="decimal"/>
      <w:lvlText w:val="%1."/>
      <w:lvlJc w:val="left"/>
      <w:pPr>
        <w:tabs>
          <w:tab w:val="left" w:pos="312"/>
        </w:tabs>
      </w:p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53BE"/>
    <w:rsid w:val="00002BB3"/>
    <w:rsid w:val="00012A68"/>
    <w:rsid w:val="00025663"/>
    <w:rsid w:val="00036F6F"/>
    <w:rsid w:val="0005105C"/>
    <w:rsid w:val="000A5164"/>
    <w:rsid w:val="000A721C"/>
    <w:rsid w:val="000B7464"/>
    <w:rsid w:val="000C3FE7"/>
    <w:rsid w:val="000E1484"/>
    <w:rsid w:val="000E209B"/>
    <w:rsid w:val="00125A13"/>
    <w:rsid w:val="00141D44"/>
    <w:rsid w:val="001578E1"/>
    <w:rsid w:val="00166060"/>
    <w:rsid w:val="00181533"/>
    <w:rsid w:val="001961F7"/>
    <w:rsid w:val="001A1706"/>
    <w:rsid w:val="001A3CA1"/>
    <w:rsid w:val="001A461B"/>
    <w:rsid w:val="001B4DC2"/>
    <w:rsid w:val="001C2CFA"/>
    <w:rsid w:val="001C7549"/>
    <w:rsid w:val="001D0580"/>
    <w:rsid w:val="001D64EF"/>
    <w:rsid w:val="00215F9E"/>
    <w:rsid w:val="00220DA5"/>
    <w:rsid w:val="00221F02"/>
    <w:rsid w:val="00222081"/>
    <w:rsid w:val="0023695C"/>
    <w:rsid w:val="002409DA"/>
    <w:rsid w:val="0026623C"/>
    <w:rsid w:val="002721D9"/>
    <w:rsid w:val="0028368E"/>
    <w:rsid w:val="002A19EF"/>
    <w:rsid w:val="002C08ED"/>
    <w:rsid w:val="002D250D"/>
    <w:rsid w:val="00310480"/>
    <w:rsid w:val="00354300"/>
    <w:rsid w:val="00361C4B"/>
    <w:rsid w:val="003651BB"/>
    <w:rsid w:val="003665AF"/>
    <w:rsid w:val="00385A8D"/>
    <w:rsid w:val="003B66B4"/>
    <w:rsid w:val="003E3CCA"/>
    <w:rsid w:val="003F65BA"/>
    <w:rsid w:val="003F7402"/>
    <w:rsid w:val="00402F49"/>
    <w:rsid w:val="004108F8"/>
    <w:rsid w:val="00422CD7"/>
    <w:rsid w:val="004262E1"/>
    <w:rsid w:val="0047668A"/>
    <w:rsid w:val="004B7B8C"/>
    <w:rsid w:val="004D1EB0"/>
    <w:rsid w:val="004D3905"/>
    <w:rsid w:val="005075E5"/>
    <w:rsid w:val="00507AD0"/>
    <w:rsid w:val="00544F43"/>
    <w:rsid w:val="005474C6"/>
    <w:rsid w:val="0055390A"/>
    <w:rsid w:val="00557867"/>
    <w:rsid w:val="00572D6D"/>
    <w:rsid w:val="00587F97"/>
    <w:rsid w:val="005C1CC3"/>
    <w:rsid w:val="005D0718"/>
    <w:rsid w:val="005E3A53"/>
    <w:rsid w:val="00610102"/>
    <w:rsid w:val="006126C8"/>
    <w:rsid w:val="00652177"/>
    <w:rsid w:val="00670B61"/>
    <w:rsid w:val="00683F68"/>
    <w:rsid w:val="006A12C9"/>
    <w:rsid w:val="006B379F"/>
    <w:rsid w:val="007201B2"/>
    <w:rsid w:val="00721949"/>
    <w:rsid w:val="00750C7D"/>
    <w:rsid w:val="00784778"/>
    <w:rsid w:val="007A43B3"/>
    <w:rsid w:val="007C30EB"/>
    <w:rsid w:val="007D6FF9"/>
    <w:rsid w:val="0080537C"/>
    <w:rsid w:val="00813A42"/>
    <w:rsid w:val="00817ED6"/>
    <w:rsid w:val="00843884"/>
    <w:rsid w:val="00846FAD"/>
    <w:rsid w:val="00863645"/>
    <w:rsid w:val="00872A83"/>
    <w:rsid w:val="0087608B"/>
    <w:rsid w:val="00892F91"/>
    <w:rsid w:val="008B674D"/>
    <w:rsid w:val="008C514D"/>
    <w:rsid w:val="008D0C01"/>
    <w:rsid w:val="00931E02"/>
    <w:rsid w:val="009456C6"/>
    <w:rsid w:val="009517A1"/>
    <w:rsid w:val="00951914"/>
    <w:rsid w:val="009A6F37"/>
    <w:rsid w:val="009A77B0"/>
    <w:rsid w:val="009A7F96"/>
    <w:rsid w:val="009C6663"/>
    <w:rsid w:val="009E2417"/>
    <w:rsid w:val="009F16A8"/>
    <w:rsid w:val="00A2179A"/>
    <w:rsid w:val="00A636DF"/>
    <w:rsid w:val="00A9274B"/>
    <w:rsid w:val="00AC30DD"/>
    <w:rsid w:val="00B426A3"/>
    <w:rsid w:val="00B80281"/>
    <w:rsid w:val="00B837BA"/>
    <w:rsid w:val="00B83929"/>
    <w:rsid w:val="00B85AC1"/>
    <w:rsid w:val="00B95DF5"/>
    <w:rsid w:val="00BA7896"/>
    <w:rsid w:val="00BB638B"/>
    <w:rsid w:val="00BC39E4"/>
    <w:rsid w:val="00BE378F"/>
    <w:rsid w:val="00C00843"/>
    <w:rsid w:val="00C53AA2"/>
    <w:rsid w:val="00C6536F"/>
    <w:rsid w:val="00C81A3E"/>
    <w:rsid w:val="00CA1DAD"/>
    <w:rsid w:val="00CB6220"/>
    <w:rsid w:val="00CC7B1F"/>
    <w:rsid w:val="00CF031E"/>
    <w:rsid w:val="00D0077A"/>
    <w:rsid w:val="00D03A7D"/>
    <w:rsid w:val="00D13D52"/>
    <w:rsid w:val="00D26388"/>
    <w:rsid w:val="00D4435A"/>
    <w:rsid w:val="00D520F3"/>
    <w:rsid w:val="00D651FF"/>
    <w:rsid w:val="00D77FFD"/>
    <w:rsid w:val="00D853BE"/>
    <w:rsid w:val="00DB552B"/>
    <w:rsid w:val="00DC7D99"/>
    <w:rsid w:val="00DD60F0"/>
    <w:rsid w:val="00DF7553"/>
    <w:rsid w:val="00E40519"/>
    <w:rsid w:val="00E5076E"/>
    <w:rsid w:val="00E51F51"/>
    <w:rsid w:val="00E83646"/>
    <w:rsid w:val="00E90702"/>
    <w:rsid w:val="00EB5BE9"/>
    <w:rsid w:val="00EE5326"/>
    <w:rsid w:val="00F11D6C"/>
    <w:rsid w:val="00F2644D"/>
    <w:rsid w:val="00F43D3A"/>
    <w:rsid w:val="00F4406D"/>
    <w:rsid w:val="00F46D7F"/>
    <w:rsid w:val="00F65047"/>
    <w:rsid w:val="00F713B3"/>
    <w:rsid w:val="00F85775"/>
    <w:rsid w:val="00F92F70"/>
    <w:rsid w:val="00FA7B94"/>
    <w:rsid w:val="00FB6F17"/>
    <w:rsid w:val="00FC303E"/>
    <w:rsid w:val="00FD1736"/>
    <w:rsid w:val="00FE2C18"/>
    <w:rsid w:val="00FF0DF1"/>
    <w:rsid w:val="01A9533B"/>
    <w:rsid w:val="01BC3028"/>
    <w:rsid w:val="031C5F30"/>
    <w:rsid w:val="0445625C"/>
    <w:rsid w:val="04BD5AF5"/>
    <w:rsid w:val="06230AC7"/>
    <w:rsid w:val="091E347C"/>
    <w:rsid w:val="097B7956"/>
    <w:rsid w:val="098578B7"/>
    <w:rsid w:val="0BE53CC2"/>
    <w:rsid w:val="0C873734"/>
    <w:rsid w:val="0D9B5437"/>
    <w:rsid w:val="0EE70DAE"/>
    <w:rsid w:val="0F5C6D13"/>
    <w:rsid w:val="0FA5734F"/>
    <w:rsid w:val="0FD94A8A"/>
    <w:rsid w:val="147D044F"/>
    <w:rsid w:val="17C92DF8"/>
    <w:rsid w:val="18C30324"/>
    <w:rsid w:val="1A4A556B"/>
    <w:rsid w:val="1A6B74C0"/>
    <w:rsid w:val="1E484685"/>
    <w:rsid w:val="22284766"/>
    <w:rsid w:val="22F17BBA"/>
    <w:rsid w:val="23501555"/>
    <w:rsid w:val="239205AC"/>
    <w:rsid w:val="243D39CE"/>
    <w:rsid w:val="27832537"/>
    <w:rsid w:val="27A44B09"/>
    <w:rsid w:val="28664E41"/>
    <w:rsid w:val="29541BF5"/>
    <w:rsid w:val="2AE91076"/>
    <w:rsid w:val="2B0C61E7"/>
    <w:rsid w:val="2E7C2733"/>
    <w:rsid w:val="31FA0D14"/>
    <w:rsid w:val="35F7460C"/>
    <w:rsid w:val="36593132"/>
    <w:rsid w:val="36915898"/>
    <w:rsid w:val="369D0D95"/>
    <w:rsid w:val="37E46099"/>
    <w:rsid w:val="389D46CD"/>
    <w:rsid w:val="38D01E92"/>
    <w:rsid w:val="38DC77CB"/>
    <w:rsid w:val="38E157B3"/>
    <w:rsid w:val="393F3CB1"/>
    <w:rsid w:val="39951BA5"/>
    <w:rsid w:val="3B776DA3"/>
    <w:rsid w:val="3BD30D75"/>
    <w:rsid w:val="3C060D42"/>
    <w:rsid w:val="3D7600F3"/>
    <w:rsid w:val="3E8B441E"/>
    <w:rsid w:val="3EE777F2"/>
    <w:rsid w:val="3FF91F92"/>
    <w:rsid w:val="40A0246D"/>
    <w:rsid w:val="42325753"/>
    <w:rsid w:val="435570E1"/>
    <w:rsid w:val="461C162A"/>
    <w:rsid w:val="4A664CCC"/>
    <w:rsid w:val="4C6736FF"/>
    <w:rsid w:val="4DB1511A"/>
    <w:rsid w:val="4E5C65C9"/>
    <w:rsid w:val="4F555AC8"/>
    <w:rsid w:val="4FFC6BCE"/>
    <w:rsid w:val="51A5171E"/>
    <w:rsid w:val="56E9291D"/>
    <w:rsid w:val="596374CC"/>
    <w:rsid w:val="5CF83203"/>
    <w:rsid w:val="5D4271DC"/>
    <w:rsid w:val="5E1B3E4B"/>
    <w:rsid w:val="5E683B4D"/>
    <w:rsid w:val="60444C98"/>
    <w:rsid w:val="604C57DD"/>
    <w:rsid w:val="62D024D0"/>
    <w:rsid w:val="6A142BC0"/>
    <w:rsid w:val="6D6D5A85"/>
    <w:rsid w:val="704F659F"/>
    <w:rsid w:val="74424C9B"/>
    <w:rsid w:val="74660693"/>
    <w:rsid w:val="747362B4"/>
    <w:rsid w:val="78D52913"/>
    <w:rsid w:val="7A95564F"/>
    <w:rsid w:val="7DFC0BC3"/>
    <w:rsid w:val="7E612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spacing w:after="120"/>
    </w:pPr>
  </w:style>
  <w:style w:type="paragraph" w:styleId="3">
    <w:name w:val="Body Text First Indent"/>
    <w:basedOn w:val="2"/>
    <w:next w:val="1"/>
    <w:semiHidden/>
    <w:unhideWhenUsed/>
    <w:qFormat/>
    <w:uiPriority w:val="99"/>
    <w:pPr>
      <w:ind w:firstLine="420" w:firstLineChars="100"/>
    </w:pPr>
    <w:rPr>
      <w:rFonts w:asciiTheme="minorHAnsi" w:hAnsiTheme="minorHAnsi" w:eastAsiaTheme="minorEastAsia" w:cstheme="minorBidi"/>
      <w:szCs w:val="22"/>
    </w:rPr>
  </w:style>
  <w:style w:type="paragraph" w:styleId="7">
    <w:name w:val="List Number"/>
    <w:basedOn w:val="1"/>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8">
    <w:name w:val="Normal Indent"/>
    <w:basedOn w:val="1"/>
    <w:link w:val="38"/>
    <w:qFormat/>
    <w:uiPriority w:val="0"/>
    <w:pPr>
      <w:ind w:firstLine="420"/>
    </w:pPr>
    <w:rPr>
      <w:rFonts w:asciiTheme="minorHAnsi" w:hAnsiTheme="minorHAnsi" w:eastAsiaTheme="minorEastAsia" w:cstheme="minorBidi"/>
      <w:szCs w:val="22"/>
    </w:rPr>
  </w:style>
  <w:style w:type="paragraph" w:styleId="9">
    <w:name w:val="Body Text Indent"/>
    <w:basedOn w:val="1"/>
    <w:link w:val="36"/>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toc 3"/>
    <w:basedOn w:val="1"/>
    <w:next w:val="1"/>
    <w:unhideWhenUsed/>
    <w:qFormat/>
    <w:uiPriority w:val="39"/>
    <w:pPr>
      <w:ind w:left="840" w:leftChars="400"/>
    </w:pPr>
  </w:style>
  <w:style w:type="paragraph" w:styleId="11">
    <w:name w:val="Plain Text"/>
    <w:basedOn w:val="1"/>
    <w:link w:val="32"/>
    <w:qFormat/>
    <w:uiPriority w:val="0"/>
    <w:rPr>
      <w:rFonts w:ascii="宋体" w:hAnsi="Courier New" w:cstheme="minorBidi"/>
    </w:rPr>
  </w:style>
  <w:style w:type="paragraph" w:styleId="12">
    <w:name w:val="Date"/>
    <w:basedOn w:val="1"/>
    <w:next w:val="1"/>
    <w:link w:val="34"/>
    <w:qFormat/>
    <w:uiPriority w:val="0"/>
    <w:pPr>
      <w:ind w:left="2500" w:leftChars="2500"/>
    </w:pPr>
    <w:rPr>
      <w:rFonts w:eastAsia="楷体_GB2312"/>
      <w:sz w:val="32"/>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000FF" w:themeColor="hyperlink"/>
      <w:u w:val="single"/>
    </w:rPr>
  </w:style>
  <w:style w:type="paragraph" w:customStyle="1" w:styleId="24">
    <w:name w:val="BodyText"/>
    <w:basedOn w:val="1"/>
    <w:qFormat/>
    <w:uiPriority w:val="0"/>
    <w:pPr>
      <w:spacing w:after="120"/>
    </w:pPr>
    <w:rPr>
      <w:kern w:val="0"/>
    </w:rPr>
  </w:style>
  <w:style w:type="character" w:customStyle="1" w:styleId="25">
    <w:name w:val="标题 1 Char"/>
    <w:basedOn w:val="21"/>
    <w:link w:val="4"/>
    <w:qFormat/>
    <w:uiPriority w:val="9"/>
    <w:rPr>
      <w:rFonts w:ascii="Times New Roman" w:hAnsi="Times New Roman" w:eastAsia="宋体" w:cs="Times New Roman"/>
      <w:b/>
      <w:bCs/>
      <w:kern w:val="44"/>
      <w:sz w:val="44"/>
      <w:szCs w:val="44"/>
    </w:rPr>
  </w:style>
  <w:style w:type="character" w:customStyle="1" w:styleId="26">
    <w:name w:val="标题 2 Char"/>
    <w:basedOn w:val="21"/>
    <w:link w:val="5"/>
    <w:qFormat/>
    <w:uiPriority w:val="9"/>
    <w:rPr>
      <w:rFonts w:asciiTheme="majorHAnsi" w:hAnsiTheme="majorHAnsi" w:eastAsiaTheme="majorEastAsia" w:cstheme="majorBidi"/>
      <w:b/>
      <w:bCs/>
      <w:sz w:val="32"/>
      <w:szCs w:val="32"/>
    </w:rPr>
  </w:style>
  <w:style w:type="character" w:customStyle="1" w:styleId="27">
    <w:name w:val="标题 3 Char"/>
    <w:basedOn w:val="21"/>
    <w:link w:val="6"/>
    <w:semiHidden/>
    <w:qFormat/>
    <w:uiPriority w:val="9"/>
    <w:rPr>
      <w:rFonts w:ascii="Times New Roman" w:hAnsi="Times New Roman" w:eastAsia="宋体" w:cs="Times New Roman"/>
      <w:b/>
      <w:bCs/>
      <w:sz w:val="32"/>
      <w:szCs w:val="32"/>
    </w:rPr>
  </w:style>
  <w:style w:type="character" w:customStyle="1" w:styleId="28">
    <w:name w:val="页眉 Char"/>
    <w:basedOn w:val="21"/>
    <w:link w:val="15"/>
    <w:qFormat/>
    <w:uiPriority w:val="99"/>
    <w:rPr>
      <w:rFonts w:ascii="Times New Roman" w:hAnsi="Times New Roman" w:eastAsia="宋体" w:cs="Times New Roman"/>
      <w:sz w:val="18"/>
      <w:szCs w:val="18"/>
    </w:rPr>
  </w:style>
  <w:style w:type="character" w:customStyle="1" w:styleId="29">
    <w:name w:val="页脚 Char"/>
    <w:basedOn w:val="21"/>
    <w:link w:val="14"/>
    <w:qFormat/>
    <w:uiPriority w:val="99"/>
    <w:rPr>
      <w:rFonts w:ascii="Times New Roman" w:hAnsi="Times New Roman" w:eastAsia="宋体" w:cs="Times New Roman"/>
      <w:sz w:val="18"/>
      <w:szCs w:val="18"/>
    </w:rPr>
  </w:style>
  <w:style w:type="character" w:customStyle="1" w:styleId="30">
    <w:name w:val="批注框文本 Char"/>
    <w:basedOn w:val="21"/>
    <w:link w:val="13"/>
    <w:semiHidden/>
    <w:qFormat/>
    <w:uiPriority w:val="99"/>
    <w:rPr>
      <w:rFonts w:ascii="Times New Roman" w:hAnsi="Times New Roman" w:eastAsia="宋体" w:cs="Times New Roman"/>
      <w:sz w:val="18"/>
      <w:szCs w:val="18"/>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32">
    <w:name w:val="纯文本 Char"/>
    <w:link w:val="11"/>
    <w:qFormat/>
    <w:uiPriority w:val="0"/>
    <w:rPr>
      <w:rFonts w:ascii="宋体" w:hAnsi="Courier New" w:eastAsia="宋体"/>
      <w:szCs w:val="24"/>
    </w:rPr>
  </w:style>
  <w:style w:type="character" w:customStyle="1" w:styleId="33">
    <w:name w:val="纯文本 Char1"/>
    <w:basedOn w:val="21"/>
    <w:qFormat/>
    <w:uiPriority w:val="0"/>
    <w:rPr>
      <w:rFonts w:ascii="宋体" w:hAnsi="Courier New" w:eastAsia="宋体" w:cs="Courier New"/>
      <w:szCs w:val="21"/>
    </w:rPr>
  </w:style>
  <w:style w:type="character" w:customStyle="1" w:styleId="34">
    <w:name w:val="日期 Char"/>
    <w:basedOn w:val="21"/>
    <w:link w:val="12"/>
    <w:qFormat/>
    <w:uiPriority w:val="0"/>
    <w:rPr>
      <w:rFonts w:ascii="Times New Roman" w:hAnsi="Times New Roman" w:eastAsia="楷体_GB2312" w:cs="Times New Roman"/>
      <w:sz w:val="32"/>
      <w:szCs w:val="20"/>
    </w:rPr>
  </w:style>
  <w:style w:type="paragraph" w:styleId="35">
    <w:name w:val="List Paragraph"/>
    <w:basedOn w:val="1"/>
    <w:qFormat/>
    <w:uiPriority w:val="34"/>
    <w:pPr>
      <w:ind w:firstLine="420" w:firstLineChars="200"/>
    </w:pPr>
    <w:rPr>
      <w:rFonts w:ascii="Calibri" w:hAnsi="Calibri"/>
      <w:szCs w:val="22"/>
    </w:rPr>
  </w:style>
  <w:style w:type="character" w:customStyle="1" w:styleId="36">
    <w:name w:val="正文文本缩进 Char"/>
    <w:basedOn w:val="21"/>
    <w:link w:val="9"/>
    <w:qFormat/>
    <w:uiPriority w:val="0"/>
    <w:rPr>
      <w:rFonts w:ascii="宋体" w:hAnsi="Times New Roman" w:eastAsia="宋体" w:cs="Times New Roman"/>
      <w:color w:val="000000"/>
      <w:kern w:val="0"/>
      <w:sz w:val="24"/>
      <w:szCs w:val="20"/>
    </w:rPr>
  </w:style>
  <w:style w:type="character" w:customStyle="1" w:styleId="37">
    <w:name w:val="正文文本 Char"/>
    <w:basedOn w:val="21"/>
    <w:link w:val="2"/>
    <w:qFormat/>
    <w:uiPriority w:val="0"/>
    <w:rPr>
      <w:rFonts w:ascii="Times New Roman" w:hAnsi="Times New Roman" w:eastAsia="宋体" w:cs="Times New Roman"/>
      <w:szCs w:val="24"/>
    </w:rPr>
  </w:style>
  <w:style w:type="character" w:customStyle="1" w:styleId="38">
    <w:name w:val="正文缩进 Char"/>
    <w:link w:val="8"/>
    <w:qFormat/>
    <w:uiPriority w:val="0"/>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jc w:val="left"/>
    </w:pPr>
    <w:rPr>
      <w:rFonts w:ascii="Calibri" w:hAnsi="Calibri"/>
      <w:kern w:val="0"/>
      <w:sz w:val="22"/>
      <w:szCs w:val="22"/>
      <w:lang w:eastAsia="en-US"/>
    </w:rPr>
  </w:style>
  <w:style w:type="paragraph" w:customStyle="1" w:styleId="45">
    <w:name w:val="普通 (Web)"/>
    <w:basedOn w:val="1"/>
    <w:qFormat/>
    <w:uiPriority w:val="0"/>
    <w:pPr>
      <w:widowControl/>
      <w:spacing w:beforeAutospacing="1" w:afterAutospacing="1"/>
      <w:jc w:val="left"/>
    </w:pPr>
    <w:rPr>
      <w:rFonts w:ascii="宋体" w:hAnsi="宋体" w:cs="宋体"/>
      <w:kern w:val="0"/>
      <w:sz w:val="18"/>
      <w:szCs w:val="18"/>
    </w:rPr>
  </w:style>
  <w:style w:type="character" w:customStyle="1" w:styleId="4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86FEC-E178-4F2C-BA6C-0AAE393346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2771</Words>
  <Characters>15800</Characters>
  <Lines>131</Lines>
  <Paragraphs>37</Paragraphs>
  <TotalTime>6</TotalTime>
  <ScaleCrop>false</ScaleCrop>
  <LinksUpToDate>false</LinksUpToDate>
  <CharactersWithSpaces>18534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2019-08-27T04:58:00Z</dcterms:created>
  <dc:creator>User</dc:creator>
  <cp:lastModifiedBy>苡☆°ら。米</cp:lastModifiedBy>
  <cp:lastPrinted>2019-08-26T00:43:00Z</cp:lastPrinted>
  <dcterms:modified xsi:type="dcterms:W3CDTF">2021-11-17T02:50:01Z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9243DB29898144B1A93FF8A955B0ED9C</vt:lpwstr>
  </property>
</Properties>
</file>