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120" w:after="120" w:line="360" w:lineRule="auto"/>
        <w:ind w:left="-210" w:leftChars="-100" w:right="-210" w:rightChars="-100"/>
        <w:jc w:val="center"/>
        <w:rPr>
          <w:rFonts w:hint="eastAsia" w:hAnsi="宋体" w:eastAsia="宋体"/>
          <w:b/>
          <w:color w:val="auto"/>
          <w:sz w:val="36"/>
          <w:szCs w:val="36"/>
          <w:highlight w:val="none"/>
          <w:lang w:eastAsia="zh-CN"/>
        </w:rPr>
      </w:pPr>
      <w:r>
        <w:rPr>
          <w:rFonts w:hint="eastAsia" w:hAnsi="宋体"/>
          <w:b/>
          <w:color w:val="auto"/>
          <w:sz w:val="36"/>
          <w:szCs w:val="36"/>
          <w:highlight w:val="none"/>
          <w:lang w:eastAsia="zh-CN"/>
        </w:rPr>
        <w:t>三门县（2021-2022）年度河湖水域巡查监管项目</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24"/>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24"/>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48"/>
          <w:szCs w:val="48"/>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right="1800"/>
        <w:jc w:val="center"/>
        <w:rPr>
          <w:rFonts w:ascii="宋体"/>
          <w:color w:val="auto"/>
          <w:kern w:val="0"/>
          <w:sz w:val="48"/>
          <w:szCs w:val="48"/>
          <w:highlight w:val="none"/>
        </w:rPr>
      </w:pPr>
      <w:r>
        <w:rPr>
          <w:rFonts w:hint="eastAsia" w:ascii="宋体"/>
          <w:color w:val="auto"/>
          <w:kern w:val="0"/>
          <w:sz w:val="48"/>
          <w:szCs w:val="48"/>
          <w:highlight w:val="none"/>
        </w:rPr>
        <w:t>竞争性谈判文件</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right="1800"/>
        <w:rPr>
          <w:rFonts w:ascii="宋体"/>
          <w:color w:val="auto"/>
          <w:kern w:val="0"/>
          <w:sz w:val="24"/>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right="1800"/>
        <w:rPr>
          <w:rFonts w:ascii="宋体"/>
          <w:color w:val="auto"/>
          <w:kern w:val="0"/>
          <w:sz w:val="24"/>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1" w:right="1800"/>
        <w:rPr>
          <w:rFonts w:ascii="宋体"/>
          <w:color w:val="auto"/>
          <w:kern w:val="0"/>
          <w:sz w:val="24"/>
          <w:highlight w:val="none"/>
        </w:rPr>
      </w:pPr>
    </w:p>
    <w:p>
      <w:pPr>
        <w:pStyle w:val="11"/>
        <w:snapToGrid w:val="0"/>
        <w:spacing w:before="120" w:after="120" w:line="360" w:lineRule="auto"/>
        <w:rPr>
          <w:color w:val="auto"/>
          <w:kern w:val="0"/>
          <w:sz w:val="29"/>
          <w:szCs w:val="29"/>
          <w:highlight w:val="none"/>
        </w:rPr>
      </w:pPr>
      <w:r>
        <w:rPr>
          <w:rFonts w:hint="eastAsia"/>
          <w:color w:val="auto"/>
          <w:kern w:val="0"/>
          <w:sz w:val="29"/>
          <w:szCs w:val="29"/>
          <w:highlight w:val="none"/>
        </w:rPr>
        <w:t>项目编号：科胜招备[2021]-0</w:t>
      </w:r>
      <w:r>
        <w:rPr>
          <w:rFonts w:hint="eastAsia"/>
          <w:color w:val="auto"/>
          <w:kern w:val="0"/>
          <w:sz w:val="29"/>
          <w:szCs w:val="29"/>
          <w:highlight w:val="none"/>
          <w:lang w:val="en-US" w:eastAsia="zh-CN"/>
        </w:rPr>
        <w:t>33</w:t>
      </w:r>
      <w:r>
        <w:rPr>
          <w:rFonts w:hint="eastAsia"/>
          <w:color w:val="auto"/>
          <w:kern w:val="0"/>
          <w:sz w:val="29"/>
          <w:szCs w:val="29"/>
          <w:highlight w:val="none"/>
        </w:rPr>
        <w:t>号</w:t>
      </w:r>
    </w:p>
    <w:p>
      <w:pPr>
        <w:pStyle w:val="11"/>
        <w:snapToGrid w:val="0"/>
        <w:spacing w:before="120" w:after="120" w:line="360" w:lineRule="auto"/>
        <w:ind w:left="1450" w:hanging="1450" w:hangingChars="500"/>
        <w:rPr>
          <w:rFonts w:hint="eastAsia" w:eastAsia="宋体"/>
          <w:color w:val="auto"/>
          <w:spacing w:val="0"/>
          <w:kern w:val="0"/>
          <w:sz w:val="29"/>
          <w:szCs w:val="29"/>
          <w:highlight w:val="none"/>
          <w:lang w:eastAsia="zh-CN"/>
        </w:rPr>
      </w:pPr>
      <w:r>
        <w:rPr>
          <w:rFonts w:hint="eastAsia"/>
          <w:color w:val="auto"/>
          <w:kern w:val="0"/>
          <w:sz w:val="29"/>
          <w:szCs w:val="29"/>
          <w:highlight w:val="none"/>
        </w:rPr>
        <w:t>采购项目：</w:t>
      </w:r>
      <w:r>
        <w:rPr>
          <w:rFonts w:hint="eastAsia"/>
          <w:color w:val="auto"/>
          <w:spacing w:val="0"/>
          <w:kern w:val="0"/>
          <w:sz w:val="29"/>
          <w:szCs w:val="29"/>
          <w:highlight w:val="none"/>
          <w:lang w:eastAsia="zh-CN"/>
        </w:rPr>
        <w:t>三门县（2021-2022）年度河湖水域巡查监管项目</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firstLine="480"/>
        <w:rPr>
          <w:rFonts w:ascii="宋体"/>
          <w:color w:val="auto"/>
          <w:kern w:val="0"/>
          <w:sz w:val="28"/>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right="1800"/>
        <w:rPr>
          <w:rFonts w:ascii="宋体"/>
          <w:color w:val="auto"/>
          <w:kern w:val="0"/>
          <w:sz w:val="28"/>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32"/>
          <w:highlight w:val="none"/>
        </w:rPr>
      </w:pPr>
      <w:r>
        <w:rPr>
          <w:rFonts w:hint="eastAsia" w:ascii="宋体"/>
          <w:color w:val="auto"/>
          <w:kern w:val="0"/>
          <w:sz w:val="32"/>
          <w:highlight w:val="none"/>
        </w:rPr>
        <w:t xml:space="preserve">   </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32"/>
          <w:highlight w:val="none"/>
        </w:rPr>
      </w:pPr>
    </w:p>
    <w:p>
      <w:pPr>
        <w:pStyle w:val="3"/>
        <w:rPr>
          <w:color w:val="auto"/>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left="1440" w:right="1800"/>
        <w:jc w:val="center"/>
        <w:rPr>
          <w:rFonts w:ascii="宋体"/>
          <w:color w:val="auto"/>
          <w:kern w:val="0"/>
          <w:sz w:val="32"/>
          <w:highlight w:val="none"/>
        </w:rPr>
      </w:pPr>
    </w:p>
    <w:p>
      <w:pPr>
        <w:adjustRightInd w:val="0"/>
        <w:snapToGrid w:val="0"/>
        <w:spacing w:line="360" w:lineRule="auto"/>
        <w:jc w:val="center"/>
        <w:rPr>
          <w:rFonts w:hint="eastAsia" w:ascii="宋体"/>
          <w:color w:val="auto"/>
          <w:kern w:val="0"/>
          <w:sz w:val="29"/>
          <w:szCs w:val="29"/>
          <w:highlight w:val="none"/>
        </w:rPr>
      </w:pPr>
    </w:p>
    <w:p>
      <w:pPr>
        <w:adjustRightInd w:val="0"/>
        <w:snapToGrid w:val="0"/>
        <w:spacing w:line="360" w:lineRule="auto"/>
        <w:jc w:val="center"/>
        <w:rPr>
          <w:rFonts w:hint="eastAsia" w:ascii="宋体"/>
          <w:color w:val="auto"/>
          <w:kern w:val="0"/>
          <w:sz w:val="29"/>
          <w:szCs w:val="29"/>
          <w:highlight w:val="none"/>
        </w:rPr>
      </w:pPr>
    </w:p>
    <w:p>
      <w:pPr>
        <w:adjustRightInd w:val="0"/>
        <w:snapToGrid w:val="0"/>
        <w:spacing w:line="360" w:lineRule="auto"/>
        <w:jc w:val="center"/>
        <w:rPr>
          <w:rFonts w:hint="eastAsia" w:ascii="宋体"/>
          <w:color w:val="auto"/>
          <w:kern w:val="0"/>
          <w:sz w:val="29"/>
          <w:szCs w:val="29"/>
          <w:highlight w:val="none"/>
        </w:rPr>
      </w:pPr>
    </w:p>
    <w:p>
      <w:pPr>
        <w:pStyle w:val="3"/>
        <w:rPr>
          <w:rFonts w:hint="eastAsia"/>
          <w:color w:val="auto"/>
          <w:highlight w:val="none"/>
        </w:rPr>
      </w:pPr>
    </w:p>
    <w:p>
      <w:pPr>
        <w:adjustRightInd w:val="0"/>
        <w:snapToGrid w:val="0"/>
        <w:spacing w:line="360" w:lineRule="auto"/>
        <w:jc w:val="center"/>
        <w:rPr>
          <w:rFonts w:ascii="宋体"/>
          <w:color w:val="auto"/>
          <w:kern w:val="0"/>
          <w:sz w:val="29"/>
          <w:szCs w:val="29"/>
          <w:highlight w:val="none"/>
        </w:rPr>
      </w:pPr>
      <w:r>
        <w:rPr>
          <w:rFonts w:hint="eastAsia" w:ascii="宋体"/>
          <w:color w:val="auto"/>
          <w:kern w:val="0"/>
          <w:sz w:val="29"/>
          <w:szCs w:val="29"/>
          <w:highlight w:val="none"/>
        </w:rPr>
        <w:t>采购人：三门县水利局</w:t>
      </w:r>
    </w:p>
    <w:p>
      <w:pPr>
        <w:tabs>
          <w:tab w:val="left" w:pos="720"/>
          <w:tab w:val="left" w:pos="144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代理机构：浙江科胜工程管理有限公司</w:t>
      </w:r>
    </w:p>
    <w:p>
      <w:pPr>
        <w:tabs>
          <w:tab w:val="left" w:pos="720"/>
          <w:tab w:val="left" w:pos="1440"/>
          <w:tab w:val="left" w:pos="2160"/>
          <w:tab w:val="left" w:pos="2880"/>
          <w:tab w:val="left" w:pos="3600"/>
          <w:tab w:val="left" w:pos="4320"/>
          <w:tab w:val="left" w:pos="5040"/>
          <w:tab w:val="left" w:pos="5760"/>
        </w:tabs>
        <w:autoSpaceDE w:val="0"/>
        <w:autoSpaceDN w:val="0"/>
        <w:adjustRightInd w:val="0"/>
        <w:snapToGrid w:val="0"/>
        <w:spacing w:line="360" w:lineRule="auto"/>
        <w:jc w:val="center"/>
        <w:rPr>
          <w:rFonts w:ascii="宋体" w:hAnsi="宋体" w:cs="宋体"/>
          <w:color w:val="auto"/>
          <w:kern w:val="0"/>
          <w:sz w:val="28"/>
          <w:szCs w:val="28"/>
          <w:highlight w:val="none"/>
        </w:rPr>
      </w:pPr>
      <w:r>
        <w:rPr>
          <w:rFonts w:hint="eastAsia" w:ascii="宋体" w:hAnsi="宋体"/>
          <w:color w:val="auto"/>
          <w:sz w:val="28"/>
          <w:szCs w:val="28"/>
          <w:highlight w:val="none"/>
        </w:rPr>
        <w:t>2021</w:t>
      </w:r>
      <w:r>
        <w:rPr>
          <w:rFonts w:hint="eastAsia" w:ascii="宋体" w:hAnsi="宋体" w:cs="宋体"/>
          <w:color w:val="auto"/>
          <w:kern w:val="0"/>
          <w:sz w:val="28"/>
          <w:szCs w:val="28"/>
          <w:highlight w:val="none"/>
        </w:rPr>
        <w:t>年</w:t>
      </w:r>
      <w:r>
        <w:rPr>
          <w:rFonts w:hint="eastAsia" w:ascii="宋体" w:hAnsi="宋体"/>
          <w:color w:val="auto"/>
          <w:sz w:val="28"/>
          <w:szCs w:val="28"/>
          <w:highlight w:val="none"/>
          <w:lang w:val="en-US" w:eastAsia="zh-CN"/>
        </w:rPr>
        <w:t>6</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17</w:t>
      </w:r>
      <w:r>
        <w:rPr>
          <w:rFonts w:hint="eastAsia" w:ascii="宋体" w:hAnsi="宋体" w:cs="宋体"/>
          <w:color w:val="auto"/>
          <w:kern w:val="0"/>
          <w:sz w:val="28"/>
          <w:szCs w:val="28"/>
          <w:highlight w:val="none"/>
        </w:rPr>
        <w:t>日</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tLeast"/>
        <w:ind w:right="1800"/>
        <w:rPr>
          <w:rFonts w:ascii="宋体"/>
          <w:color w:val="auto"/>
          <w:kern w:val="0"/>
          <w:sz w:val="28"/>
          <w:highlight w:val="none"/>
        </w:rPr>
      </w:pPr>
    </w:p>
    <w:p>
      <w:pPr>
        <w:pStyle w:val="8"/>
        <w:rPr>
          <w:color w:val="auto"/>
          <w:highlight w:val="none"/>
        </w:rPr>
      </w:pPr>
    </w:p>
    <w:p>
      <w:pPr>
        <w:jc w:val="center"/>
        <w:rPr>
          <w:rFonts w:ascii="宋体" w:hAnsi="宋体" w:cs="Arial"/>
          <w:b/>
          <w:bCs/>
          <w:color w:val="auto"/>
          <w:sz w:val="36"/>
          <w:szCs w:val="36"/>
          <w:highlight w:val="none"/>
        </w:rPr>
      </w:pPr>
      <w:r>
        <w:rPr>
          <w:rFonts w:hint="eastAsia" w:ascii="宋体" w:hAnsi="宋体" w:cs="Arial"/>
          <w:b/>
          <w:bCs/>
          <w:color w:val="auto"/>
          <w:sz w:val="36"/>
          <w:szCs w:val="36"/>
          <w:highlight w:val="none"/>
        </w:rPr>
        <w:t>目    录</w:t>
      </w:r>
    </w:p>
    <w:p>
      <w:pPr>
        <w:spacing w:line="360" w:lineRule="auto"/>
        <w:ind w:firstLine="703" w:firstLineChars="250"/>
        <w:jc w:val="left"/>
        <w:rPr>
          <w:rFonts w:ascii="宋体" w:hAnsi="宋体"/>
          <w:b/>
          <w:color w:val="auto"/>
          <w:sz w:val="28"/>
          <w:szCs w:val="28"/>
          <w:highlight w:val="none"/>
        </w:rPr>
      </w:pPr>
    </w:p>
    <w:p>
      <w:pPr>
        <w:spacing w:line="360" w:lineRule="auto"/>
        <w:ind w:firstLine="703" w:firstLineChars="250"/>
        <w:jc w:val="left"/>
        <w:rPr>
          <w:rFonts w:ascii="宋体" w:hAnsi="宋体"/>
          <w:b/>
          <w:color w:val="auto"/>
          <w:sz w:val="28"/>
          <w:szCs w:val="28"/>
          <w:highlight w:val="none"/>
        </w:rPr>
      </w:pPr>
    </w:p>
    <w:p>
      <w:pPr>
        <w:ind w:firstLine="703" w:firstLineChars="250"/>
        <w:rPr>
          <w:rFonts w:ascii="宋体" w:hAnsi="宋体"/>
          <w:b/>
          <w:color w:val="auto"/>
          <w:sz w:val="28"/>
          <w:szCs w:val="28"/>
          <w:highlight w:val="none"/>
        </w:rPr>
      </w:pPr>
      <w:r>
        <w:rPr>
          <w:rFonts w:hint="eastAsia" w:ascii="宋体" w:hAnsi="宋体"/>
          <w:b/>
          <w:color w:val="auto"/>
          <w:sz w:val="28"/>
          <w:szCs w:val="28"/>
          <w:highlight w:val="none"/>
        </w:rPr>
        <w:t>第一章 竞争性谈判采购邀请</w:t>
      </w:r>
    </w:p>
    <w:p>
      <w:pPr>
        <w:ind w:firstLine="703" w:firstLineChars="250"/>
        <w:rPr>
          <w:rFonts w:ascii="宋体" w:hAnsi="宋体"/>
          <w:b/>
          <w:color w:val="auto"/>
          <w:sz w:val="28"/>
          <w:szCs w:val="28"/>
          <w:highlight w:val="none"/>
        </w:rPr>
      </w:pPr>
      <w:r>
        <w:rPr>
          <w:rFonts w:hint="eastAsia" w:ascii="宋体" w:hAnsi="宋体"/>
          <w:b/>
          <w:color w:val="auto"/>
          <w:sz w:val="28"/>
          <w:szCs w:val="28"/>
          <w:highlight w:val="none"/>
        </w:rPr>
        <w:t>第二章　供应商须知</w:t>
      </w:r>
    </w:p>
    <w:p>
      <w:pPr>
        <w:ind w:firstLine="703" w:firstLineChars="250"/>
        <w:rPr>
          <w:rFonts w:ascii="宋体" w:hAnsi="宋体"/>
          <w:b/>
          <w:color w:val="auto"/>
          <w:sz w:val="28"/>
          <w:szCs w:val="28"/>
          <w:highlight w:val="none"/>
        </w:rPr>
      </w:pPr>
      <w:r>
        <w:rPr>
          <w:rFonts w:hint="eastAsia" w:ascii="宋体" w:hAnsi="宋体"/>
          <w:b/>
          <w:color w:val="auto"/>
          <w:sz w:val="28"/>
          <w:szCs w:val="28"/>
          <w:highlight w:val="none"/>
        </w:rPr>
        <w:t>第三章　谈判内容</w:t>
      </w:r>
    </w:p>
    <w:p>
      <w:pPr>
        <w:ind w:firstLine="703" w:firstLineChars="250"/>
        <w:rPr>
          <w:rFonts w:ascii="宋体" w:hAnsi="宋体"/>
          <w:b/>
          <w:color w:val="auto"/>
          <w:sz w:val="28"/>
          <w:szCs w:val="28"/>
          <w:highlight w:val="none"/>
        </w:rPr>
      </w:pPr>
      <w:r>
        <w:rPr>
          <w:rFonts w:hint="eastAsia" w:ascii="宋体" w:hAnsi="宋体"/>
          <w:b/>
          <w:color w:val="auto"/>
          <w:sz w:val="28"/>
          <w:szCs w:val="28"/>
          <w:highlight w:val="none"/>
        </w:rPr>
        <w:t>第四章  政府采购合同主要条款指引</w:t>
      </w:r>
    </w:p>
    <w:p>
      <w:pPr>
        <w:ind w:firstLine="703" w:firstLineChars="250"/>
        <w:rPr>
          <w:rFonts w:ascii="宋体" w:hAnsi="宋体"/>
          <w:b/>
          <w:color w:val="auto"/>
          <w:sz w:val="28"/>
          <w:szCs w:val="28"/>
          <w:highlight w:val="none"/>
        </w:rPr>
      </w:pPr>
      <w:r>
        <w:rPr>
          <w:rFonts w:hint="eastAsia" w:ascii="宋体" w:hAnsi="宋体"/>
          <w:b/>
          <w:color w:val="auto"/>
          <w:sz w:val="28"/>
          <w:szCs w:val="28"/>
          <w:highlight w:val="none"/>
        </w:rPr>
        <w:t>第五章  响应文件格式附件</w:t>
      </w: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p>
    <w:p>
      <w:pPr>
        <w:tabs>
          <w:tab w:val="left" w:pos="180"/>
          <w:tab w:val="left" w:pos="360"/>
          <w:tab w:val="left" w:pos="540"/>
          <w:tab w:val="left" w:pos="8280"/>
        </w:tabs>
        <w:autoSpaceDE w:val="0"/>
        <w:autoSpaceDN w:val="0"/>
        <w:adjustRightInd w:val="0"/>
        <w:spacing w:line="580" w:lineRule="exact"/>
        <w:ind w:right="23"/>
        <w:jc w:val="center"/>
        <w:rPr>
          <w:rFonts w:ascii="宋体"/>
          <w:b/>
          <w:color w:val="auto"/>
          <w:kern w:val="0"/>
          <w:sz w:val="36"/>
          <w:highlight w:val="none"/>
        </w:rPr>
      </w:pPr>
      <w:r>
        <w:rPr>
          <w:rFonts w:hint="eastAsia" w:ascii="宋体"/>
          <w:b/>
          <w:color w:val="auto"/>
          <w:kern w:val="0"/>
          <w:sz w:val="36"/>
          <w:highlight w:val="none"/>
        </w:rPr>
        <w:br w:type="page"/>
      </w:r>
    </w:p>
    <w:p>
      <w:pPr>
        <w:pStyle w:val="19"/>
        <w:rPr>
          <w:color w:val="auto"/>
          <w:highlight w:val="none"/>
        </w:rPr>
      </w:pPr>
      <w:r>
        <w:rPr>
          <w:rFonts w:hint="eastAsia"/>
          <w:color w:val="auto"/>
          <w:highlight w:val="none"/>
        </w:rPr>
        <w:t>第一章  竞争性谈判采购邀请</w:t>
      </w:r>
    </w:p>
    <w:p>
      <w:pPr>
        <w:pStyle w:val="4"/>
        <w:spacing w:before="0" w:after="0" w:line="360" w:lineRule="auto"/>
        <w:ind w:firstLine="241" w:firstLineChars="100"/>
        <w:rPr>
          <w:rFonts w:ascii="宋体"/>
          <w:color w:val="auto"/>
          <w:kern w:val="0"/>
          <w:sz w:val="24"/>
          <w:highlight w:val="none"/>
        </w:rPr>
      </w:pPr>
      <w:r>
        <w:rPr>
          <w:rFonts w:hint="eastAsia" w:ascii="宋体"/>
          <w:color w:val="auto"/>
          <w:kern w:val="0"/>
          <w:sz w:val="24"/>
          <w:highlight w:val="none"/>
        </w:rPr>
        <w:t>根据《中华人民共和国政府采购法》、《中华人民共和国政府采购法实施条例》和《政府采购非招标采购方式管理办法》等有关规定</w:t>
      </w:r>
      <w:r>
        <w:rPr>
          <w:rFonts w:ascii="宋体"/>
          <w:color w:val="auto"/>
          <w:kern w:val="0"/>
          <w:sz w:val="24"/>
          <w:highlight w:val="none"/>
        </w:rPr>
        <w:t xml:space="preserve">, </w:t>
      </w:r>
      <w:r>
        <w:rPr>
          <w:rFonts w:hint="eastAsia" w:ascii="宋体"/>
          <w:color w:val="auto"/>
          <w:kern w:val="0"/>
          <w:sz w:val="24"/>
          <w:highlight w:val="none"/>
        </w:rPr>
        <w:t>受采购人的委托，现就</w:t>
      </w:r>
      <w:r>
        <w:rPr>
          <w:rFonts w:hint="eastAsia" w:ascii="宋体"/>
          <w:color w:val="auto"/>
          <w:kern w:val="0"/>
          <w:sz w:val="24"/>
          <w:highlight w:val="none"/>
          <w:u w:val="single"/>
        </w:rPr>
        <w:t>三门县水利局</w:t>
      </w:r>
      <w:r>
        <w:rPr>
          <w:rFonts w:hint="eastAsia" w:ascii="宋体" w:hAnsi="宋体"/>
          <w:color w:val="auto"/>
          <w:sz w:val="24"/>
          <w:highlight w:val="none"/>
        </w:rPr>
        <w:t>单</w:t>
      </w:r>
      <w:r>
        <w:rPr>
          <w:rFonts w:hint="eastAsia" w:ascii="宋体"/>
          <w:color w:val="auto"/>
          <w:kern w:val="0"/>
          <w:sz w:val="24"/>
          <w:highlight w:val="none"/>
        </w:rPr>
        <w:t>位</w:t>
      </w:r>
      <w:r>
        <w:rPr>
          <w:rFonts w:hint="eastAsia" w:ascii="宋体"/>
          <w:color w:val="auto"/>
          <w:kern w:val="0"/>
          <w:sz w:val="24"/>
          <w:highlight w:val="none"/>
          <w:u w:val="single"/>
          <w:lang w:eastAsia="zh-CN"/>
        </w:rPr>
        <w:t>三门县（2021-2022）年度河湖水域巡查监管项目</w:t>
      </w:r>
      <w:r>
        <w:rPr>
          <w:rFonts w:hint="eastAsia" w:ascii="宋体"/>
          <w:color w:val="auto"/>
          <w:kern w:val="0"/>
          <w:sz w:val="24"/>
          <w:highlight w:val="none"/>
        </w:rPr>
        <w:t>进行竞争性谈判采购</w:t>
      </w:r>
      <w:r>
        <w:rPr>
          <w:rFonts w:hint="eastAsia" w:ascii="宋体" w:hAnsi="宋体"/>
          <w:color w:val="auto"/>
          <w:kern w:val="0"/>
          <w:sz w:val="24"/>
          <w:highlight w:val="none"/>
        </w:rPr>
        <w:t>，欢迎合格供应商前来</w:t>
      </w:r>
      <w:r>
        <w:rPr>
          <w:rFonts w:hint="eastAsia"/>
          <w:color w:val="auto"/>
          <w:sz w:val="24"/>
          <w:highlight w:val="none"/>
        </w:rPr>
        <w:t>洽谈</w:t>
      </w:r>
      <w:r>
        <w:rPr>
          <w:rFonts w:hint="eastAsia" w:ascii="宋体" w:hAnsi="宋体"/>
          <w:color w:val="auto"/>
          <w:kern w:val="0"/>
          <w:sz w:val="24"/>
          <w:highlight w:val="none"/>
        </w:rPr>
        <w:t>。</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一、项目编号：科胜招备[2021]-</w:t>
      </w:r>
      <w:r>
        <w:rPr>
          <w:rFonts w:hint="eastAsia" w:asciiTheme="minorEastAsia" w:hAnsiTheme="minorEastAsia" w:eastAsiaTheme="minorEastAsia"/>
          <w:color w:val="auto"/>
          <w:sz w:val="28"/>
          <w:highlight w:val="none"/>
          <w:lang w:val="en-US" w:eastAsia="zh-CN"/>
        </w:rPr>
        <w:t>033</w:t>
      </w:r>
      <w:r>
        <w:rPr>
          <w:rFonts w:hint="eastAsia" w:asciiTheme="minorEastAsia" w:hAnsiTheme="minorEastAsia" w:eastAsiaTheme="minorEastAsia"/>
          <w:color w:val="auto"/>
          <w:sz w:val="28"/>
          <w:highlight w:val="none"/>
        </w:rPr>
        <w:t>号</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二、谈判内容:</w:t>
      </w:r>
    </w:p>
    <w:tbl>
      <w:tblPr>
        <w:tblStyle w:val="22"/>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1933"/>
        <w:gridCol w:w="531"/>
        <w:gridCol w:w="531"/>
        <w:gridCol w:w="1725"/>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08"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418" w:type="dxa"/>
            <w:vAlign w:val="center"/>
          </w:tcPr>
          <w:p>
            <w:pPr>
              <w:tabs>
                <w:tab w:val="left" w:pos="8280"/>
              </w:tabs>
              <w:autoSpaceDE w:val="0"/>
              <w:autoSpaceDN w:val="0"/>
              <w:adjustRightInd w:val="0"/>
              <w:ind w:right="25" w:firstLine="120" w:firstLineChars="5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1933"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宋体" w:hAnsi="宋体" w:cs="宋体"/>
                <w:b/>
                <w:color w:val="auto"/>
                <w:kern w:val="0"/>
                <w:sz w:val="24"/>
                <w:highlight w:val="none"/>
              </w:rPr>
              <w:t>简要技术要求</w:t>
            </w:r>
          </w:p>
        </w:tc>
        <w:tc>
          <w:tcPr>
            <w:tcW w:w="531"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31"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1725" w:type="dxa"/>
            <w:vAlign w:val="center"/>
          </w:tcPr>
          <w:p>
            <w:pPr>
              <w:tabs>
                <w:tab w:val="left" w:pos="8280"/>
              </w:tabs>
              <w:autoSpaceDE w:val="0"/>
              <w:autoSpaceDN w:val="0"/>
              <w:adjustRightInd w:val="0"/>
              <w:ind w:right="25"/>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最高限价</w:t>
            </w:r>
          </w:p>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（万元）</w:t>
            </w:r>
          </w:p>
        </w:tc>
        <w:tc>
          <w:tcPr>
            <w:tcW w:w="2889"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08"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418"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三门县（2021-2022）年度河湖水域巡查监管项目</w:t>
            </w:r>
            <w:r>
              <w:rPr>
                <w:rFonts w:hint="eastAsia" w:asciiTheme="minorEastAsia" w:hAnsiTheme="minorEastAsia" w:eastAsiaTheme="minorEastAsia"/>
                <w:color w:val="auto"/>
                <w:sz w:val="24"/>
                <w:highlight w:val="none"/>
              </w:rPr>
              <w:t>项目</w:t>
            </w:r>
          </w:p>
        </w:tc>
        <w:tc>
          <w:tcPr>
            <w:tcW w:w="1933"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详见具体技术需求</w:t>
            </w:r>
          </w:p>
        </w:tc>
        <w:tc>
          <w:tcPr>
            <w:tcW w:w="531"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531"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w:t>
            </w:r>
          </w:p>
        </w:tc>
        <w:tc>
          <w:tcPr>
            <w:tcW w:w="1725" w:type="dxa"/>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p>
        </w:tc>
        <w:tc>
          <w:tcPr>
            <w:tcW w:w="2889" w:type="dxa"/>
            <w:vAlign w:val="center"/>
          </w:tcPr>
          <w:p>
            <w:pPr>
              <w:jc w:val="center"/>
              <w:rPr>
                <w:rFonts w:asciiTheme="minorEastAsia" w:hAnsiTheme="minorEastAsia" w:eastAsiaTheme="minorEastAsia"/>
                <w:color w:val="auto"/>
                <w:sz w:val="24"/>
                <w:highlight w:val="none"/>
              </w:rPr>
            </w:pPr>
            <w:r>
              <w:rPr>
                <w:rFonts w:hint="eastAsia" w:ascii="宋体" w:hAnsi="宋体"/>
                <w:color w:val="auto"/>
                <w:sz w:val="24"/>
                <w:highlight w:val="none"/>
              </w:rPr>
              <w:t>自合同签订之日起一年时间（若之前所有项目已全部完成监管程序，服务期自动结束）</w:t>
            </w:r>
          </w:p>
        </w:tc>
      </w:tr>
    </w:tbl>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三、合格谈判供应商的资格条件</w:t>
      </w:r>
    </w:p>
    <w:p>
      <w:pPr>
        <w:pStyle w:val="4"/>
        <w:spacing w:before="0" w:after="0" w:line="360" w:lineRule="auto"/>
        <w:rPr>
          <w:rFonts w:ascii="宋体" w:hAnsi="Times New Roman" w:eastAsia="宋体" w:cs="Times New Roman"/>
          <w:b w:val="0"/>
          <w:bCs w:val="0"/>
          <w:color w:val="auto"/>
          <w:kern w:val="0"/>
          <w:sz w:val="24"/>
          <w:szCs w:val="24"/>
          <w:highlight w:val="none"/>
        </w:rPr>
      </w:pPr>
      <w:r>
        <w:rPr>
          <w:rFonts w:hint="eastAsia" w:ascii="宋体" w:hAnsi="Times New Roman" w:eastAsia="宋体" w:cs="Times New Roman"/>
          <w:b w:val="0"/>
          <w:bCs w:val="0"/>
          <w:color w:val="auto"/>
          <w:kern w:val="0"/>
          <w:sz w:val="24"/>
          <w:szCs w:val="24"/>
          <w:highlight w:val="none"/>
        </w:rPr>
        <w:t>（一）符合《中华人民共和国政府采购法》第二十二条供应商应当具备的条件和浙财采监【2013】24号《关于规范政府采购供应商资格设定及资格审查的通知》第六条规定。</w:t>
      </w:r>
    </w:p>
    <w:p>
      <w:pPr>
        <w:pStyle w:val="4"/>
        <w:spacing w:before="0" w:after="0" w:line="360" w:lineRule="auto"/>
        <w:rPr>
          <w:rFonts w:ascii="宋体" w:hAnsi="Times New Roman" w:eastAsia="宋体" w:cs="Times New Roman"/>
          <w:b w:val="0"/>
          <w:bCs w:val="0"/>
          <w:color w:val="auto"/>
          <w:kern w:val="0"/>
          <w:sz w:val="24"/>
          <w:szCs w:val="24"/>
          <w:highlight w:val="none"/>
        </w:rPr>
      </w:pPr>
      <w:r>
        <w:rPr>
          <w:rFonts w:hint="eastAsia" w:ascii="宋体" w:hAnsi="Times New Roman" w:eastAsia="宋体" w:cs="Times New Roman"/>
          <w:b w:val="0"/>
          <w:bCs w:val="0"/>
          <w:color w:val="auto"/>
          <w:kern w:val="0"/>
          <w:sz w:val="24"/>
          <w:szCs w:val="24"/>
          <w:highlight w:val="none"/>
        </w:rPr>
        <w:t>（二）供应商未被列入失信被执行人、重大税收违法案件当事人名单、政府采购严重违法失信行为记录名单【信用信息以“信用中国”网站（www.creditchina.gov.cn）、中国政府采购网（www.ccgp.gov.cn）、浙江政府采购网（www.zjzfcg.gov.cn）查询记录为准】。</w:t>
      </w:r>
    </w:p>
    <w:p>
      <w:pPr>
        <w:pStyle w:val="4"/>
        <w:spacing w:before="0" w:after="0" w:line="360" w:lineRule="auto"/>
        <w:rPr>
          <w:rFonts w:ascii="宋体" w:hAnsi="Times New Roman" w:eastAsia="宋体" w:cs="Times New Roman"/>
          <w:b w:val="0"/>
          <w:bCs w:val="0"/>
          <w:color w:val="auto"/>
          <w:kern w:val="0"/>
          <w:sz w:val="24"/>
          <w:szCs w:val="24"/>
          <w:highlight w:val="none"/>
        </w:rPr>
      </w:pPr>
      <w:r>
        <w:rPr>
          <w:rFonts w:hint="eastAsia" w:ascii="宋体" w:hAnsi="Times New Roman" w:eastAsia="宋体" w:cs="Times New Roman"/>
          <w:b w:val="0"/>
          <w:bCs w:val="0"/>
          <w:color w:val="auto"/>
          <w:kern w:val="0"/>
          <w:sz w:val="24"/>
          <w:szCs w:val="24"/>
          <w:highlight w:val="none"/>
        </w:rPr>
        <w:t>（三）本项目供应商的</w:t>
      </w:r>
      <w:r>
        <w:rPr>
          <w:rFonts w:hint="eastAsia" w:ascii="宋体" w:hAnsi="Times New Roman" w:eastAsia="宋体" w:cs="Times New Roman"/>
          <w:b w:val="0"/>
          <w:bCs w:val="0"/>
          <w:color w:val="auto"/>
          <w:kern w:val="0"/>
          <w:sz w:val="24"/>
          <w:szCs w:val="24"/>
          <w:highlight w:val="none"/>
        </w:rPr>
        <w:t>特定条件：</w:t>
      </w:r>
    </w:p>
    <w:p>
      <w:pPr>
        <w:widowControl/>
        <w:snapToGrid w:val="0"/>
        <w:spacing w:line="312" w:lineRule="auto"/>
        <w:ind w:firstLine="240" w:firstLineChars="100"/>
        <w:jc w:val="left"/>
        <w:rPr>
          <w:rFonts w:hint="eastAsia" w:ascii="宋体" w:hAnsi="宋体" w:cs="宋体"/>
          <w:color w:val="auto"/>
          <w:sz w:val="24"/>
          <w:highlight w:val="none"/>
        </w:rPr>
      </w:pPr>
      <w:r>
        <w:rPr>
          <w:rFonts w:hint="eastAsia" w:ascii="宋体" w:hAnsi="Times New Roman" w:eastAsia="宋体" w:cs="Times New Roman"/>
          <w:b w:val="0"/>
          <w:bCs w:val="0"/>
          <w:color w:val="auto"/>
          <w:kern w:val="0"/>
          <w:sz w:val="24"/>
          <w:szCs w:val="24"/>
          <w:highlight w:val="none"/>
          <w:lang w:val="en-US" w:eastAsia="zh-CN" w:bidi="ar-SA"/>
        </w:rPr>
        <w:t>1.</w:t>
      </w:r>
      <w:r>
        <w:rPr>
          <w:rFonts w:hint="eastAsia" w:ascii="宋体" w:hAnsi="宋体" w:cs="宋体"/>
          <w:color w:val="auto"/>
          <w:sz w:val="24"/>
          <w:highlight w:val="none"/>
        </w:rPr>
        <w:t>水利工程咨询乙级以上或水利工程咨询单位（全国投资项目在线审批监管平台登记）且有相应业绩，或相应的水利类专业高等院校且有相应业绩。</w:t>
      </w:r>
    </w:p>
    <w:p>
      <w:pPr>
        <w:widowControl/>
        <w:snapToGrid w:val="0"/>
        <w:spacing w:line="312" w:lineRule="auto"/>
        <w:ind w:firstLine="240" w:firstLineChars="100"/>
        <w:jc w:val="left"/>
        <w:rPr>
          <w:rFonts w:hint="eastAsia" w:ascii="宋体" w:hAnsi="宋体" w:cs="宋体"/>
          <w:color w:val="auto"/>
          <w:sz w:val="24"/>
          <w:highlight w:val="none"/>
        </w:rPr>
      </w:pPr>
      <w:r>
        <w:rPr>
          <w:rFonts w:hint="eastAsia" w:ascii="宋体" w:hAnsi="Times New Roman" w:eastAsia="宋体" w:cs="Times New Roman"/>
          <w:b w:val="0"/>
          <w:bCs w:val="0"/>
          <w:color w:val="auto"/>
          <w:kern w:val="0"/>
          <w:sz w:val="24"/>
          <w:szCs w:val="24"/>
          <w:highlight w:val="none"/>
          <w:lang w:val="en-US" w:eastAsia="zh-CN" w:bidi="ar-SA"/>
        </w:rPr>
        <w:t>2.项目负责人要求：</w:t>
      </w:r>
      <w:r>
        <w:rPr>
          <w:rFonts w:hint="eastAsia" w:ascii="宋体" w:hAnsi="宋体" w:cs="宋体"/>
          <w:color w:val="auto"/>
          <w:sz w:val="24"/>
          <w:highlight w:val="none"/>
        </w:rPr>
        <w:t>须具有水利类专业中级及以上职称或具有水利注册咨询工程师。</w:t>
      </w:r>
    </w:p>
    <w:p>
      <w:pPr>
        <w:widowControl/>
        <w:snapToGrid w:val="0"/>
        <w:spacing w:line="312" w:lineRule="auto"/>
        <w:ind w:firstLine="240" w:firstLineChars="100"/>
        <w:jc w:val="left"/>
        <w:rPr>
          <w:rFonts w:hint="eastAsia" w:ascii="宋体" w:hAnsi="Times New Roman" w:eastAsia="宋体" w:cs="Times New Roman"/>
          <w:b w:val="0"/>
          <w:bCs w:val="0"/>
          <w:color w:val="auto"/>
          <w:kern w:val="0"/>
          <w:sz w:val="24"/>
          <w:szCs w:val="24"/>
          <w:highlight w:val="none"/>
          <w:lang w:val="en-US" w:eastAsia="zh-CN" w:bidi="ar-SA"/>
        </w:rPr>
      </w:pPr>
      <w:r>
        <w:rPr>
          <w:rFonts w:hint="eastAsia" w:ascii="宋体" w:hAnsi="Times New Roman" w:eastAsia="宋体" w:cs="Times New Roman"/>
          <w:b w:val="0"/>
          <w:bCs w:val="0"/>
          <w:color w:val="auto"/>
          <w:kern w:val="0"/>
          <w:sz w:val="24"/>
          <w:szCs w:val="24"/>
          <w:highlight w:val="none"/>
          <w:lang w:val="en-US" w:eastAsia="zh-CN" w:bidi="ar-SA"/>
        </w:rPr>
        <w:t>3.本项目不接受联合体谈判。</w:t>
      </w:r>
    </w:p>
    <w:p>
      <w:pPr>
        <w:pStyle w:val="2"/>
        <w:rPr>
          <w:rFonts w:hint="eastAsia" w:ascii="宋体" w:hAnsi="Times New Roman" w:eastAsia="宋体" w:cs="Times New Roman"/>
          <w:b w:val="0"/>
          <w:bCs w:val="0"/>
          <w:color w:val="auto"/>
          <w:kern w:val="0"/>
          <w:sz w:val="24"/>
          <w:szCs w:val="24"/>
          <w:highlight w:val="none"/>
          <w:lang w:val="en-US" w:eastAsia="zh-CN" w:bidi="ar-SA"/>
        </w:rPr>
      </w:pP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四、谈判文件获取</w:t>
      </w:r>
    </w:p>
    <w:p>
      <w:pPr>
        <w:pStyle w:val="3"/>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本</w:t>
      </w:r>
      <w:r>
        <w:rPr>
          <w:rFonts w:hint="eastAsia" w:ascii="宋体"/>
          <w:color w:val="auto"/>
          <w:kern w:val="0"/>
          <w:sz w:val="24"/>
          <w:highlight w:val="none"/>
          <w:lang w:eastAsia="zh-CN"/>
        </w:rPr>
        <w:t>项目</w:t>
      </w:r>
      <w:r>
        <w:rPr>
          <w:rFonts w:hint="eastAsia" w:ascii="宋体"/>
          <w:color w:val="auto"/>
          <w:kern w:val="0"/>
          <w:sz w:val="24"/>
          <w:highlight w:val="none"/>
        </w:rPr>
        <w:t>实行资格后审，凡有意参加投标者，请于公告发布之日起，可通过“三门县工程建设电子交易平台”（网址：jyzx.sanmen.gov.cn/）</w:t>
      </w:r>
      <w:r>
        <w:rPr>
          <w:rFonts w:hint="eastAsia" w:ascii="宋体"/>
          <w:color w:val="auto"/>
          <w:kern w:val="0"/>
          <w:sz w:val="24"/>
          <w:highlight w:val="none"/>
          <w:lang w:eastAsia="zh-CN"/>
        </w:rPr>
        <w:t>和</w:t>
      </w:r>
      <w:r>
        <w:rPr>
          <w:rFonts w:hint="eastAsia" w:ascii="宋体" w:hAnsi="宋体" w:cs="宋体"/>
          <w:color w:val="auto"/>
          <w:sz w:val="24"/>
          <w:highlight w:val="none"/>
        </w:rPr>
        <w:t>三门县人民政府（</w:t>
      </w:r>
      <w:r>
        <w:rPr>
          <w:rFonts w:hint="eastAsia" w:ascii="宋体"/>
          <w:color w:val="auto"/>
          <w:kern w:val="0"/>
          <w:sz w:val="24"/>
          <w:highlight w:val="none"/>
        </w:rPr>
        <w:t>网址：</w:t>
      </w:r>
      <w:r>
        <w:rPr>
          <w:rFonts w:hint="eastAsia" w:ascii="宋体" w:hAnsi="宋体" w:cs="宋体"/>
          <w:color w:val="auto"/>
          <w:sz w:val="24"/>
          <w:highlight w:val="none"/>
        </w:rPr>
        <w:t>http://xxgk.sanmen.gov.cn/）</w:t>
      </w:r>
      <w:r>
        <w:rPr>
          <w:rFonts w:hint="eastAsia" w:ascii="宋体"/>
          <w:color w:val="auto"/>
          <w:kern w:val="0"/>
          <w:sz w:val="24"/>
          <w:highlight w:val="none"/>
        </w:rPr>
        <w:t>自行下载招标文件</w:t>
      </w:r>
      <w:r>
        <w:rPr>
          <w:rFonts w:hint="eastAsia" w:ascii="宋体"/>
          <w:color w:val="auto"/>
          <w:kern w:val="0"/>
          <w:sz w:val="24"/>
          <w:highlight w:val="none"/>
          <w:lang w:val="en-US" w:eastAsia="zh-CN"/>
        </w:rPr>
        <w:t xml:space="preserve"> </w:t>
      </w:r>
      <w:r>
        <w:rPr>
          <w:rFonts w:hint="eastAsia" w:ascii="宋体"/>
          <w:color w:val="auto"/>
          <w:kern w:val="0"/>
          <w:sz w:val="24"/>
          <w:highlight w:val="none"/>
        </w:rPr>
        <w:t>。</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五、响应文件递交截止时间</w:t>
      </w:r>
      <w:r>
        <w:rPr>
          <w:rFonts w:hint="eastAsia" w:asciiTheme="minorEastAsia" w:hAnsiTheme="minorEastAsia" w:eastAsiaTheme="minorEastAsia"/>
          <w:color w:val="auto"/>
          <w:sz w:val="28"/>
          <w:highlight w:val="none"/>
        </w:rPr>
        <w:t>及谈</w:t>
      </w:r>
      <w:r>
        <w:rPr>
          <w:rFonts w:hint="eastAsia" w:asciiTheme="minorEastAsia" w:hAnsiTheme="minorEastAsia" w:eastAsiaTheme="minorEastAsia"/>
          <w:color w:val="auto"/>
          <w:sz w:val="28"/>
          <w:highlight w:val="none"/>
        </w:rPr>
        <w:t>判开始时间、地点</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本次谈判将于2021年</w:t>
      </w:r>
      <w:r>
        <w:rPr>
          <w:rFonts w:hint="eastAsia" w:ascii="宋体"/>
          <w:color w:val="auto"/>
          <w:kern w:val="0"/>
          <w:sz w:val="24"/>
          <w:highlight w:val="none"/>
          <w:lang w:val="en-US" w:eastAsia="zh-CN"/>
        </w:rPr>
        <w:t>6</w:t>
      </w:r>
      <w:r>
        <w:rPr>
          <w:rFonts w:hint="eastAsia" w:ascii="宋体"/>
          <w:color w:val="auto"/>
          <w:kern w:val="0"/>
          <w:sz w:val="24"/>
          <w:highlight w:val="none"/>
        </w:rPr>
        <w:t>月</w:t>
      </w:r>
      <w:r>
        <w:rPr>
          <w:rFonts w:hint="eastAsia" w:ascii="宋体"/>
          <w:color w:val="auto"/>
          <w:kern w:val="0"/>
          <w:sz w:val="24"/>
          <w:highlight w:val="none"/>
          <w:lang w:val="en-US" w:eastAsia="zh-CN"/>
        </w:rPr>
        <w:t>25</w:t>
      </w:r>
      <w:r>
        <w:rPr>
          <w:rFonts w:hint="eastAsia" w:ascii="宋体"/>
          <w:color w:val="auto"/>
          <w:kern w:val="0"/>
          <w:sz w:val="24"/>
          <w:highlight w:val="none"/>
        </w:rPr>
        <w:t>日</w:t>
      </w:r>
      <w:r>
        <w:rPr>
          <w:rFonts w:hint="eastAsia" w:ascii="宋体"/>
          <w:color w:val="auto"/>
          <w:kern w:val="0"/>
          <w:sz w:val="24"/>
          <w:highlight w:val="none"/>
          <w:lang w:val="en-US" w:eastAsia="zh-CN"/>
        </w:rPr>
        <w:t>9</w:t>
      </w:r>
      <w:r>
        <w:rPr>
          <w:rFonts w:hint="eastAsia" w:ascii="宋体"/>
          <w:color w:val="auto"/>
          <w:kern w:val="0"/>
          <w:sz w:val="24"/>
          <w:highlight w:val="none"/>
        </w:rPr>
        <w:t>:00 时整在（浙江科胜工程管理有限公司，三门县海游街道朝晖路67号201室）开始进行，请在谈判截止时间前将谈判响应文件送达谈判地点，逾期或不符合规定的谈判响应文件恕不接受。</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六</w:t>
      </w:r>
      <w:r>
        <w:rPr>
          <w:rFonts w:asciiTheme="minorEastAsia" w:hAnsiTheme="minorEastAsia" w:eastAsiaTheme="minorEastAsia"/>
          <w:color w:val="auto"/>
          <w:sz w:val="28"/>
          <w:highlight w:val="none"/>
        </w:rPr>
        <w:t>、</w:t>
      </w:r>
      <w:r>
        <w:rPr>
          <w:rFonts w:hint="eastAsia" w:asciiTheme="minorEastAsia" w:hAnsiTheme="minorEastAsia" w:eastAsiaTheme="minorEastAsia"/>
          <w:color w:val="auto"/>
          <w:sz w:val="28"/>
          <w:highlight w:val="none"/>
        </w:rPr>
        <w:t>相关注意事项</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供应商认为采购文件使自己的权益受到损害的，可以自收到采购文件之日（获取/发售截止日之后收到采购文件的，以获取/发售截止日为准）起至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七、联系方式</w:t>
      </w:r>
    </w:p>
    <w:p>
      <w:pPr>
        <w:spacing w:line="360" w:lineRule="auto"/>
        <w:rPr>
          <w:rFonts w:ascii="宋体"/>
          <w:color w:val="auto"/>
          <w:kern w:val="0"/>
          <w:sz w:val="24"/>
          <w:highlight w:val="none"/>
        </w:rPr>
      </w:pPr>
      <w:r>
        <w:rPr>
          <w:rFonts w:hint="eastAsia" w:ascii="宋体"/>
          <w:color w:val="auto"/>
          <w:kern w:val="0"/>
          <w:sz w:val="24"/>
          <w:highlight w:val="none"/>
        </w:rPr>
        <w:t>（一）采购代理机构</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代理机构名称：浙江科胜工程管理有限公司</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联系人：谢银芳</w:t>
      </w:r>
    </w:p>
    <w:p>
      <w:p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联系电话：0576-83318599</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lang w:eastAsia="zh-CN"/>
        </w:rPr>
        <w:t>邮箱地址：</w:t>
      </w:r>
      <w:r>
        <w:rPr>
          <w:rFonts w:hint="eastAsia" w:ascii="宋体"/>
          <w:color w:val="auto"/>
          <w:kern w:val="0"/>
          <w:sz w:val="24"/>
          <w:highlight w:val="none"/>
        </w:rPr>
        <w:t>527267028@qq.com</w:t>
      </w:r>
    </w:p>
    <w:p>
      <w:pPr>
        <w:spacing w:line="360" w:lineRule="auto"/>
        <w:rPr>
          <w:rFonts w:ascii="宋体"/>
          <w:color w:val="auto"/>
          <w:kern w:val="0"/>
          <w:sz w:val="24"/>
          <w:highlight w:val="none"/>
        </w:rPr>
      </w:pPr>
      <w:r>
        <w:rPr>
          <w:rFonts w:hint="eastAsia" w:ascii="宋体"/>
          <w:color w:val="auto"/>
          <w:kern w:val="0"/>
          <w:sz w:val="24"/>
          <w:highlight w:val="none"/>
        </w:rPr>
        <w:t xml:space="preserve">（二）采购人（受理谈判文件相关质疑及答复） </w:t>
      </w:r>
    </w:p>
    <w:p>
      <w:pPr>
        <w:spacing w:line="360" w:lineRule="auto"/>
        <w:ind w:firstLine="480" w:firstLineChars="200"/>
        <w:rPr>
          <w:rFonts w:ascii="宋体"/>
          <w:color w:val="auto"/>
          <w:kern w:val="0"/>
          <w:sz w:val="24"/>
          <w:highlight w:val="none"/>
        </w:rPr>
      </w:pPr>
      <w:r>
        <w:rPr>
          <w:rFonts w:ascii="宋体"/>
          <w:color w:val="auto"/>
          <w:kern w:val="0"/>
          <w:sz w:val="24"/>
          <w:highlight w:val="none"/>
        </w:rPr>
        <w:t>采购</w:t>
      </w:r>
      <w:r>
        <w:rPr>
          <w:rFonts w:hint="eastAsia" w:ascii="宋体"/>
          <w:color w:val="auto"/>
          <w:kern w:val="0"/>
          <w:sz w:val="24"/>
          <w:highlight w:val="none"/>
        </w:rPr>
        <w:t>人</w:t>
      </w:r>
      <w:r>
        <w:rPr>
          <w:rFonts w:ascii="宋体"/>
          <w:color w:val="auto"/>
          <w:kern w:val="0"/>
          <w:sz w:val="24"/>
          <w:highlight w:val="none"/>
        </w:rPr>
        <w:t>名称：</w:t>
      </w:r>
      <w:r>
        <w:rPr>
          <w:rFonts w:hint="eastAsia" w:ascii="宋体"/>
          <w:color w:val="auto"/>
          <w:kern w:val="0"/>
          <w:sz w:val="24"/>
          <w:highlight w:val="none"/>
        </w:rPr>
        <w:t>三门县水利局</w:t>
      </w:r>
    </w:p>
    <w:p>
      <w:pPr>
        <w:spacing w:line="360" w:lineRule="auto"/>
        <w:ind w:firstLine="480" w:firstLineChars="200"/>
        <w:rPr>
          <w:rFonts w:hint="eastAsia" w:ascii="宋体" w:eastAsia="宋体"/>
          <w:color w:val="auto"/>
          <w:kern w:val="0"/>
          <w:sz w:val="24"/>
          <w:highlight w:val="none"/>
          <w:lang w:eastAsia="zh-CN"/>
        </w:rPr>
      </w:pPr>
      <w:r>
        <w:rPr>
          <w:rFonts w:ascii="宋体"/>
          <w:color w:val="auto"/>
          <w:kern w:val="0"/>
          <w:sz w:val="24"/>
          <w:highlight w:val="none"/>
        </w:rPr>
        <w:t>联系人：</w:t>
      </w:r>
      <w:r>
        <w:rPr>
          <w:rFonts w:hint="eastAsia" w:ascii="宋体" w:hAnsi="宋体" w:cs="宋体"/>
          <w:i w:val="0"/>
          <w:caps w:val="0"/>
          <w:color w:val="auto"/>
          <w:spacing w:val="0"/>
          <w:sz w:val="24"/>
          <w:szCs w:val="24"/>
          <w:highlight w:val="none"/>
          <w:shd w:val="clear" w:fill="FFFFFF"/>
          <w:lang w:eastAsia="zh-CN"/>
        </w:rPr>
        <w:t>吴晶</w:t>
      </w:r>
      <w:r>
        <w:rPr>
          <w:rFonts w:hint="eastAsia" w:ascii="宋体"/>
          <w:color w:val="auto"/>
          <w:kern w:val="0"/>
          <w:sz w:val="24"/>
          <w:highlight w:val="none"/>
          <w:lang w:val="en-US" w:eastAsia="zh-CN"/>
        </w:rPr>
        <w:t xml:space="preserve"> </w:t>
      </w:r>
    </w:p>
    <w:p>
      <w:pPr>
        <w:spacing w:line="360" w:lineRule="auto"/>
        <w:ind w:firstLine="48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4"/>
          <w:highlight w:val="none"/>
        </w:rPr>
        <w:t>联系电话：</w:t>
      </w:r>
      <w:r>
        <w:rPr>
          <w:rFonts w:hint="eastAsia" w:ascii="宋体" w:hAnsi="宋体" w:eastAsia="宋体" w:cs="宋体"/>
          <w:i w:val="0"/>
          <w:caps w:val="0"/>
          <w:color w:val="auto"/>
          <w:spacing w:val="0"/>
          <w:sz w:val="24"/>
          <w:szCs w:val="24"/>
          <w:highlight w:val="none"/>
          <w:shd w:val="clear" w:fill="FFFFFF"/>
        </w:rPr>
        <w:t>0576-83328053</w:t>
      </w:r>
      <w:r>
        <w:rPr>
          <w:rFonts w:hint="eastAsia" w:ascii="宋体" w:hAnsi="宋体" w:cs="宋体"/>
          <w:color w:val="auto"/>
          <w:sz w:val="24"/>
          <w:highlight w:val="none"/>
          <w:lang w:val="en-US" w:eastAsia="zh-CN"/>
        </w:rPr>
        <w:t xml:space="preserve"> </w:t>
      </w:r>
    </w:p>
    <w:p>
      <w:pPr>
        <w:spacing w:line="360" w:lineRule="auto"/>
        <w:rPr>
          <w:rFonts w:ascii="宋体"/>
          <w:color w:val="auto"/>
          <w:kern w:val="0"/>
          <w:sz w:val="24"/>
          <w:highlight w:val="none"/>
        </w:rPr>
      </w:pPr>
      <w:r>
        <w:rPr>
          <w:rFonts w:hint="eastAsia" w:ascii="宋体"/>
          <w:color w:val="auto"/>
          <w:kern w:val="0"/>
          <w:sz w:val="24"/>
          <w:highlight w:val="none"/>
        </w:rPr>
        <w:t>（三）同级政府采购监督管理部门</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监管名称：</w:t>
      </w:r>
      <w:r>
        <w:rPr>
          <w:rFonts w:ascii="宋体"/>
          <w:color w:val="auto"/>
          <w:kern w:val="0"/>
          <w:sz w:val="24"/>
          <w:highlight w:val="none"/>
        </w:rPr>
        <w:t>三门县财政局</w:t>
      </w:r>
    </w:p>
    <w:p>
      <w:pPr>
        <w:spacing w:line="360" w:lineRule="auto"/>
        <w:ind w:firstLine="480" w:firstLineChars="200"/>
        <w:rPr>
          <w:rFonts w:ascii="宋体"/>
          <w:color w:val="auto"/>
          <w:kern w:val="0"/>
          <w:sz w:val="24"/>
          <w:highlight w:val="none"/>
        </w:rPr>
      </w:pPr>
      <w:r>
        <w:rPr>
          <w:rFonts w:ascii="宋体"/>
          <w:color w:val="auto"/>
          <w:kern w:val="0"/>
          <w:sz w:val="24"/>
          <w:highlight w:val="none"/>
        </w:rPr>
        <w:t>监督投诉电话：</w:t>
      </w:r>
      <w:r>
        <w:rPr>
          <w:rFonts w:hint="eastAsia" w:ascii="宋体"/>
          <w:color w:val="auto"/>
          <w:kern w:val="0"/>
          <w:sz w:val="24"/>
          <w:highlight w:val="none"/>
        </w:rPr>
        <w:t>0576-83305830</w:t>
      </w:r>
    </w:p>
    <w:p>
      <w:pPr>
        <w:spacing w:line="360" w:lineRule="auto"/>
        <w:ind w:firstLine="480" w:firstLineChars="200"/>
        <w:jc w:val="right"/>
        <w:rPr>
          <w:rFonts w:ascii="宋体"/>
          <w:color w:val="auto"/>
          <w:kern w:val="0"/>
          <w:sz w:val="24"/>
          <w:highlight w:val="none"/>
        </w:rPr>
      </w:pPr>
    </w:p>
    <w:p>
      <w:pPr>
        <w:spacing w:line="360" w:lineRule="auto"/>
        <w:ind w:firstLine="480" w:firstLineChars="200"/>
        <w:jc w:val="right"/>
        <w:rPr>
          <w:rFonts w:hint="eastAsia" w:ascii="宋体"/>
          <w:color w:val="auto"/>
          <w:kern w:val="0"/>
          <w:sz w:val="24"/>
          <w:highlight w:val="none"/>
        </w:rPr>
      </w:pPr>
    </w:p>
    <w:p>
      <w:pPr>
        <w:spacing w:line="360" w:lineRule="auto"/>
        <w:ind w:firstLine="480" w:firstLineChars="200"/>
        <w:jc w:val="right"/>
        <w:rPr>
          <w:rFonts w:ascii="宋体"/>
          <w:color w:val="auto"/>
          <w:kern w:val="0"/>
          <w:sz w:val="24"/>
          <w:highlight w:val="none"/>
        </w:rPr>
      </w:pPr>
      <w:r>
        <w:rPr>
          <w:rFonts w:hint="eastAsia" w:ascii="宋体"/>
          <w:color w:val="auto"/>
          <w:kern w:val="0"/>
          <w:sz w:val="24"/>
          <w:highlight w:val="none"/>
        </w:rPr>
        <w:t>三门县水利局</w:t>
      </w:r>
    </w:p>
    <w:p>
      <w:pPr>
        <w:spacing w:line="360" w:lineRule="auto"/>
        <w:ind w:firstLine="480" w:firstLineChars="200"/>
        <w:jc w:val="right"/>
        <w:rPr>
          <w:rFonts w:ascii="宋体" w:hAnsi="宋体"/>
          <w:color w:val="auto"/>
          <w:sz w:val="24"/>
          <w:highlight w:val="none"/>
        </w:rPr>
      </w:pPr>
      <w:r>
        <w:rPr>
          <w:rFonts w:hint="eastAsia" w:ascii="宋体"/>
          <w:color w:val="auto"/>
          <w:kern w:val="0"/>
          <w:sz w:val="24"/>
          <w:highlight w:val="none"/>
        </w:rPr>
        <w:t>浙江科胜工程管理有限公司</w:t>
      </w:r>
    </w:p>
    <w:p>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before="100" w:line="360" w:lineRule="auto"/>
        <w:ind w:right="23" w:firstLine="539"/>
        <w:jc w:val="right"/>
        <w:rPr>
          <w:rFonts w:ascii="宋体" w:hAnsi="宋体"/>
          <w:color w:val="auto"/>
          <w:sz w:val="24"/>
          <w:highlight w:val="none"/>
        </w:rPr>
      </w:pPr>
      <w:r>
        <w:rPr>
          <w:rFonts w:hint="eastAsia" w:ascii="宋体" w:hAnsi="宋体"/>
          <w:color w:val="auto"/>
          <w:sz w:val="24"/>
          <w:highlight w:val="none"/>
        </w:rPr>
        <w:t>2021</w:t>
      </w:r>
      <w:r>
        <w:rPr>
          <w:rFonts w:hint="eastAsia" w:ascii="宋体"/>
          <w:color w:val="auto"/>
          <w:kern w:val="0"/>
          <w:sz w:val="24"/>
          <w:highlight w:val="none"/>
        </w:rPr>
        <w:t>年</w:t>
      </w:r>
      <w:r>
        <w:rPr>
          <w:rFonts w:hint="eastAsia" w:ascii="宋体" w:hAnsi="宋体"/>
          <w:color w:val="auto"/>
          <w:sz w:val="24"/>
          <w:highlight w:val="none"/>
          <w:lang w:val="en-US" w:eastAsia="zh-CN"/>
        </w:rPr>
        <w:t>6</w:t>
      </w:r>
      <w:r>
        <w:rPr>
          <w:rFonts w:hint="eastAsia" w:ascii="宋体"/>
          <w:color w:val="auto"/>
          <w:kern w:val="0"/>
          <w:sz w:val="24"/>
          <w:highlight w:val="none"/>
        </w:rPr>
        <w:t>月</w:t>
      </w:r>
      <w:r>
        <w:rPr>
          <w:rFonts w:hint="eastAsia" w:ascii="宋体"/>
          <w:color w:val="auto"/>
          <w:kern w:val="0"/>
          <w:sz w:val="24"/>
          <w:highlight w:val="none"/>
          <w:lang w:val="en-US" w:eastAsia="zh-CN"/>
        </w:rPr>
        <w:t>17</w:t>
      </w:r>
      <w:r>
        <w:rPr>
          <w:rFonts w:hint="eastAsia" w:ascii="宋体"/>
          <w:color w:val="auto"/>
          <w:kern w:val="0"/>
          <w:sz w:val="24"/>
          <w:highlight w:val="none"/>
        </w:rPr>
        <w:t>日</w:t>
      </w:r>
    </w:p>
    <w:p>
      <w:pPr>
        <w:rPr>
          <w:rFonts w:ascii="宋体" w:hAnsi="宋体"/>
          <w:color w:val="auto"/>
          <w:sz w:val="24"/>
          <w:highlight w:val="none"/>
        </w:rPr>
      </w:pPr>
      <w:r>
        <w:rPr>
          <w:rFonts w:ascii="宋体" w:hAnsi="宋体"/>
          <w:color w:val="auto"/>
          <w:sz w:val="24"/>
          <w:highlight w:val="none"/>
        </w:rPr>
        <w:br w:type="page"/>
      </w:r>
    </w:p>
    <w:p>
      <w:pPr>
        <w:pStyle w:val="19"/>
        <w:rPr>
          <w:rFonts w:ascii="宋体" w:hAnsi="宋体"/>
          <w:b w:val="0"/>
          <w:color w:val="auto"/>
          <w:sz w:val="36"/>
          <w:szCs w:val="36"/>
          <w:highlight w:val="none"/>
        </w:rPr>
      </w:pPr>
      <w:r>
        <w:rPr>
          <w:rFonts w:hint="eastAsia"/>
          <w:color w:val="auto"/>
          <w:highlight w:val="none"/>
        </w:rPr>
        <w:t>第二章 供应商须知</w:t>
      </w:r>
    </w:p>
    <w:p>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前附表</w:t>
      </w:r>
    </w:p>
    <w:tbl>
      <w:tblPr>
        <w:tblStyle w:val="22"/>
        <w:tblW w:w="8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45"/>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序号</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项    目</w:t>
            </w:r>
          </w:p>
        </w:tc>
        <w:tc>
          <w:tcPr>
            <w:tcW w:w="5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供应商特定资格要求</w:t>
            </w:r>
          </w:p>
        </w:tc>
        <w:tc>
          <w:tcPr>
            <w:tcW w:w="5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符合谈判邀请资格要求的供应商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答疑会或</w:t>
            </w:r>
            <w:r>
              <w:rPr>
                <w:rFonts w:hint="eastAsia" w:asciiTheme="majorEastAsia" w:hAnsiTheme="majorEastAsia" w:eastAsiaTheme="majorEastAsia" w:cstheme="majorEastAsia"/>
                <w:color w:val="auto"/>
                <w:sz w:val="24"/>
                <w:highlight w:val="none"/>
              </w:rPr>
              <w:t>现场踏勘</w:t>
            </w:r>
          </w:p>
        </w:tc>
        <w:tc>
          <w:tcPr>
            <w:tcW w:w="5550"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答疑会，不组织。</w:t>
            </w:r>
          </w:p>
          <w:p>
            <w:pPr>
              <w:pStyle w:val="10"/>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踏勘，由投标人自行踏勘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谈判响应文件密封包装要求</w:t>
            </w:r>
          </w:p>
        </w:tc>
        <w:tc>
          <w:tcPr>
            <w:tcW w:w="5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份数：正本1份、副本3份；</w:t>
            </w:r>
          </w:p>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资格证明、商务与技术文件装在一个封袋；报价文件一个封袋；正副本一起密封包装。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4</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响应有效期</w:t>
            </w:r>
          </w:p>
        </w:tc>
        <w:tc>
          <w:tcPr>
            <w:tcW w:w="5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谈判响应有效期为谈判后90天，</w:t>
            </w:r>
            <w:r>
              <w:rPr>
                <w:rFonts w:hint="eastAsia" w:asciiTheme="majorEastAsia" w:hAnsiTheme="majorEastAsia" w:eastAsiaTheme="majorEastAsia" w:cstheme="majorEastAsia"/>
                <w:color w:val="auto"/>
                <w:kern w:val="0"/>
                <w:sz w:val="24"/>
                <w:highlight w:val="none"/>
              </w:rPr>
              <w:t>谈判响应有效期从提交谈判响应文件的截止之日起算。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谈判响应文件递交</w:t>
            </w:r>
          </w:p>
        </w:tc>
        <w:tc>
          <w:tcPr>
            <w:tcW w:w="5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sz w:val="24"/>
                <w:highlight w:val="none"/>
              </w:rPr>
            </w:pPr>
            <w:r>
              <w:rPr>
                <w:rFonts w:hint="eastAsia" w:asciiTheme="majorEastAsia" w:hAnsiTheme="majorEastAsia" w:eastAsiaTheme="majorEastAsia" w:cstheme="majorEastAsia"/>
                <w:color w:val="auto"/>
                <w:sz w:val="24"/>
                <w:highlight w:val="none"/>
              </w:rPr>
              <w:t>截止时间：北京时间20</w:t>
            </w:r>
            <w:r>
              <w:rPr>
                <w:rFonts w:hint="eastAsia" w:cs="Arial" w:asciiTheme="minorEastAsia" w:hAnsiTheme="minorEastAsia" w:eastAsiaTheme="minorEastAsia"/>
                <w:color w:val="auto"/>
                <w:sz w:val="24"/>
                <w:highlight w:val="none"/>
              </w:rPr>
              <w:t>21年</w:t>
            </w:r>
            <w:r>
              <w:rPr>
                <w:rFonts w:hint="eastAsia" w:cs="Arial" w:asciiTheme="minorEastAsia" w:hAnsiTheme="minorEastAsia" w:eastAsiaTheme="minorEastAsia"/>
                <w:color w:val="auto"/>
                <w:sz w:val="24"/>
                <w:highlight w:val="none"/>
                <w:lang w:val="en-US" w:eastAsia="zh-CN"/>
              </w:rPr>
              <w:t>6</w:t>
            </w:r>
            <w:r>
              <w:rPr>
                <w:rFonts w:hint="eastAsia" w:cs="Arial" w:asciiTheme="minorEastAsia" w:hAnsiTheme="minorEastAsia" w:eastAsiaTheme="minorEastAsia"/>
                <w:color w:val="auto"/>
                <w:sz w:val="24"/>
                <w:highlight w:val="none"/>
              </w:rPr>
              <w:t>月</w:t>
            </w:r>
            <w:r>
              <w:rPr>
                <w:rFonts w:hint="eastAsia" w:cs="Arial" w:asciiTheme="minorEastAsia" w:hAnsiTheme="minorEastAsia" w:eastAsiaTheme="minorEastAsia"/>
                <w:color w:val="auto"/>
                <w:sz w:val="24"/>
                <w:highlight w:val="none"/>
                <w:lang w:val="en-US" w:eastAsia="zh-CN"/>
              </w:rPr>
              <w:t>25</w:t>
            </w:r>
            <w:r>
              <w:rPr>
                <w:rFonts w:hint="eastAsia" w:cs="Arial" w:asciiTheme="minorEastAsia" w:hAnsiTheme="minorEastAsia" w:eastAsiaTheme="minorEastAsia"/>
                <w:color w:val="auto"/>
                <w:sz w:val="24"/>
                <w:highlight w:val="none"/>
              </w:rPr>
              <w:t>日</w:t>
            </w:r>
            <w:r>
              <w:rPr>
                <w:rFonts w:hint="eastAsia" w:cs="Arial" w:asciiTheme="minorEastAsia" w:hAnsiTheme="minorEastAsia" w:eastAsiaTheme="minorEastAsia"/>
                <w:color w:val="auto"/>
                <w:sz w:val="24"/>
                <w:highlight w:val="none"/>
                <w:lang w:val="en-US" w:eastAsia="zh-CN"/>
              </w:rPr>
              <w:t>9</w:t>
            </w:r>
            <w:r>
              <w:rPr>
                <w:rFonts w:hint="eastAsia" w:cs="Arial" w:asciiTheme="minorEastAsia" w:hAnsiTheme="minorEastAsia" w:eastAsiaTheme="minorEastAsia"/>
                <w:color w:val="auto"/>
                <w:sz w:val="24"/>
                <w:highlight w:val="none"/>
              </w:rPr>
              <w:t xml:space="preserve"> 时00 分</w:t>
            </w:r>
          </w:p>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递交地点：</w:t>
            </w:r>
            <w:r>
              <w:rPr>
                <w:rFonts w:hint="eastAsia" w:asciiTheme="majorEastAsia" w:hAnsiTheme="majorEastAsia" w:eastAsiaTheme="majorEastAsia" w:cstheme="majorEastAsia"/>
                <w:color w:val="auto"/>
                <w:sz w:val="24"/>
                <w:highlight w:val="none"/>
                <w:u w:val="single"/>
              </w:rPr>
              <w:t xml:space="preserve"> </w:t>
            </w:r>
            <w:r>
              <w:rPr>
                <w:rFonts w:hint="eastAsia" w:ascii="宋体"/>
                <w:color w:val="auto"/>
                <w:kern w:val="0"/>
                <w:sz w:val="24"/>
                <w:highlight w:val="none"/>
                <w:u w:val="single"/>
              </w:rPr>
              <w:t>浙江科胜工程管理有限公司（</w:t>
            </w:r>
            <w:r>
              <w:rPr>
                <w:rFonts w:hint="eastAsia" w:ascii="宋体"/>
                <w:color w:val="auto"/>
                <w:kern w:val="0"/>
                <w:sz w:val="24"/>
                <w:highlight w:val="none"/>
              </w:rPr>
              <w:t>三门县海游街道朝晖路67号201室）。</w:t>
            </w:r>
          </w:p>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逾期送达的谈判响应文件恕不接受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6</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开标时间及地点</w:t>
            </w:r>
          </w:p>
        </w:tc>
        <w:tc>
          <w:tcPr>
            <w:tcW w:w="5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ajorEastAsia" w:hAnsiTheme="majorEastAsia" w:eastAsiaTheme="minorEastAsia" w:cstheme="majorEastAsia"/>
                <w:color w:val="auto"/>
                <w:sz w:val="24"/>
                <w:highlight w:val="none"/>
              </w:rPr>
            </w:pPr>
            <w:r>
              <w:rPr>
                <w:rFonts w:hint="eastAsia" w:asciiTheme="majorEastAsia" w:hAnsiTheme="majorEastAsia" w:eastAsiaTheme="majorEastAsia" w:cstheme="majorEastAsia"/>
                <w:color w:val="auto"/>
                <w:sz w:val="24"/>
                <w:highlight w:val="none"/>
              </w:rPr>
              <w:t>时间：北京时间20</w:t>
            </w:r>
            <w:r>
              <w:rPr>
                <w:rFonts w:hint="eastAsia" w:cs="Arial" w:asciiTheme="minorEastAsia" w:hAnsiTheme="minorEastAsia" w:eastAsiaTheme="minorEastAsia"/>
                <w:color w:val="auto"/>
                <w:sz w:val="24"/>
                <w:highlight w:val="none"/>
              </w:rPr>
              <w:t>21年</w:t>
            </w:r>
            <w:r>
              <w:rPr>
                <w:rFonts w:hint="eastAsia" w:cs="Arial" w:asciiTheme="minorEastAsia" w:hAnsiTheme="minorEastAsia" w:eastAsiaTheme="minorEastAsia"/>
                <w:color w:val="auto"/>
                <w:sz w:val="24"/>
                <w:highlight w:val="none"/>
                <w:lang w:val="en-US" w:eastAsia="zh-CN"/>
              </w:rPr>
              <w:t>6</w:t>
            </w:r>
            <w:r>
              <w:rPr>
                <w:rFonts w:hint="eastAsia" w:cs="Arial" w:asciiTheme="minorEastAsia" w:hAnsiTheme="minorEastAsia" w:eastAsiaTheme="minorEastAsia"/>
                <w:color w:val="auto"/>
                <w:sz w:val="24"/>
                <w:highlight w:val="none"/>
              </w:rPr>
              <w:t xml:space="preserve"> 月</w:t>
            </w:r>
            <w:r>
              <w:rPr>
                <w:rFonts w:hint="eastAsia" w:cs="Arial" w:asciiTheme="minorEastAsia" w:hAnsiTheme="minorEastAsia" w:eastAsiaTheme="minorEastAsia"/>
                <w:color w:val="auto"/>
                <w:sz w:val="24"/>
                <w:highlight w:val="none"/>
                <w:lang w:val="en-US" w:eastAsia="zh-CN"/>
              </w:rPr>
              <w:t>25</w:t>
            </w:r>
            <w:r>
              <w:rPr>
                <w:rFonts w:hint="eastAsia" w:cs="Arial" w:asciiTheme="minorEastAsia" w:hAnsiTheme="minorEastAsia" w:eastAsiaTheme="minorEastAsia"/>
                <w:color w:val="auto"/>
                <w:sz w:val="24"/>
                <w:highlight w:val="none"/>
              </w:rPr>
              <w:t>日</w:t>
            </w:r>
            <w:r>
              <w:rPr>
                <w:rFonts w:hint="eastAsia" w:cs="Arial" w:asciiTheme="minorEastAsia" w:hAnsiTheme="minorEastAsia" w:eastAsiaTheme="minorEastAsia"/>
                <w:color w:val="auto"/>
                <w:sz w:val="24"/>
                <w:highlight w:val="none"/>
                <w:lang w:val="en-US" w:eastAsia="zh-CN"/>
              </w:rPr>
              <w:t>9</w:t>
            </w:r>
            <w:r>
              <w:rPr>
                <w:rFonts w:hint="eastAsia" w:cs="Arial" w:asciiTheme="minorEastAsia" w:hAnsiTheme="minorEastAsia" w:eastAsiaTheme="minorEastAsia"/>
                <w:color w:val="auto"/>
                <w:sz w:val="24"/>
                <w:highlight w:val="none"/>
              </w:rPr>
              <w:t xml:space="preserve">时00分 </w:t>
            </w:r>
          </w:p>
          <w:p>
            <w:pPr>
              <w:spacing w:line="36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 xml:space="preserve">地点： 浙江科胜工程管理有限公司（三门县海游街道朝晖路67号201室））。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7</w:t>
            </w:r>
          </w:p>
        </w:tc>
        <w:tc>
          <w:tcPr>
            <w:tcW w:w="17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ajorEastAsia" w:hAnsiTheme="majorEastAsia" w:eastAsiaTheme="majorEastAsia" w:cstheme="majorEastAsia"/>
                <w:color w:val="auto"/>
                <w:sz w:val="24"/>
                <w:highlight w:val="none"/>
                <w:lang w:val="zh-CN"/>
              </w:rPr>
            </w:pPr>
            <w:r>
              <w:rPr>
                <w:rFonts w:hint="eastAsia" w:asciiTheme="majorEastAsia" w:hAnsiTheme="majorEastAsia" w:eastAsiaTheme="majorEastAsia" w:cstheme="majorEastAsia"/>
                <w:color w:val="auto"/>
                <w:sz w:val="24"/>
                <w:highlight w:val="none"/>
                <w:lang w:val="zh-CN"/>
              </w:rPr>
              <w:t>实质性条款</w:t>
            </w:r>
          </w:p>
        </w:tc>
        <w:tc>
          <w:tcPr>
            <w:tcW w:w="55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0" w:hanging="10"/>
              <w:jc w:val="left"/>
              <w:rPr>
                <w:rFonts w:asciiTheme="majorEastAsia" w:hAnsiTheme="majorEastAsia" w:eastAsiaTheme="majorEastAsia" w:cstheme="majorEastAsia"/>
                <w:color w:val="auto"/>
                <w:kern w:val="0"/>
                <w:sz w:val="24"/>
                <w:highlight w:val="none"/>
                <w:lang w:val="zh-CN"/>
              </w:rPr>
            </w:pPr>
            <w:r>
              <w:rPr>
                <w:rFonts w:hint="eastAsia" w:asciiTheme="majorEastAsia" w:hAnsiTheme="majorEastAsia" w:eastAsiaTheme="majorEastAsia" w:cstheme="majorEastAsia"/>
                <w:color w:val="auto"/>
                <w:kern w:val="0"/>
                <w:sz w:val="24"/>
                <w:highlight w:val="none"/>
                <w:lang w:val="zh-CN"/>
              </w:rPr>
              <w:t>带“</w:t>
            </w:r>
            <w:r>
              <w:rPr>
                <w:rFonts w:hint="eastAsia" w:asciiTheme="majorEastAsia" w:hAnsiTheme="majorEastAsia" w:eastAsiaTheme="majorEastAsia" w:cstheme="majorEastAsia"/>
                <w:bCs/>
                <w:color w:val="auto"/>
                <w:sz w:val="24"/>
                <w:highlight w:val="none"/>
              </w:rPr>
              <w:t>▲”的条款是实质性条款，谈判响应文件须作出实质性响应，</w:t>
            </w:r>
            <w:r>
              <w:rPr>
                <w:rFonts w:hint="eastAsia" w:ascii="宋体" w:hAnsi="宋体" w:cs="宋体"/>
                <w:bCs/>
                <w:color w:val="auto"/>
                <w:sz w:val="24"/>
                <w:highlight w:val="none"/>
              </w:rPr>
              <w:t>否则作无效响应处理</w:t>
            </w:r>
            <w:r>
              <w:rPr>
                <w:rFonts w:hint="eastAsia" w:asciiTheme="majorEastAsia" w:hAnsiTheme="majorEastAsia" w:eastAsiaTheme="majorEastAsia" w:cstheme="majorEastAsia"/>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8</w:t>
            </w:r>
          </w:p>
        </w:tc>
        <w:tc>
          <w:tcPr>
            <w:tcW w:w="17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解释权</w:t>
            </w:r>
          </w:p>
        </w:tc>
        <w:tc>
          <w:tcPr>
            <w:tcW w:w="55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ajorEastAsia" w:hAnsiTheme="majorEastAsia" w:eastAsiaTheme="minorEastAsia" w:cstheme="majorEastAsia"/>
                <w:color w:val="auto"/>
                <w:sz w:val="24"/>
                <w:highlight w:val="none"/>
              </w:rPr>
            </w:pPr>
            <w:r>
              <w:rPr>
                <w:rFonts w:hint="eastAsia" w:ascii="宋体" w:hAnsi="宋体" w:cs="宋体"/>
                <w:color w:val="auto"/>
                <w:sz w:val="24"/>
                <w:highlight w:val="none"/>
              </w:rPr>
              <w:t>本磋商文件解释权属于采购人和</w:t>
            </w:r>
            <w:r>
              <w:rPr>
                <w:rFonts w:hint="eastAsia" w:cs="Arial"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9</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cstheme="majorEastAsia"/>
                <w:color w:val="auto"/>
                <w:sz w:val="24"/>
                <w:highlight w:val="none"/>
              </w:rPr>
            </w:pPr>
            <w:r>
              <w:rPr>
                <w:rFonts w:hint="eastAsia" w:ascii="宋体" w:hAnsi="宋体" w:cs="宋体"/>
                <w:color w:val="auto"/>
                <w:sz w:val="24"/>
                <w:highlight w:val="none"/>
              </w:rPr>
              <w:t>评审结</w:t>
            </w:r>
            <w:r>
              <w:rPr>
                <w:rFonts w:hint="eastAsia" w:ascii="宋体" w:hAnsi="宋体" w:cs="宋体"/>
                <w:color w:val="auto"/>
                <w:sz w:val="24"/>
                <w:highlight w:val="none"/>
              </w:rPr>
              <w:t>果公示</w:t>
            </w:r>
          </w:p>
        </w:tc>
        <w:tc>
          <w:tcPr>
            <w:tcW w:w="55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sz w:val="24"/>
                <w:highlight w:val="none"/>
              </w:rPr>
            </w:pPr>
            <w:r>
              <w:rPr>
                <w:rFonts w:hint="eastAsia" w:ascii="宋体" w:hAnsi="宋体" w:cs="宋体"/>
                <w:color w:val="auto"/>
                <w:sz w:val="24"/>
                <w:highlight w:val="none"/>
              </w:rPr>
              <w:t xml:space="preserve">评标结果公示于“三门县公共资源交易中心网”（http://jyzx.sanmen.gov.cn/）和三门县人民政府（http://xxgk.sanmen.gov.cn/）网站平台上发布，公示期3个日（最后一天工作日）。 </w:t>
            </w:r>
          </w:p>
        </w:tc>
      </w:tr>
    </w:tbl>
    <w:p>
      <w:pPr>
        <w:snapToGrid w:val="0"/>
        <w:spacing w:line="360" w:lineRule="auto"/>
        <w:rPr>
          <w:rFonts w:asciiTheme="majorEastAsia" w:hAnsiTheme="majorEastAsia" w:eastAsiaTheme="majorEastAsia"/>
          <w:b/>
          <w:color w:val="auto"/>
          <w:sz w:val="24"/>
          <w:highlight w:val="none"/>
        </w:rPr>
      </w:pPr>
    </w:p>
    <w:p>
      <w:pPr>
        <w:rPr>
          <w:rFonts w:asciiTheme="majorEastAsia" w:hAnsiTheme="majorEastAsia" w:eastAsiaTheme="majorEastAsia"/>
          <w:b/>
          <w:color w:val="auto"/>
          <w:sz w:val="24"/>
          <w:highlight w:val="none"/>
        </w:rPr>
      </w:pPr>
      <w:r>
        <w:rPr>
          <w:rFonts w:asciiTheme="majorEastAsia" w:hAnsiTheme="majorEastAsia" w:eastAsiaTheme="majorEastAsia"/>
          <w:b/>
          <w:color w:val="auto"/>
          <w:sz w:val="24"/>
          <w:highlight w:val="none"/>
        </w:rPr>
        <w:br w:type="page"/>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一 、总  则</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（一）</w:t>
      </w:r>
      <w:r>
        <w:rPr>
          <w:rFonts w:ascii="宋体"/>
          <w:b/>
          <w:color w:val="auto"/>
          <w:kern w:val="0"/>
          <w:sz w:val="24"/>
          <w:highlight w:val="none"/>
        </w:rPr>
        <w:t>适用范围</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本谈判文件适用于本次项目的谈判、评审、确定成交供应商、验收、合同履约、付款等行为（法律、法规另有规定的，从其规定）。</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（二）定义</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 “采购组织机构”指采购人委托组织磋商的集中采购机构或采购代理机构。</w:t>
      </w:r>
    </w:p>
    <w:p>
      <w:pPr>
        <w:spacing w:line="360" w:lineRule="auto"/>
        <w:ind w:firstLine="480" w:firstLineChars="200"/>
        <w:rPr>
          <w:rFonts w:ascii="宋体"/>
          <w:color w:val="auto"/>
          <w:kern w:val="0"/>
          <w:sz w:val="24"/>
          <w:highlight w:val="none"/>
        </w:rPr>
      </w:pPr>
      <w:r>
        <w:rPr>
          <w:rFonts w:ascii="宋体"/>
          <w:color w:val="auto"/>
          <w:kern w:val="0"/>
          <w:sz w:val="24"/>
          <w:highlight w:val="none"/>
        </w:rPr>
        <w:t>2</w:t>
      </w:r>
      <w:r>
        <w:rPr>
          <w:rFonts w:hint="eastAsia" w:ascii="宋体"/>
          <w:color w:val="auto"/>
          <w:kern w:val="0"/>
          <w:sz w:val="24"/>
          <w:highlight w:val="none"/>
        </w:rPr>
        <w:t>.采购人：是指委托集中采购机构或采购代理机构采购本次项目的国家机关、事业单位和团体组织。</w:t>
      </w:r>
    </w:p>
    <w:p>
      <w:pPr>
        <w:spacing w:line="360" w:lineRule="auto"/>
        <w:ind w:firstLine="480" w:firstLineChars="200"/>
        <w:rPr>
          <w:rFonts w:ascii="宋体"/>
          <w:color w:val="auto"/>
          <w:kern w:val="0"/>
          <w:sz w:val="24"/>
          <w:highlight w:val="none"/>
        </w:rPr>
      </w:pPr>
      <w:r>
        <w:rPr>
          <w:rFonts w:ascii="宋体"/>
          <w:color w:val="auto"/>
          <w:kern w:val="0"/>
          <w:sz w:val="24"/>
          <w:highlight w:val="none"/>
        </w:rPr>
        <w:t>3</w:t>
      </w:r>
      <w:r>
        <w:rPr>
          <w:rFonts w:hint="eastAsia" w:ascii="宋体"/>
          <w:color w:val="auto"/>
          <w:kern w:val="0"/>
          <w:sz w:val="24"/>
          <w:highlight w:val="none"/>
        </w:rPr>
        <w:t>.谈判供应商：是</w:t>
      </w:r>
      <w:r>
        <w:rPr>
          <w:rFonts w:ascii="宋体"/>
          <w:color w:val="auto"/>
          <w:kern w:val="0"/>
          <w:sz w:val="24"/>
          <w:highlight w:val="none"/>
        </w:rPr>
        <w:t>指向</w:t>
      </w:r>
      <w:r>
        <w:rPr>
          <w:rFonts w:hint="eastAsia" w:ascii="宋体"/>
          <w:color w:val="auto"/>
          <w:kern w:val="0"/>
          <w:sz w:val="24"/>
          <w:highlight w:val="none"/>
        </w:rPr>
        <w:t>采购组织机构</w:t>
      </w:r>
      <w:r>
        <w:rPr>
          <w:rFonts w:ascii="宋体"/>
          <w:color w:val="auto"/>
          <w:kern w:val="0"/>
          <w:sz w:val="24"/>
          <w:highlight w:val="none"/>
        </w:rPr>
        <w:t>提交</w:t>
      </w:r>
      <w:r>
        <w:rPr>
          <w:rFonts w:hint="eastAsia" w:ascii="宋体"/>
          <w:color w:val="auto"/>
          <w:kern w:val="0"/>
          <w:sz w:val="24"/>
          <w:highlight w:val="none"/>
        </w:rPr>
        <w:t>谈判响应</w:t>
      </w:r>
      <w:r>
        <w:rPr>
          <w:rFonts w:ascii="宋体"/>
          <w:color w:val="auto"/>
          <w:kern w:val="0"/>
          <w:sz w:val="24"/>
          <w:highlight w:val="none"/>
        </w:rPr>
        <w:t>文件的单位或个人。</w:t>
      </w:r>
    </w:p>
    <w:p>
      <w:pPr>
        <w:spacing w:line="360" w:lineRule="auto"/>
        <w:ind w:firstLine="480" w:firstLineChars="200"/>
        <w:rPr>
          <w:rFonts w:ascii="宋体"/>
          <w:color w:val="auto"/>
          <w:kern w:val="0"/>
          <w:sz w:val="24"/>
          <w:highlight w:val="none"/>
        </w:rPr>
      </w:pPr>
      <w:r>
        <w:rPr>
          <w:rFonts w:ascii="宋体"/>
          <w:color w:val="auto"/>
          <w:kern w:val="0"/>
          <w:sz w:val="24"/>
          <w:highlight w:val="none"/>
        </w:rPr>
        <w:t>4</w:t>
      </w:r>
      <w:r>
        <w:rPr>
          <w:rFonts w:hint="eastAsia" w:ascii="宋体"/>
          <w:color w:val="auto"/>
          <w:kern w:val="0"/>
          <w:sz w:val="24"/>
          <w:highlight w:val="none"/>
        </w:rPr>
        <w:t>.</w:t>
      </w:r>
      <w:r>
        <w:rPr>
          <w:rFonts w:ascii="宋体"/>
          <w:color w:val="auto"/>
          <w:kern w:val="0"/>
          <w:sz w:val="24"/>
          <w:highlight w:val="none"/>
        </w:rPr>
        <w:t>货物</w:t>
      </w:r>
      <w:r>
        <w:rPr>
          <w:rFonts w:hint="eastAsia" w:ascii="宋体"/>
          <w:color w:val="auto"/>
          <w:kern w:val="0"/>
          <w:sz w:val="24"/>
          <w:highlight w:val="none"/>
        </w:rPr>
        <w:t>：</w:t>
      </w:r>
      <w:r>
        <w:rPr>
          <w:rFonts w:ascii="宋体"/>
          <w:color w:val="auto"/>
          <w:kern w:val="0"/>
          <w:sz w:val="24"/>
          <w:highlight w:val="none"/>
        </w:rPr>
        <w:t>是指各种形态和种类的物品，包括原材料、燃料、设备、产品等。</w:t>
      </w:r>
    </w:p>
    <w:p>
      <w:pPr>
        <w:spacing w:line="360" w:lineRule="auto"/>
        <w:ind w:firstLine="480" w:firstLineChars="200"/>
        <w:rPr>
          <w:rFonts w:ascii="宋体"/>
          <w:color w:val="auto"/>
          <w:kern w:val="0"/>
          <w:sz w:val="24"/>
          <w:highlight w:val="none"/>
        </w:rPr>
      </w:pPr>
      <w:r>
        <w:rPr>
          <w:rFonts w:ascii="宋体"/>
          <w:color w:val="auto"/>
          <w:kern w:val="0"/>
          <w:sz w:val="24"/>
          <w:highlight w:val="none"/>
        </w:rPr>
        <w:t>5</w:t>
      </w:r>
      <w:r>
        <w:rPr>
          <w:rFonts w:hint="eastAsia" w:ascii="宋体"/>
          <w:color w:val="auto"/>
          <w:kern w:val="0"/>
          <w:sz w:val="24"/>
          <w:highlight w:val="none"/>
        </w:rPr>
        <w:t>.</w:t>
      </w:r>
      <w:r>
        <w:rPr>
          <w:rFonts w:ascii="宋体"/>
          <w:color w:val="auto"/>
          <w:kern w:val="0"/>
          <w:sz w:val="24"/>
          <w:highlight w:val="none"/>
        </w:rPr>
        <w:t>服务</w:t>
      </w:r>
      <w:r>
        <w:rPr>
          <w:rFonts w:hint="eastAsia" w:ascii="宋体"/>
          <w:color w:val="auto"/>
          <w:kern w:val="0"/>
          <w:sz w:val="24"/>
          <w:highlight w:val="none"/>
        </w:rPr>
        <w:t>：</w:t>
      </w:r>
      <w:r>
        <w:rPr>
          <w:rFonts w:ascii="宋体"/>
          <w:color w:val="auto"/>
          <w:kern w:val="0"/>
          <w:sz w:val="24"/>
          <w:highlight w:val="none"/>
        </w:rPr>
        <w:t>是指除货物和工程以外的政府采购对象，包括各类专业服务、信息网络开发服务、金融保险服务、运输服务，以及维修与维护服务等。</w:t>
      </w:r>
    </w:p>
    <w:p>
      <w:pPr>
        <w:spacing w:line="360" w:lineRule="auto"/>
        <w:ind w:firstLine="480" w:firstLineChars="200"/>
        <w:rPr>
          <w:rFonts w:ascii="宋体"/>
          <w:color w:val="auto"/>
          <w:kern w:val="0"/>
          <w:sz w:val="24"/>
          <w:highlight w:val="none"/>
        </w:rPr>
      </w:pPr>
      <w:r>
        <w:rPr>
          <w:rFonts w:ascii="宋体"/>
          <w:color w:val="auto"/>
          <w:kern w:val="0"/>
          <w:sz w:val="24"/>
          <w:highlight w:val="none"/>
        </w:rPr>
        <w:t>6</w:t>
      </w:r>
      <w:r>
        <w:rPr>
          <w:rFonts w:hint="eastAsia" w:ascii="宋体"/>
          <w:color w:val="auto"/>
          <w:kern w:val="0"/>
          <w:sz w:val="24"/>
          <w:highlight w:val="none"/>
        </w:rPr>
        <w:t>.</w:t>
      </w:r>
      <w:r>
        <w:rPr>
          <w:rFonts w:ascii="宋体"/>
          <w:color w:val="auto"/>
          <w:kern w:val="0"/>
          <w:sz w:val="24"/>
          <w:highlight w:val="none"/>
        </w:rPr>
        <w:t xml:space="preserve"> “书面形式”包括信函、传真等。</w:t>
      </w:r>
    </w:p>
    <w:p>
      <w:pPr>
        <w:spacing w:line="360" w:lineRule="auto"/>
        <w:ind w:firstLine="480" w:firstLineChars="200"/>
        <w:rPr>
          <w:rFonts w:ascii="宋体"/>
          <w:color w:val="auto"/>
          <w:kern w:val="0"/>
          <w:sz w:val="24"/>
          <w:highlight w:val="none"/>
        </w:rPr>
      </w:pPr>
      <w:r>
        <w:rPr>
          <w:rFonts w:ascii="宋体"/>
          <w:color w:val="auto"/>
          <w:kern w:val="0"/>
          <w:sz w:val="24"/>
          <w:highlight w:val="none"/>
        </w:rPr>
        <w:t>7</w:t>
      </w:r>
      <w:r>
        <w:rPr>
          <w:rFonts w:hint="eastAsia" w:ascii="宋体"/>
          <w:color w:val="auto"/>
          <w:kern w:val="0"/>
          <w:sz w:val="24"/>
          <w:highlight w:val="none"/>
        </w:rPr>
        <w:t>.</w:t>
      </w:r>
      <w:r>
        <w:rPr>
          <w:rFonts w:ascii="宋体"/>
          <w:color w:val="auto"/>
          <w:kern w:val="0"/>
          <w:sz w:val="24"/>
          <w:highlight w:val="none"/>
        </w:rPr>
        <w:t xml:space="preserve"> “▲”系指实质性要求条款。</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（三）谈判</w:t>
      </w:r>
      <w:r>
        <w:rPr>
          <w:rFonts w:hint="eastAsia" w:ascii="宋体"/>
          <w:b/>
          <w:color w:val="auto"/>
          <w:kern w:val="0"/>
          <w:sz w:val="24"/>
          <w:highlight w:val="none"/>
        </w:rPr>
        <w:t>费用</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不论谈判结果如何，供应商均应自行承担所有与谈判有关的全部费用（谈判文件有相关规定除外）。</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（四）特别说明</w:t>
      </w:r>
    </w:p>
    <w:p>
      <w:pPr>
        <w:spacing w:line="360" w:lineRule="auto"/>
        <w:ind w:firstLine="480" w:firstLineChars="200"/>
        <w:rPr>
          <w:rFonts w:ascii="宋体"/>
          <w:color w:val="auto"/>
          <w:kern w:val="0"/>
          <w:sz w:val="24"/>
          <w:highlight w:val="none"/>
        </w:rPr>
      </w:pPr>
      <w:r>
        <w:rPr>
          <w:rFonts w:ascii="宋体"/>
          <w:color w:val="auto"/>
          <w:kern w:val="0"/>
          <w:sz w:val="24"/>
          <w:highlight w:val="none"/>
        </w:rPr>
        <w:t>1</w:t>
      </w:r>
      <w:r>
        <w:rPr>
          <w:rFonts w:hint="eastAsia" w:ascii="宋体"/>
          <w:color w:val="auto"/>
          <w:kern w:val="0"/>
          <w:sz w:val="24"/>
          <w:highlight w:val="none"/>
        </w:rPr>
        <w:t>.供应商谈判</w:t>
      </w:r>
      <w:r>
        <w:rPr>
          <w:rFonts w:ascii="宋体"/>
          <w:color w:val="auto"/>
          <w:kern w:val="0"/>
          <w:sz w:val="24"/>
          <w:highlight w:val="none"/>
        </w:rPr>
        <w:t>所使用的资格、信誉、荣誉、业绩与企业认证必须为本法人所拥有。</w:t>
      </w:r>
      <w:r>
        <w:rPr>
          <w:rFonts w:hint="eastAsia" w:ascii="宋体"/>
          <w:color w:val="auto"/>
          <w:kern w:val="0"/>
          <w:sz w:val="24"/>
          <w:highlight w:val="none"/>
        </w:rPr>
        <w:t>供应商谈判</w:t>
      </w:r>
      <w:r>
        <w:rPr>
          <w:rFonts w:ascii="宋体"/>
          <w:color w:val="auto"/>
          <w:kern w:val="0"/>
          <w:sz w:val="24"/>
          <w:highlight w:val="none"/>
        </w:rPr>
        <w:t>所使用的采购项目实施人员必须为本法人员工（</w:t>
      </w:r>
      <w:r>
        <w:rPr>
          <w:rFonts w:hint="eastAsia" w:ascii="宋体"/>
          <w:color w:val="auto"/>
          <w:kern w:val="0"/>
          <w:sz w:val="24"/>
          <w:highlight w:val="none"/>
        </w:rPr>
        <w:t>指</w:t>
      </w:r>
      <w:r>
        <w:rPr>
          <w:rFonts w:ascii="宋体"/>
          <w:color w:val="auto"/>
          <w:kern w:val="0"/>
          <w:sz w:val="24"/>
          <w:highlight w:val="none"/>
        </w:rPr>
        <w:t>必须为本法人或控股公司正式员工）。</w:t>
      </w:r>
    </w:p>
    <w:p>
      <w:pPr>
        <w:spacing w:line="360" w:lineRule="auto"/>
        <w:ind w:firstLine="480" w:firstLineChars="200"/>
        <w:rPr>
          <w:rFonts w:ascii="宋体"/>
          <w:color w:val="auto"/>
          <w:kern w:val="0"/>
          <w:sz w:val="24"/>
          <w:highlight w:val="none"/>
        </w:rPr>
      </w:pPr>
      <w:r>
        <w:rPr>
          <w:rFonts w:ascii="宋体"/>
          <w:color w:val="auto"/>
          <w:kern w:val="0"/>
          <w:sz w:val="24"/>
          <w:highlight w:val="none"/>
        </w:rPr>
        <w:t>2</w:t>
      </w:r>
      <w:r>
        <w:rPr>
          <w:rFonts w:hint="eastAsia" w:ascii="宋体"/>
          <w:color w:val="auto"/>
          <w:kern w:val="0"/>
          <w:sz w:val="24"/>
          <w:highlight w:val="none"/>
        </w:rPr>
        <w:t>.供应商所标产品除谈判文件中明确规定要求“提供官网截图或相应检测报告的证明材料”以外，所有技术参数描述均以谈判文件为准。</w:t>
      </w:r>
      <w:r>
        <w:rPr>
          <w:rFonts w:hint="eastAsia" w:ascii="宋体"/>
          <w:b/>
          <w:color w:val="auto"/>
          <w:kern w:val="0"/>
          <w:sz w:val="24"/>
          <w:highlight w:val="none"/>
        </w:rPr>
        <w:t>谈判供应商对所投产品技术参数的真实性承担法律责任。</w:t>
      </w:r>
      <w:r>
        <w:rPr>
          <w:rFonts w:hint="eastAsia" w:ascii="宋体"/>
          <w:color w:val="auto"/>
          <w:kern w:val="0"/>
          <w:sz w:val="24"/>
          <w:highlight w:val="none"/>
        </w:rPr>
        <w:t>项目谈判结束后、质疑期限内，如有质疑供应商认为成交供应商所投产品、谈判文件技术参数与谈判需求存在重大偏离、错误、甚至造假的情况，应提供具体有效的证明材料。</w:t>
      </w:r>
    </w:p>
    <w:p>
      <w:pPr>
        <w:spacing w:line="360" w:lineRule="auto"/>
        <w:ind w:firstLine="480" w:firstLineChars="200"/>
        <w:rPr>
          <w:rFonts w:ascii="宋体"/>
          <w:color w:val="auto"/>
          <w:kern w:val="0"/>
          <w:sz w:val="24"/>
          <w:highlight w:val="none"/>
        </w:rPr>
      </w:pPr>
      <w:r>
        <w:rPr>
          <w:rFonts w:ascii="宋体"/>
          <w:color w:val="auto"/>
          <w:kern w:val="0"/>
          <w:sz w:val="24"/>
          <w:highlight w:val="none"/>
        </w:rPr>
        <w:t>3</w:t>
      </w:r>
      <w:r>
        <w:rPr>
          <w:rFonts w:hint="eastAsia" w:ascii="宋体"/>
          <w:color w:val="auto"/>
          <w:kern w:val="0"/>
          <w:sz w:val="24"/>
          <w:highlight w:val="none"/>
        </w:rPr>
        <w:t>.供应商</w:t>
      </w:r>
      <w:r>
        <w:rPr>
          <w:rFonts w:ascii="宋体"/>
          <w:color w:val="auto"/>
          <w:kern w:val="0"/>
          <w:sz w:val="24"/>
          <w:highlight w:val="none"/>
        </w:rPr>
        <w:t>在</w:t>
      </w:r>
      <w:r>
        <w:rPr>
          <w:rFonts w:hint="eastAsia" w:ascii="宋体"/>
          <w:color w:val="auto"/>
          <w:kern w:val="0"/>
          <w:sz w:val="24"/>
          <w:highlight w:val="none"/>
        </w:rPr>
        <w:t>谈判</w:t>
      </w:r>
      <w:r>
        <w:rPr>
          <w:rFonts w:ascii="宋体"/>
          <w:color w:val="auto"/>
          <w:kern w:val="0"/>
          <w:sz w:val="24"/>
          <w:highlight w:val="none"/>
        </w:rPr>
        <w:t>活动中提供任何虚假材料,其</w:t>
      </w:r>
      <w:r>
        <w:rPr>
          <w:rFonts w:hint="eastAsia" w:ascii="宋体"/>
          <w:color w:val="auto"/>
          <w:kern w:val="0"/>
          <w:sz w:val="24"/>
          <w:highlight w:val="none"/>
        </w:rPr>
        <w:t>响应</w:t>
      </w:r>
      <w:r>
        <w:rPr>
          <w:rFonts w:ascii="宋体"/>
          <w:color w:val="auto"/>
          <w:kern w:val="0"/>
          <w:sz w:val="24"/>
          <w:highlight w:val="none"/>
        </w:rPr>
        <w:t>无效，并报监管部门查处；成交后发现的,根据《中华人民共和国政府采购法》第七十七条第一款第一项之规定</w:t>
      </w:r>
      <w:r>
        <w:rPr>
          <w:rFonts w:hint="eastAsia" w:ascii="宋体"/>
          <w:color w:val="auto"/>
          <w:kern w:val="0"/>
          <w:sz w:val="24"/>
          <w:highlight w:val="none"/>
        </w:rPr>
        <w:t>，</w:t>
      </w:r>
      <w:r>
        <w:rPr>
          <w:rFonts w:ascii="宋体"/>
          <w:color w:val="auto"/>
          <w:kern w:val="0"/>
          <w:sz w:val="24"/>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color w:val="auto"/>
          <w:kern w:val="0"/>
          <w:sz w:val="24"/>
          <w:highlight w:val="none"/>
        </w:rPr>
        <w:t>。</w:t>
      </w:r>
    </w:p>
    <w:p>
      <w:pPr>
        <w:spacing w:line="360" w:lineRule="auto"/>
        <w:ind w:firstLine="480" w:firstLineChars="200"/>
        <w:rPr>
          <w:rFonts w:ascii="宋体"/>
          <w:color w:val="auto"/>
          <w:kern w:val="0"/>
          <w:sz w:val="24"/>
          <w:highlight w:val="none"/>
        </w:rPr>
      </w:pPr>
      <w:r>
        <w:rPr>
          <w:rFonts w:ascii="宋体"/>
          <w:color w:val="auto"/>
          <w:kern w:val="0"/>
          <w:sz w:val="24"/>
          <w:highlight w:val="none"/>
        </w:rPr>
        <w:t>4</w:t>
      </w:r>
      <w:r>
        <w:rPr>
          <w:rFonts w:hint="eastAsia" w:ascii="宋体"/>
          <w:color w:val="auto"/>
          <w:kern w:val="0"/>
          <w:sz w:val="24"/>
          <w:highlight w:val="none"/>
        </w:rPr>
        <w:t>.供应商不得相互串通谈判报价，不得妨碍其他供应商的公平竞争，不得损害采购人或其他供应商的合法权益，供应商不得以向采购人、谈判小组成员行贿或者采取其他不正当手段谋取成交。</w:t>
      </w:r>
    </w:p>
    <w:p>
      <w:pPr>
        <w:spacing w:line="360" w:lineRule="auto"/>
        <w:ind w:firstLine="480" w:firstLineChars="200"/>
        <w:rPr>
          <w:rFonts w:ascii="宋体"/>
          <w:color w:val="auto"/>
          <w:kern w:val="0"/>
          <w:sz w:val="24"/>
          <w:highlight w:val="none"/>
        </w:rPr>
      </w:pPr>
      <w:r>
        <w:rPr>
          <w:rFonts w:ascii="宋体"/>
          <w:color w:val="auto"/>
          <w:kern w:val="0"/>
          <w:sz w:val="24"/>
          <w:highlight w:val="none"/>
        </w:rPr>
        <w:t>5</w:t>
      </w:r>
      <w:r>
        <w:rPr>
          <w:rFonts w:hint="eastAsia" w:ascii="宋体"/>
          <w:color w:val="auto"/>
          <w:kern w:val="0"/>
          <w:sz w:val="24"/>
          <w:highlight w:val="none"/>
        </w:rPr>
        <w:t>.为采购项目提供整体设计、规范编制或者项目管理、监理、检测等服务的供应商，不得再参加该采购项目的其他采购活动。</w:t>
      </w:r>
    </w:p>
    <w:p>
      <w:pPr>
        <w:spacing w:line="360" w:lineRule="auto"/>
        <w:ind w:firstLine="480" w:firstLineChars="200"/>
        <w:rPr>
          <w:rFonts w:ascii="宋体"/>
          <w:color w:val="auto"/>
          <w:kern w:val="0"/>
          <w:sz w:val="24"/>
          <w:highlight w:val="none"/>
        </w:rPr>
      </w:pPr>
      <w:r>
        <w:rPr>
          <w:rFonts w:ascii="宋体"/>
          <w:color w:val="auto"/>
          <w:kern w:val="0"/>
          <w:sz w:val="24"/>
          <w:highlight w:val="none"/>
        </w:rPr>
        <w:t>6</w:t>
      </w:r>
      <w:r>
        <w:rPr>
          <w:rFonts w:hint="eastAsia" w:ascii="宋体"/>
          <w:color w:val="auto"/>
          <w:kern w:val="0"/>
          <w:sz w:val="24"/>
          <w:highlight w:val="none"/>
        </w:rPr>
        <w:t>.谈判响应文件格式中的表格式样可以根据项目差别做适当调整,但应当保持表格样式基本形态不变。</w:t>
      </w:r>
    </w:p>
    <w:p>
      <w:pPr>
        <w:spacing w:line="360" w:lineRule="auto"/>
        <w:ind w:firstLine="480" w:firstLineChars="200"/>
        <w:rPr>
          <w:color w:val="auto"/>
          <w:highlight w:val="none"/>
        </w:rPr>
      </w:pPr>
      <w:r>
        <w:rPr>
          <w:rFonts w:ascii="宋体"/>
          <w:color w:val="auto"/>
          <w:kern w:val="0"/>
          <w:sz w:val="24"/>
          <w:highlight w:val="none"/>
        </w:rPr>
        <w:t>7</w:t>
      </w:r>
      <w:r>
        <w:rPr>
          <w:rFonts w:hint="eastAsia" w:ascii="宋体"/>
          <w:color w:val="auto"/>
          <w:kern w:val="0"/>
          <w:sz w:val="24"/>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spacing w:line="360" w:lineRule="auto"/>
        <w:ind w:firstLine="480" w:firstLineChars="200"/>
        <w:rPr>
          <w:rFonts w:ascii="宋体"/>
          <w:color w:val="auto"/>
          <w:kern w:val="0"/>
          <w:sz w:val="24"/>
          <w:highlight w:val="none"/>
        </w:rPr>
      </w:pPr>
      <w:r>
        <w:rPr>
          <w:rFonts w:ascii="宋体"/>
          <w:color w:val="auto"/>
          <w:kern w:val="0"/>
          <w:sz w:val="24"/>
          <w:highlight w:val="none"/>
        </w:rPr>
        <w:t>8</w:t>
      </w:r>
      <w:r>
        <w:rPr>
          <w:rFonts w:hint="eastAsia" w:ascii="宋体"/>
          <w:color w:val="auto"/>
          <w:kern w:val="0"/>
          <w:sz w:val="24"/>
          <w:highlight w:val="none"/>
        </w:rPr>
        <w:t>.本项目不允许分包。（若本项目允许部分分包，则分包如下：供应商根据谈判文件的规定和采购项目的实际情况，拟在成交后将成交项目的非主体、非关键性工作分包的，应当在谈判响应文件中载明分包承担主体，分包承担主体应当具备相应资质条件且不得再次分包。）</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二、谈判响应文件</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（一）谈判响应文件的组成</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投标文件由商务技术文件、报价文件二部份组成。</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1.商务技术文件：</w:t>
      </w:r>
    </w:p>
    <w:p>
      <w:pPr>
        <w:adjustRightInd w:val="0"/>
        <w:snapToGrid w:val="0"/>
        <w:spacing w:line="360" w:lineRule="auto"/>
        <w:ind w:right="480" w:firstLine="480" w:firstLineChars="200"/>
        <w:rPr>
          <w:rFonts w:ascii="宋体"/>
          <w:color w:val="auto"/>
          <w:kern w:val="0"/>
          <w:sz w:val="24"/>
          <w:highlight w:val="none"/>
        </w:rPr>
      </w:pPr>
      <w:r>
        <w:rPr>
          <w:rFonts w:hint="eastAsia" w:ascii="宋体"/>
          <w:color w:val="auto"/>
          <w:kern w:val="0"/>
          <w:sz w:val="24"/>
          <w:highlight w:val="none"/>
        </w:rPr>
        <w:t>（1）</w:t>
      </w:r>
      <w:r>
        <w:rPr>
          <w:rFonts w:hint="eastAsia" w:ascii="宋体"/>
          <w:color w:val="auto"/>
          <w:kern w:val="0"/>
          <w:sz w:val="24"/>
          <w:highlight w:val="none"/>
          <w:lang w:val="zh-CN"/>
        </w:rPr>
        <w:t>谈判声明书</w:t>
      </w:r>
      <w:r>
        <w:rPr>
          <w:rFonts w:hint="eastAsia" w:ascii="宋体"/>
          <w:color w:val="auto"/>
          <w:kern w:val="0"/>
          <w:sz w:val="24"/>
          <w:highlight w:val="none"/>
        </w:rPr>
        <w:t>；</w:t>
      </w:r>
    </w:p>
    <w:p>
      <w:pPr>
        <w:adjustRightInd w:val="0"/>
        <w:snapToGrid w:val="0"/>
        <w:spacing w:line="360" w:lineRule="auto"/>
        <w:ind w:right="480" w:firstLine="480" w:firstLineChars="200"/>
        <w:rPr>
          <w:rFonts w:ascii="宋体"/>
          <w:color w:val="auto"/>
          <w:kern w:val="0"/>
          <w:sz w:val="24"/>
          <w:highlight w:val="none"/>
        </w:rPr>
      </w:pPr>
      <w:r>
        <w:rPr>
          <w:rFonts w:hint="eastAsia" w:ascii="宋体"/>
          <w:color w:val="auto"/>
          <w:kern w:val="0"/>
          <w:sz w:val="24"/>
          <w:highlight w:val="none"/>
        </w:rPr>
        <w:t>（2）</w:t>
      </w:r>
      <w:r>
        <w:rPr>
          <w:rFonts w:hint="eastAsia" w:ascii="宋体" w:hAnsi="宋体" w:cs="宋体"/>
          <w:color w:val="auto"/>
          <w:sz w:val="24"/>
          <w:highlight w:val="none"/>
          <w:lang w:val="zh-CN"/>
        </w:rPr>
        <w:t>法定代表人身份证明书或</w:t>
      </w:r>
      <w:r>
        <w:rPr>
          <w:rFonts w:hint="eastAsia" w:ascii="宋体" w:hAnsi="宋体" w:cs="宋体"/>
          <w:color w:val="auto"/>
          <w:sz w:val="24"/>
          <w:highlight w:val="none"/>
        </w:rPr>
        <w:t>授权委托书（根据需求选择)</w:t>
      </w:r>
      <w:r>
        <w:rPr>
          <w:rFonts w:hint="eastAsia"/>
          <w:color w:val="auto"/>
          <w:highlight w:val="none"/>
        </w:rPr>
        <w:t xml:space="preserve"> </w:t>
      </w:r>
      <w:r>
        <w:rPr>
          <w:rFonts w:hint="eastAsia" w:ascii="宋体"/>
          <w:color w:val="auto"/>
          <w:kern w:val="0"/>
          <w:sz w:val="24"/>
          <w:highlight w:val="none"/>
        </w:rPr>
        <w:t>；</w:t>
      </w:r>
    </w:p>
    <w:p>
      <w:pPr>
        <w:adjustRightInd w:val="0"/>
        <w:snapToGrid w:val="0"/>
        <w:spacing w:line="360" w:lineRule="auto"/>
        <w:ind w:right="480" w:firstLine="480" w:firstLineChars="200"/>
        <w:rPr>
          <w:rFonts w:ascii="宋体"/>
          <w:color w:val="auto"/>
          <w:kern w:val="0"/>
          <w:sz w:val="24"/>
          <w:highlight w:val="none"/>
        </w:rPr>
      </w:pPr>
      <w:r>
        <w:rPr>
          <w:rFonts w:hint="eastAsia" w:ascii="宋体"/>
          <w:color w:val="auto"/>
          <w:kern w:val="0"/>
          <w:sz w:val="24"/>
          <w:highlight w:val="none"/>
        </w:rPr>
        <w:t>（3）</w:t>
      </w:r>
      <w:r>
        <w:rPr>
          <w:rFonts w:hint="eastAsia" w:ascii="宋体" w:hAnsi="宋体" w:cs="宋体"/>
          <w:color w:val="auto"/>
          <w:sz w:val="24"/>
          <w:highlight w:val="none"/>
        </w:rPr>
        <w:t>供应商综合情况一览表（人员与技术力量、企业规模、经营业绩等）</w:t>
      </w:r>
      <w:r>
        <w:rPr>
          <w:rFonts w:hint="eastAsia" w:ascii="宋体"/>
          <w:color w:val="auto"/>
          <w:kern w:val="0"/>
          <w:sz w:val="24"/>
          <w:highlight w:val="none"/>
        </w:rPr>
        <w:t>；</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 xml:space="preserve">（4）项目负责人和项目组成人员基本情况表； </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（5）</w:t>
      </w:r>
      <w:r>
        <w:rPr>
          <w:rFonts w:hint="eastAsia" w:ascii="宋体" w:hAnsi="宋体"/>
          <w:color w:val="auto"/>
          <w:sz w:val="24"/>
          <w:highlight w:val="none"/>
        </w:rPr>
        <w:t>相关</w:t>
      </w:r>
      <w:r>
        <w:rPr>
          <w:rFonts w:ascii="宋体" w:hAnsi="宋体"/>
          <w:color w:val="auto"/>
          <w:kern w:val="0"/>
          <w:sz w:val="24"/>
          <w:highlight w:val="none"/>
        </w:rPr>
        <w:t>证书</w:t>
      </w:r>
      <w:r>
        <w:rPr>
          <w:rFonts w:hint="eastAsia" w:ascii="宋体" w:hAnsi="宋体"/>
          <w:color w:val="auto"/>
          <w:kern w:val="0"/>
          <w:sz w:val="24"/>
          <w:highlight w:val="none"/>
        </w:rPr>
        <w:t>或文件</w:t>
      </w:r>
      <w:r>
        <w:rPr>
          <w:rFonts w:hint="eastAsia" w:ascii="宋体"/>
          <w:color w:val="auto"/>
          <w:kern w:val="0"/>
          <w:sz w:val="24"/>
          <w:highlight w:val="none"/>
        </w:rPr>
        <w:t>；</w:t>
      </w:r>
    </w:p>
    <w:p>
      <w:pPr>
        <w:pStyle w:val="33"/>
        <w:spacing w:line="360" w:lineRule="auto"/>
        <w:ind w:firstLine="480" w:firstLineChars="200"/>
        <w:rPr>
          <w:rFonts w:ascii="宋体"/>
          <w:color w:val="auto"/>
          <w:kern w:val="0"/>
          <w:sz w:val="24"/>
          <w:highlight w:val="none"/>
        </w:rPr>
      </w:pPr>
      <w:r>
        <w:rPr>
          <w:rFonts w:hint="eastAsia" w:ascii="宋体"/>
          <w:color w:val="auto"/>
          <w:kern w:val="0"/>
          <w:sz w:val="24"/>
          <w:highlight w:val="none"/>
        </w:rPr>
        <w:t>（6）</w:t>
      </w:r>
      <w:r>
        <w:rPr>
          <w:rFonts w:hint="eastAsia" w:ascii="宋体" w:hAnsi="宋体"/>
          <w:color w:val="auto"/>
          <w:sz w:val="24"/>
          <w:highlight w:val="none"/>
        </w:rPr>
        <w:t>项目类似业绩一览表</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（7）供应商认为需要提供的其他资料。</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说明：商务技术文件除投标函和法定代表人授权委托书外，招标文件第六章中附表格式均为参考格式。</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2.报价文件</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（1）首次报价一览表；</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（2）小微企业声明函（如有）；</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（3）产品适用政府采购政策情况表（如有）；</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3.此报价为供应商针对本项目报出的唯一的首次报价，包含其它一切所要涉及到的费用，有选择的报价将被拒绝。</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4.相关报价单需打印或用不退色的墨水填写， 谈判报价单不得涂改和增删，如有错漏必须修改，修改处须由同一签署人签字或盖章。由于字迹模糊或表达不清引起的后果由供应商负责。</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（6）</w:t>
      </w:r>
      <w:r>
        <w:rPr>
          <w:rFonts w:ascii="宋体"/>
          <w:color w:val="auto"/>
          <w:kern w:val="0"/>
          <w:sz w:val="24"/>
          <w:highlight w:val="none"/>
        </w:rPr>
        <w:t>报价</w:t>
      </w:r>
      <w:r>
        <w:rPr>
          <w:rFonts w:hint="eastAsia" w:ascii="宋体"/>
          <w:color w:val="auto"/>
          <w:kern w:val="0"/>
          <w:sz w:val="24"/>
          <w:highlight w:val="none"/>
        </w:rPr>
        <w:t>有关表格</w:t>
      </w:r>
      <w:r>
        <w:rPr>
          <w:rFonts w:ascii="宋体"/>
          <w:color w:val="auto"/>
          <w:kern w:val="0"/>
          <w:sz w:val="24"/>
          <w:highlight w:val="none"/>
        </w:rPr>
        <w:t>应按</w:t>
      </w:r>
      <w:r>
        <w:rPr>
          <w:rFonts w:hint="eastAsia" w:ascii="宋体"/>
          <w:color w:val="auto"/>
          <w:kern w:val="0"/>
          <w:sz w:val="24"/>
          <w:highlight w:val="none"/>
        </w:rPr>
        <w:t>谈判采购</w:t>
      </w:r>
      <w:r>
        <w:rPr>
          <w:rFonts w:ascii="宋体"/>
          <w:color w:val="auto"/>
          <w:kern w:val="0"/>
          <w:sz w:val="24"/>
          <w:highlight w:val="none"/>
        </w:rPr>
        <w:t>文件中相关附表格式填写。</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（二）谈判响应文件的制作、封装及递交要求</w:t>
      </w:r>
    </w:p>
    <w:p>
      <w:pPr>
        <w:spacing w:line="360" w:lineRule="auto"/>
        <w:ind w:firstLine="482" w:firstLineChars="200"/>
        <w:rPr>
          <w:rFonts w:asciiTheme="minorEastAsia" w:hAnsiTheme="minorEastAsia" w:eastAsiaTheme="minorEastAsia"/>
          <w:b/>
          <w:bCs/>
          <w:color w:val="auto"/>
          <w:sz w:val="24"/>
          <w:highlight w:val="none"/>
        </w:rPr>
      </w:pPr>
      <w:r>
        <w:rPr>
          <w:rFonts w:hint="eastAsia" w:ascii="宋体"/>
          <w:b/>
          <w:color w:val="auto"/>
          <w:kern w:val="0"/>
          <w:sz w:val="24"/>
          <w:highlight w:val="none"/>
        </w:rPr>
        <w:t>1．谈判响应文件的制作要求</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（1）谈判人应按照谈判文件组成内容及项目采购需求制作谈判响应文件，不按谈判采购文件要求制作谈判响应文件的将视情处理（拒收、扣分等），由此产生的责任由谈判人自行承担。</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（2）谈判人应对所提供的全部资料的真实性承担法律责任，谈判响应文件内容中有要求盖章或签字的地方必须加盖谈判人的公章以及法定代表人或全权代表的盖章或签字。</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（3）谈判响应</w:t>
      </w:r>
      <w:r>
        <w:rPr>
          <w:rFonts w:ascii="宋体"/>
          <w:color w:val="auto"/>
          <w:kern w:val="0"/>
          <w:sz w:val="24"/>
          <w:highlight w:val="none"/>
        </w:rPr>
        <w:t>文件以及</w:t>
      </w:r>
      <w:r>
        <w:rPr>
          <w:rFonts w:hint="eastAsia" w:ascii="宋体"/>
          <w:color w:val="auto"/>
          <w:kern w:val="0"/>
          <w:sz w:val="24"/>
          <w:highlight w:val="none"/>
        </w:rPr>
        <w:t>谈判供应商</w:t>
      </w:r>
      <w:r>
        <w:rPr>
          <w:rFonts w:ascii="宋体"/>
          <w:color w:val="auto"/>
          <w:kern w:val="0"/>
          <w:sz w:val="24"/>
          <w:highlight w:val="none"/>
        </w:rPr>
        <w:t>与</w:t>
      </w:r>
      <w:r>
        <w:rPr>
          <w:rFonts w:hint="eastAsia" w:ascii="宋体"/>
          <w:color w:val="auto"/>
          <w:kern w:val="0"/>
          <w:sz w:val="24"/>
          <w:highlight w:val="none"/>
        </w:rPr>
        <w:t>采购组织机构</w:t>
      </w:r>
      <w:r>
        <w:rPr>
          <w:rFonts w:ascii="宋体"/>
          <w:color w:val="auto"/>
          <w:kern w:val="0"/>
          <w:sz w:val="24"/>
          <w:highlight w:val="none"/>
        </w:rPr>
        <w:t>就有关</w:t>
      </w:r>
      <w:r>
        <w:rPr>
          <w:rFonts w:hint="eastAsia" w:ascii="宋体"/>
          <w:color w:val="auto"/>
          <w:kern w:val="0"/>
          <w:sz w:val="24"/>
          <w:highlight w:val="none"/>
        </w:rPr>
        <w:t>谈判响应</w:t>
      </w:r>
      <w:r>
        <w:rPr>
          <w:rFonts w:ascii="宋体"/>
          <w:color w:val="auto"/>
          <w:kern w:val="0"/>
          <w:sz w:val="24"/>
          <w:highlight w:val="none"/>
        </w:rPr>
        <w:t>事宜的所有来往函电，均应以中文汉语书写。除</w:t>
      </w:r>
      <w:r>
        <w:rPr>
          <w:rFonts w:hint="eastAsia" w:ascii="宋体"/>
          <w:color w:val="auto"/>
          <w:kern w:val="0"/>
          <w:sz w:val="24"/>
          <w:highlight w:val="none"/>
        </w:rPr>
        <w:t>签字</w:t>
      </w:r>
      <w:r>
        <w:rPr>
          <w:rFonts w:ascii="宋体"/>
          <w:color w:val="auto"/>
          <w:kern w:val="0"/>
          <w:sz w:val="24"/>
          <w:highlight w:val="none"/>
        </w:rPr>
        <w:t>、盖章、专用名称等特殊情形外，以中文汉语以外的文字表述的谈判响应文件视同未提供。</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（4）谈判</w:t>
      </w:r>
      <w:r>
        <w:rPr>
          <w:rFonts w:ascii="宋体"/>
          <w:color w:val="auto"/>
          <w:kern w:val="0"/>
          <w:sz w:val="24"/>
          <w:highlight w:val="none"/>
        </w:rPr>
        <w:t>计量单位，</w:t>
      </w:r>
      <w:r>
        <w:rPr>
          <w:rFonts w:hint="eastAsia" w:ascii="宋体"/>
          <w:color w:val="auto"/>
          <w:kern w:val="0"/>
          <w:sz w:val="24"/>
          <w:highlight w:val="none"/>
        </w:rPr>
        <w:t>谈判</w:t>
      </w:r>
      <w:r>
        <w:rPr>
          <w:rFonts w:ascii="宋体"/>
          <w:color w:val="auto"/>
          <w:kern w:val="0"/>
          <w:sz w:val="24"/>
          <w:highlight w:val="none"/>
        </w:rPr>
        <w:t>文件已有明确规定的，使用</w:t>
      </w:r>
      <w:r>
        <w:rPr>
          <w:rFonts w:hint="eastAsia" w:ascii="宋体"/>
          <w:color w:val="auto"/>
          <w:kern w:val="0"/>
          <w:sz w:val="24"/>
          <w:highlight w:val="none"/>
        </w:rPr>
        <w:t>谈判</w:t>
      </w:r>
      <w:r>
        <w:rPr>
          <w:rFonts w:ascii="宋体"/>
          <w:color w:val="auto"/>
          <w:kern w:val="0"/>
          <w:sz w:val="24"/>
          <w:highlight w:val="none"/>
        </w:rPr>
        <w:t>文件规定的计量单位；</w:t>
      </w:r>
      <w:r>
        <w:rPr>
          <w:rFonts w:hint="eastAsia" w:ascii="宋体"/>
          <w:color w:val="auto"/>
          <w:kern w:val="0"/>
          <w:sz w:val="24"/>
          <w:highlight w:val="none"/>
        </w:rPr>
        <w:t>谈判</w:t>
      </w:r>
      <w:r>
        <w:rPr>
          <w:rFonts w:ascii="宋体"/>
          <w:color w:val="auto"/>
          <w:kern w:val="0"/>
          <w:sz w:val="24"/>
          <w:highlight w:val="none"/>
        </w:rPr>
        <w:t>文件没有规定的，应采用中华人民共和国法定计量单位（货币单位：人民币元）。</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（5）</w:t>
      </w:r>
      <w:r>
        <w:rPr>
          <w:rFonts w:ascii="宋体"/>
          <w:color w:val="auto"/>
          <w:kern w:val="0"/>
          <w:sz w:val="24"/>
          <w:highlight w:val="none"/>
        </w:rPr>
        <w:t>若</w:t>
      </w:r>
      <w:r>
        <w:rPr>
          <w:rFonts w:hint="eastAsia" w:ascii="宋体"/>
          <w:color w:val="auto"/>
          <w:kern w:val="0"/>
          <w:sz w:val="24"/>
          <w:highlight w:val="none"/>
        </w:rPr>
        <w:t>供应商</w:t>
      </w:r>
      <w:r>
        <w:rPr>
          <w:rFonts w:ascii="宋体"/>
          <w:color w:val="auto"/>
          <w:kern w:val="0"/>
          <w:sz w:val="24"/>
          <w:highlight w:val="none"/>
        </w:rPr>
        <w:t>不按</w:t>
      </w:r>
      <w:r>
        <w:rPr>
          <w:rFonts w:hint="eastAsia" w:ascii="宋体"/>
          <w:color w:val="auto"/>
          <w:kern w:val="0"/>
          <w:sz w:val="24"/>
          <w:highlight w:val="none"/>
        </w:rPr>
        <w:t>谈判</w:t>
      </w:r>
      <w:r>
        <w:rPr>
          <w:rFonts w:ascii="宋体"/>
          <w:color w:val="auto"/>
          <w:kern w:val="0"/>
          <w:sz w:val="24"/>
          <w:highlight w:val="none"/>
        </w:rPr>
        <w:t>文件的要求提供资格审查材料，其风险由</w:t>
      </w:r>
      <w:r>
        <w:rPr>
          <w:rFonts w:hint="eastAsia" w:ascii="宋体"/>
          <w:color w:val="auto"/>
          <w:kern w:val="0"/>
          <w:sz w:val="24"/>
          <w:highlight w:val="none"/>
        </w:rPr>
        <w:t>供应商</w:t>
      </w:r>
      <w:r>
        <w:rPr>
          <w:rFonts w:ascii="宋体"/>
          <w:color w:val="auto"/>
          <w:kern w:val="0"/>
          <w:sz w:val="24"/>
          <w:highlight w:val="none"/>
        </w:rPr>
        <w:t>自行承担。</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（6）与本次谈判无关的内容请不要制作在内，确保谈判文件有针对性、简洁明了，同时节约纸张；谈判响应文件建议以A4纸大小双面打印并装订。</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2．谈判响应文件的封装要求</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（1）谈判响应文件份数：正本1份、副本3份；商务与技术文件装在一个封袋；报价文件一个封袋；正副本一起密封包装。谈判响应文件的正本封面必须注明“正本”字样，副本可以采用正本的复印件。</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所有谈判响应资料按谈判采购文件的组成所列内容及顺序装订成册，并逐页连续标注页码。因谈判响应文件内容不完整、编排混乱导致谈判响应文件被误读、漏读或者查找不到相关内容的责任由供应商自行承担。</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3）请在密封袋的封口处应有谈判单位公章或谈判全权代表签字。封皮上写明项目编号、标段、谈判响应项目名称、供应商名称，并注明“谈判响应文件名称”、“谈判时启封”字样，未按上述要求密封及加写标记，采购组织机构对谈判响应文件的误投和提前启封不负责任。</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（4）项目如分标段，各标段谈判响应文件必须分开编制，并按上述份数要求单独密封包装。</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（5）因密封不严、标记不明而造成失密、拒收、过早启封等情况，采购文件概不负责。</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3．谈判响应文件的递交要求</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（1）谈判响应文件必须在规定时间前派人送达指定的谈判地点。谈判响应文件在截止时间后提交，采购组织机构将将拒绝接收。</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（2）如有特殊情况，采购组织机构延长截止时间和谈判时间，采购组织机构和供应商的权利和义务将受到新的截止时间和谈判时间的约束。</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4．谈判响应文件的补充、修改和撤回</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（1）供应商如需对上交的谈判响应文件进行补充、修改或撤回的，必须在谈判响应截止时间以前将书面的修改文件或撤消通知送达采购组织机构。</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（2）谈判修改文件必须密封，在密封袋上写明项目编号、标段、谈判项目名称、供应商名称、并注明“修改文件”、“谈判时启封”字样，其作为谈判响应文件的组成部份。</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三、谈判响应文件的有效期</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w:t>
      </w:r>
      <w:r>
        <w:rPr>
          <w:rFonts w:hint="eastAsia" w:ascii="宋体"/>
          <w:color w:val="auto"/>
          <w:kern w:val="0"/>
          <w:sz w:val="24"/>
          <w:highlight w:val="none"/>
        </w:rPr>
        <w:t>自谈判响应截止日起90天谈判响应文件应保持有效。有效期不足的谈判响应文件将被拒绝。</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w:t>
      </w:r>
      <w:r>
        <w:rPr>
          <w:rFonts w:ascii="宋体"/>
          <w:color w:val="auto"/>
          <w:kern w:val="0"/>
          <w:sz w:val="24"/>
          <w:highlight w:val="none"/>
        </w:rPr>
        <w:t>.</w:t>
      </w:r>
      <w:r>
        <w:rPr>
          <w:rFonts w:hint="eastAsia" w:ascii="宋体"/>
          <w:color w:val="auto"/>
          <w:kern w:val="0"/>
          <w:sz w:val="24"/>
          <w:highlight w:val="none"/>
        </w:rPr>
        <w:t>在特殊情况下，采购人可与供应商协商延长谈判响应文件的有效期，这种要求和答复均以书面形式进行。</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3.供应商可拒绝接受延期要求</w:t>
      </w:r>
      <w:r>
        <w:rPr>
          <w:rFonts w:ascii="宋体"/>
          <w:color w:val="auto"/>
          <w:kern w:val="0"/>
          <w:sz w:val="24"/>
          <w:highlight w:val="none"/>
        </w:rPr>
        <w:t>，但不能修改谈判响应文件。</w:t>
      </w:r>
    </w:p>
    <w:p>
      <w:pPr>
        <w:spacing w:line="360" w:lineRule="auto"/>
        <w:ind w:firstLine="480" w:firstLineChars="200"/>
        <w:rPr>
          <w:rFonts w:ascii="宋体"/>
          <w:color w:val="auto"/>
          <w:kern w:val="0"/>
          <w:sz w:val="24"/>
          <w:highlight w:val="none"/>
        </w:rPr>
      </w:pPr>
      <w:r>
        <w:rPr>
          <w:rFonts w:ascii="宋体"/>
          <w:color w:val="auto"/>
          <w:kern w:val="0"/>
          <w:sz w:val="24"/>
          <w:highlight w:val="none"/>
        </w:rPr>
        <w:t>4</w:t>
      </w:r>
      <w:r>
        <w:rPr>
          <w:rFonts w:hint="eastAsia" w:ascii="宋体"/>
          <w:color w:val="auto"/>
          <w:kern w:val="0"/>
          <w:sz w:val="24"/>
          <w:highlight w:val="none"/>
        </w:rPr>
        <w:t>.成交供应商</w:t>
      </w:r>
      <w:r>
        <w:rPr>
          <w:rFonts w:ascii="宋体"/>
          <w:color w:val="auto"/>
          <w:kern w:val="0"/>
          <w:sz w:val="24"/>
          <w:highlight w:val="none"/>
        </w:rPr>
        <w:t>的</w:t>
      </w:r>
      <w:r>
        <w:rPr>
          <w:rFonts w:hint="eastAsia" w:ascii="宋体"/>
          <w:color w:val="auto"/>
          <w:kern w:val="0"/>
          <w:sz w:val="24"/>
          <w:highlight w:val="none"/>
        </w:rPr>
        <w:t>谈判响应</w:t>
      </w:r>
      <w:r>
        <w:rPr>
          <w:rFonts w:ascii="宋体"/>
          <w:color w:val="auto"/>
          <w:kern w:val="0"/>
          <w:sz w:val="24"/>
          <w:highlight w:val="none"/>
        </w:rPr>
        <w:t>文件自</w:t>
      </w:r>
      <w:r>
        <w:rPr>
          <w:rFonts w:hint="eastAsia" w:ascii="宋体"/>
          <w:color w:val="auto"/>
          <w:kern w:val="0"/>
          <w:sz w:val="24"/>
          <w:highlight w:val="none"/>
        </w:rPr>
        <w:t>谈判</w:t>
      </w:r>
      <w:r>
        <w:rPr>
          <w:rFonts w:ascii="宋体"/>
          <w:color w:val="auto"/>
          <w:kern w:val="0"/>
          <w:sz w:val="24"/>
          <w:highlight w:val="none"/>
        </w:rPr>
        <w:t>之日起至合同履行完毕均应保持有效。</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四、谈判</w:t>
      </w:r>
    </w:p>
    <w:p>
      <w:pPr>
        <w:spacing w:line="360" w:lineRule="auto"/>
        <w:rPr>
          <w:rFonts w:ascii="宋体"/>
          <w:b/>
          <w:color w:val="auto"/>
          <w:kern w:val="0"/>
          <w:sz w:val="24"/>
          <w:highlight w:val="none"/>
        </w:rPr>
      </w:pPr>
      <w:r>
        <w:rPr>
          <w:rFonts w:hint="eastAsia" w:ascii="宋体"/>
          <w:b/>
          <w:color w:val="auto"/>
          <w:kern w:val="0"/>
          <w:sz w:val="24"/>
          <w:highlight w:val="none"/>
        </w:rPr>
        <w:t>（一）谈判程序</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1.采购组织机构在“谈判公告”规定的时间和地点组织谈判，谈判采购会议由采购组织机构工作人员主持，所有供应商均应准时参加谈判采购会议。</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2. 采购组织机构工作人员应当核验出席谈判活动现场的各供应商代表及相关单位人员身份，并组织其分别登记、签到，无关人员可拒绝其进入现场。</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3.采购组织机构工作人员接收谈判响应文件并登记，并由供应商代表对递交记录情况进行签字确认。</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4.主持人宣布谈判采购会议开始，介绍谈判现场的人员情况，宣读提交谈判响应文件的供应商名单、谈判纪律、应当回避的情形等注意事项，组织供应商签署不存在影响公平竞争的《政府采购活动现场确认声明书》。</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5.对所递交投标文件邀请供应商代表查验谈判响应文件密封情况。</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6、主持人按供应商签到的先后顺序当场拆封谈判响应文件，并送至评审室。</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7.谈判小组对符合资格的供应商的谈判响应文件进行符合性审查，以确定其是否满足谈判文件的实质性要求。</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8.谈判小组对响应文件进行评审，并根据谈判文件规定的程序、评定成交的标准等事项与实质性响应谈判文件要求的供应商进行谈判。未实质性响应谈判文件的响应文件按无效处理。</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9.谈判小组所有成员集中与单一供应商分别进行谈判。</w:t>
      </w:r>
      <w:r>
        <w:rPr>
          <w:rFonts w:hint="eastAsia" w:ascii="宋体"/>
          <w:b/>
          <w:bCs/>
          <w:color w:val="auto"/>
          <w:kern w:val="0"/>
          <w:sz w:val="24"/>
          <w:highlight w:val="none"/>
        </w:rPr>
        <w:t>所有参加谈判的供应商共有1轮谈判机会。</w:t>
      </w:r>
      <w:r>
        <w:rPr>
          <w:rFonts w:hint="eastAsia" w:ascii="宋体"/>
          <w:color w:val="auto"/>
          <w:kern w:val="0"/>
          <w:sz w:val="24"/>
          <w:highlight w:val="none"/>
        </w:rPr>
        <w:t>供应商应由法人代表或法人代表授权的人进行。供应商所作的重要答复均应以书面形式，并经法定代表人或授权人签署，作为谈判文件的一部分，对谈判供应商有约束力，但不得对内容进行实质性修改。在谈判中，谈判的任何一方不得透露与谈判有关的其他供应商的技术资料、价格和其他信息。</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10.在谈判过程中，谈判小组可以根据谈判文件和谈判情况实质性变动采购需求中的技术、服务要求以及合同草案条款，但不得变动谈判文件中的其他内容。实质性变动的内容，经采购人代表确认后，将以书面形式通知所有参加谈判的供应商。</w:t>
      </w:r>
    </w:p>
    <w:p>
      <w:pPr>
        <w:spacing w:line="360" w:lineRule="auto"/>
        <w:ind w:firstLine="480" w:firstLineChars="200"/>
        <w:rPr>
          <w:rFonts w:ascii="宋体"/>
          <w:b/>
          <w:bCs/>
          <w:color w:val="auto"/>
          <w:kern w:val="0"/>
          <w:sz w:val="24"/>
          <w:highlight w:val="none"/>
        </w:rPr>
      </w:pPr>
      <w:r>
        <w:rPr>
          <w:rFonts w:hint="eastAsia" w:ascii="宋体"/>
          <w:color w:val="auto"/>
          <w:kern w:val="0"/>
          <w:sz w:val="24"/>
          <w:highlight w:val="none"/>
        </w:rPr>
        <w:t>11.谈判结束后，谈判小组将要求所有继续参加谈判的供应商在规定时间内提交最后报价，超过规定时间提交的报价作无效处理。</w:t>
      </w:r>
      <w:r>
        <w:rPr>
          <w:rFonts w:hint="eastAsia" w:ascii="宋体"/>
          <w:b/>
          <w:bCs/>
          <w:color w:val="auto"/>
          <w:kern w:val="0"/>
          <w:sz w:val="24"/>
          <w:highlight w:val="none"/>
        </w:rPr>
        <w:t>最终报价不能超过首次报价。</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12.谈判小组编写评审报告（评审报告应按相关规定及时向财政部门申请备案）。</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13.采购组织机构对谈判小组专家成员进行评价。</w:t>
      </w:r>
    </w:p>
    <w:p>
      <w:pPr>
        <w:spacing w:line="360" w:lineRule="auto"/>
        <w:ind w:firstLine="480" w:firstLineChars="200"/>
        <w:rPr>
          <w:rFonts w:ascii="宋体"/>
          <w:color w:val="auto"/>
          <w:kern w:val="0"/>
          <w:sz w:val="24"/>
          <w:highlight w:val="none"/>
        </w:rPr>
      </w:pPr>
      <w:r>
        <w:rPr>
          <w:rFonts w:ascii="宋体"/>
          <w:color w:val="auto"/>
          <w:kern w:val="0"/>
          <w:sz w:val="24"/>
          <w:highlight w:val="none"/>
        </w:rPr>
        <w:t>14.宣布谈判结果，谈判采购会议结束。</w:t>
      </w:r>
    </w:p>
    <w:p>
      <w:pPr>
        <w:spacing w:line="360" w:lineRule="auto"/>
        <w:rPr>
          <w:rFonts w:ascii="宋体"/>
          <w:b/>
          <w:color w:val="auto"/>
          <w:kern w:val="0"/>
          <w:sz w:val="24"/>
          <w:highlight w:val="none"/>
        </w:rPr>
      </w:pPr>
      <w:r>
        <w:rPr>
          <w:rFonts w:hint="eastAsia" w:ascii="宋体"/>
          <w:b/>
          <w:color w:val="auto"/>
          <w:kern w:val="0"/>
          <w:sz w:val="24"/>
          <w:highlight w:val="none"/>
        </w:rPr>
        <w:t>（二）澄清问题的形式</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谈判人的澄清、说明或者补正应当采用书面形式，并加盖公章，或者由法定代理人或其授权的代表签字，并不得超出谈判响应文件的范围或者改变谈判响应文件的实质性内容。</w:t>
      </w:r>
    </w:p>
    <w:p>
      <w:pPr>
        <w:spacing w:line="360" w:lineRule="auto"/>
        <w:rPr>
          <w:rFonts w:ascii="宋体"/>
          <w:b/>
          <w:color w:val="auto"/>
          <w:kern w:val="0"/>
          <w:sz w:val="24"/>
          <w:highlight w:val="none"/>
        </w:rPr>
      </w:pPr>
      <w:r>
        <w:rPr>
          <w:rFonts w:hint="eastAsia" w:ascii="宋体"/>
          <w:b/>
          <w:color w:val="auto"/>
          <w:kern w:val="0"/>
          <w:sz w:val="24"/>
          <w:highlight w:val="none"/>
        </w:rPr>
        <w:t>（三）错误修正</w:t>
      </w:r>
    </w:p>
    <w:p>
      <w:pPr>
        <w:spacing w:line="360" w:lineRule="auto"/>
        <w:ind w:firstLine="480" w:firstLineChars="200"/>
        <w:rPr>
          <w:rFonts w:ascii="宋体"/>
          <w:color w:val="auto"/>
          <w:kern w:val="0"/>
          <w:sz w:val="24"/>
          <w:highlight w:val="none"/>
        </w:rPr>
      </w:pPr>
      <w:r>
        <w:rPr>
          <w:rFonts w:ascii="宋体"/>
          <w:color w:val="auto"/>
          <w:kern w:val="0"/>
          <w:sz w:val="24"/>
          <w:highlight w:val="none"/>
        </w:rPr>
        <w:t>谈判响应文件报价出现前后不一致的，除谈判采购文件另有规定外，按照下列规定修正：</w:t>
      </w:r>
    </w:p>
    <w:p>
      <w:pPr>
        <w:spacing w:line="360" w:lineRule="auto"/>
        <w:ind w:firstLine="480" w:firstLineChars="200"/>
        <w:rPr>
          <w:rFonts w:ascii="宋体"/>
          <w:color w:val="auto"/>
          <w:kern w:val="0"/>
          <w:sz w:val="24"/>
          <w:highlight w:val="none"/>
        </w:rPr>
      </w:pPr>
      <w:r>
        <w:rPr>
          <w:rFonts w:ascii="宋体"/>
          <w:color w:val="auto"/>
          <w:kern w:val="0"/>
          <w:sz w:val="24"/>
          <w:highlight w:val="none"/>
        </w:rPr>
        <w:t>1.谈判响应文件中首次报价一览表内容与谈判响应文件中相应内容不一致的，以首次报价一览表为准；</w:t>
      </w:r>
    </w:p>
    <w:p>
      <w:pPr>
        <w:spacing w:line="360" w:lineRule="auto"/>
        <w:ind w:firstLine="480" w:firstLineChars="200"/>
        <w:rPr>
          <w:rFonts w:ascii="宋体"/>
          <w:color w:val="auto"/>
          <w:kern w:val="0"/>
          <w:sz w:val="24"/>
          <w:highlight w:val="none"/>
        </w:rPr>
      </w:pPr>
      <w:r>
        <w:rPr>
          <w:rFonts w:ascii="宋体"/>
          <w:color w:val="auto"/>
          <w:kern w:val="0"/>
          <w:sz w:val="24"/>
          <w:highlight w:val="none"/>
        </w:rPr>
        <w:t>2.大写金额和小写金额不一致的，以大写金额为准；</w:t>
      </w:r>
    </w:p>
    <w:p>
      <w:pPr>
        <w:spacing w:line="360" w:lineRule="auto"/>
        <w:ind w:firstLine="480" w:firstLineChars="200"/>
        <w:rPr>
          <w:rFonts w:ascii="宋体"/>
          <w:color w:val="auto"/>
          <w:kern w:val="0"/>
          <w:sz w:val="24"/>
          <w:highlight w:val="none"/>
        </w:rPr>
      </w:pPr>
      <w:r>
        <w:rPr>
          <w:rFonts w:ascii="宋体"/>
          <w:color w:val="auto"/>
          <w:kern w:val="0"/>
          <w:sz w:val="24"/>
          <w:highlight w:val="none"/>
        </w:rPr>
        <w:t>3.单价金额小数点或者百分比有明显错位的，以首次报价一览表的总价为准，并修改单价；</w:t>
      </w:r>
    </w:p>
    <w:p>
      <w:pPr>
        <w:spacing w:line="360" w:lineRule="auto"/>
        <w:ind w:firstLine="480" w:firstLineChars="200"/>
        <w:rPr>
          <w:rFonts w:ascii="宋体"/>
          <w:color w:val="auto"/>
          <w:kern w:val="0"/>
          <w:sz w:val="24"/>
          <w:highlight w:val="none"/>
        </w:rPr>
      </w:pPr>
      <w:r>
        <w:rPr>
          <w:rFonts w:ascii="宋体"/>
          <w:color w:val="auto"/>
          <w:kern w:val="0"/>
          <w:sz w:val="24"/>
          <w:highlight w:val="none"/>
        </w:rPr>
        <w:t>4.总价金额与按单价汇总金额不一致的，以单价金额计算结果为准。</w:t>
      </w:r>
    </w:p>
    <w:p>
      <w:pPr>
        <w:spacing w:line="360" w:lineRule="auto"/>
        <w:ind w:firstLine="480" w:firstLineChars="200"/>
        <w:rPr>
          <w:rFonts w:ascii="宋体"/>
          <w:color w:val="auto"/>
          <w:kern w:val="0"/>
          <w:sz w:val="24"/>
          <w:highlight w:val="none"/>
        </w:rPr>
      </w:pPr>
      <w:r>
        <w:rPr>
          <w:rFonts w:ascii="宋体"/>
          <w:color w:val="auto"/>
          <w:kern w:val="0"/>
          <w:sz w:val="24"/>
          <w:highlight w:val="none"/>
        </w:rPr>
        <w:t>同时出现两种以上不一致的，按照前款规定的顺序修正。修正应当采用书面形式，并加盖公章，或者由法定代表人或其授权的代表签字。修正后的报价经谈判人确认后产生约束力，谈判人不确认的，将终止谈判。</w:t>
      </w:r>
    </w:p>
    <w:p>
      <w:pPr>
        <w:spacing w:line="360" w:lineRule="auto"/>
        <w:rPr>
          <w:rFonts w:asciiTheme="minorEastAsia" w:hAnsiTheme="minorEastAsia" w:eastAsiaTheme="minorEastAsia"/>
          <w:b/>
          <w:color w:val="auto"/>
          <w:highlight w:val="none"/>
        </w:rPr>
      </w:pPr>
      <w:r>
        <w:rPr>
          <w:rFonts w:ascii="宋体"/>
          <w:b/>
          <w:color w:val="auto"/>
          <w:kern w:val="0"/>
          <w:sz w:val="24"/>
          <w:highlight w:val="none"/>
        </w:rPr>
        <w:t>（四）供应商存在下列情况之一的，响应无效，终止谈判</w:t>
      </w:r>
    </w:p>
    <w:p>
      <w:pPr>
        <w:spacing w:line="360" w:lineRule="auto"/>
        <w:ind w:firstLine="480" w:firstLineChars="200"/>
        <w:rPr>
          <w:rFonts w:ascii="宋体"/>
          <w:color w:val="auto"/>
          <w:kern w:val="0"/>
          <w:sz w:val="24"/>
          <w:highlight w:val="none"/>
        </w:rPr>
      </w:pPr>
      <w:r>
        <w:rPr>
          <w:rFonts w:ascii="宋体"/>
          <w:color w:val="auto"/>
          <w:kern w:val="0"/>
          <w:sz w:val="24"/>
          <w:highlight w:val="none"/>
        </w:rPr>
        <w:t>1.谈判响应文件中报价的货物跟商务与技术内容中的供应货物出现重大偏差的；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2.不具备谈判文件中规定的资格要求的。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3.谈判响应文件含有采购人不能接受的附加条件的。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4</w:t>
      </w:r>
      <w:r>
        <w:rPr>
          <w:rFonts w:hint="eastAsia" w:ascii="宋体"/>
          <w:color w:val="auto"/>
          <w:kern w:val="0"/>
          <w:sz w:val="24"/>
          <w:highlight w:val="none"/>
        </w:rPr>
        <w:t>.谈判代表人未能出具身份证明或与法定代表人授权委托人身份不符的；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5.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与其终止谈判。</w:t>
      </w:r>
    </w:p>
    <w:p>
      <w:pPr>
        <w:spacing w:line="360" w:lineRule="auto"/>
        <w:ind w:firstLine="480" w:firstLineChars="200"/>
        <w:rPr>
          <w:rFonts w:ascii="宋体"/>
          <w:color w:val="auto"/>
          <w:kern w:val="0"/>
          <w:sz w:val="24"/>
          <w:highlight w:val="none"/>
        </w:rPr>
      </w:pPr>
      <w:r>
        <w:rPr>
          <w:rFonts w:ascii="宋体"/>
          <w:color w:val="auto"/>
          <w:kern w:val="0"/>
          <w:sz w:val="24"/>
          <w:highlight w:val="none"/>
        </w:rPr>
        <w:t xml:space="preserve">6.报价超过谈判文件中规定的预算金额/最高限价。 </w:t>
      </w:r>
    </w:p>
    <w:p>
      <w:pPr>
        <w:spacing w:line="360" w:lineRule="auto"/>
        <w:ind w:firstLine="480" w:firstLineChars="200"/>
        <w:rPr>
          <w:rFonts w:ascii="宋体"/>
          <w:color w:val="auto"/>
          <w:kern w:val="0"/>
          <w:sz w:val="24"/>
          <w:highlight w:val="none"/>
        </w:rPr>
      </w:pPr>
      <w:r>
        <w:rPr>
          <w:rFonts w:ascii="宋体"/>
          <w:color w:val="auto"/>
          <w:kern w:val="0"/>
          <w:sz w:val="24"/>
          <w:highlight w:val="none"/>
        </w:rPr>
        <w:t>7.主要性能参数指标负偏离项（含）以上的。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8</w:t>
      </w:r>
      <w:r>
        <w:rPr>
          <w:rFonts w:hint="eastAsia" w:ascii="宋体"/>
          <w:color w:val="auto"/>
          <w:kern w:val="0"/>
          <w:sz w:val="24"/>
          <w:highlight w:val="none"/>
        </w:rPr>
        <w:t>.谈判响应参数未如实填写，完全复制粘贴采购参数的。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9</w:t>
      </w:r>
      <w:r>
        <w:rPr>
          <w:rFonts w:hint="eastAsia" w:ascii="宋体"/>
          <w:color w:val="auto"/>
          <w:kern w:val="0"/>
          <w:sz w:val="24"/>
          <w:highlight w:val="none"/>
        </w:rPr>
        <w:t xml:space="preserve">.谈判响应文件提供虚假材料的。 </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不同</w:t>
      </w:r>
      <w:r>
        <w:rPr>
          <w:rFonts w:hint="eastAsia" w:ascii="宋体"/>
          <w:color w:val="auto"/>
          <w:kern w:val="0"/>
          <w:sz w:val="24"/>
          <w:highlight w:val="none"/>
        </w:rPr>
        <w:t>供应商</w:t>
      </w:r>
      <w:r>
        <w:rPr>
          <w:rFonts w:ascii="宋体"/>
          <w:color w:val="auto"/>
          <w:kern w:val="0"/>
          <w:sz w:val="24"/>
          <w:highlight w:val="none"/>
        </w:rPr>
        <w:t>的</w:t>
      </w:r>
      <w:r>
        <w:rPr>
          <w:rFonts w:hint="eastAsia" w:ascii="宋体"/>
          <w:color w:val="auto"/>
          <w:kern w:val="0"/>
          <w:sz w:val="24"/>
          <w:highlight w:val="none"/>
        </w:rPr>
        <w:t>谈判响应</w:t>
      </w:r>
      <w:r>
        <w:rPr>
          <w:rFonts w:ascii="宋体"/>
          <w:color w:val="auto"/>
          <w:kern w:val="0"/>
          <w:sz w:val="24"/>
          <w:highlight w:val="none"/>
        </w:rPr>
        <w:t>文件由同一单位或者个人编制；</w:t>
      </w:r>
    </w:p>
    <w:p>
      <w:pPr>
        <w:spacing w:line="360" w:lineRule="auto"/>
        <w:ind w:firstLine="480" w:firstLineChars="200"/>
        <w:rPr>
          <w:rFonts w:ascii="宋体"/>
          <w:color w:val="auto"/>
          <w:kern w:val="0"/>
          <w:sz w:val="24"/>
          <w:highlight w:val="none"/>
        </w:rPr>
      </w:pPr>
      <w:r>
        <w:rPr>
          <w:rFonts w:ascii="宋体"/>
          <w:color w:val="auto"/>
          <w:kern w:val="0"/>
          <w:sz w:val="24"/>
          <w:highlight w:val="none"/>
        </w:rPr>
        <w:t>11.不同供应商委托同一单位或者个人办理谈判事宜；</w:t>
      </w:r>
    </w:p>
    <w:p>
      <w:pPr>
        <w:spacing w:line="360" w:lineRule="auto"/>
        <w:ind w:firstLine="480" w:firstLineChars="200"/>
        <w:rPr>
          <w:rFonts w:ascii="宋体"/>
          <w:color w:val="auto"/>
          <w:kern w:val="0"/>
          <w:sz w:val="24"/>
          <w:highlight w:val="none"/>
        </w:rPr>
      </w:pPr>
      <w:r>
        <w:rPr>
          <w:rFonts w:ascii="宋体"/>
          <w:color w:val="auto"/>
          <w:kern w:val="0"/>
          <w:sz w:val="24"/>
          <w:highlight w:val="none"/>
        </w:rPr>
        <w:t>12.不同供应商的谈判响应文件载明的项目管理成员或者联系人员为同一人；</w:t>
      </w:r>
    </w:p>
    <w:p>
      <w:pPr>
        <w:spacing w:line="360" w:lineRule="auto"/>
        <w:ind w:firstLine="480" w:firstLineChars="200"/>
        <w:rPr>
          <w:rFonts w:ascii="宋体"/>
          <w:color w:val="auto"/>
          <w:kern w:val="0"/>
          <w:sz w:val="24"/>
          <w:highlight w:val="none"/>
        </w:rPr>
      </w:pPr>
      <w:r>
        <w:rPr>
          <w:rFonts w:ascii="宋体"/>
          <w:color w:val="auto"/>
          <w:kern w:val="0"/>
          <w:sz w:val="24"/>
          <w:highlight w:val="none"/>
        </w:rPr>
        <w:t>13.不同供应商的谈判响应文件异常一致或者报价呈规律性差异；</w:t>
      </w:r>
    </w:p>
    <w:p>
      <w:pPr>
        <w:spacing w:line="360" w:lineRule="auto"/>
        <w:ind w:firstLine="480" w:firstLineChars="200"/>
        <w:rPr>
          <w:rFonts w:ascii="宋体"/>
          <w:color w:val="auto"/>
          <w:kern w:val="0"/>
          <w:sz w:val="24"/>
          <w:highlight w:val="none"/>
        </w:rPr>
      </w:pPr>
      <w:r>
        <w:rPr>
          <w:rFonts w:ascii="宋体"/>
          <w:color w:val="auto"/>
          <w:kern w:val="0"/>
          <w:sz w:val="24"/>
          <w:highlight w:val="none"/>
        </w:rPr>
        <w:t>14.不同供应商的谈判响应文件相互混装；</w:t>
      </w:r>
    </w:p>
    <w:p>
      <w:pPr>
        <w:spacing w:line="360" w:lineRule="auto"/>
        <w:ind w:firstLine="480" w:firstLineChars="200"/>
        <w:rPr>
          <w:rFonts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5</w:t>
      </w:r>
      <w:r>
        <w:rPr>
          <w:rFonts w:hint="eastAsia" w:ascii="宋体"/>
          <w:color w:val="auto"/>
          <w:kern w:val="0"/>
          <w:sz w:val="24"/>
          <w:highlight w:val="none"/>
        </w:rPr>
        <w:t>.不符合法律、法规和谈判文件中规定的其他实质性要求的（谈判采购文件中打“▲”内容及被拒绝的条款）。</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（五）有下列情况之一的，本次谈判终止</w:t>
      </w:r>
    </w:p>
    <w:p>
      <w:pPr>
        <w:spacing w:line="360" w:lineRule="auto"/>
        <w:ind w:firstLine="480" w:firstLineChars="200"/>
        <w:rPr>
          <w:rFonts w:ascii="宋体"/>
          <w:color w:val="auto"/>
          <w:kern w:val="0"/>
          <w:sz w:val="24"/>
          <w:highlight w:val="none"/>
        </w:rPr>
      </w:pPr>
      <w:r>
        <w:rPr>
          <w:rFonts w:ascii="宋体"/>
          <w:color w:val="auto"/>
          <w:kern w:val="0"/>
          <w:sz w:val="24"/>
          <w:highlight w:val="none"/>
        </w:rPr>
        <w:t>1.出现影响采购公正的违法、违规行为的；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 xml:space="preserve">2.谈判小组发现谈判文件存在歧义、重大缺陷导致谈判工作无法进行，或者谈判文件内容违反国家有关强制性规定的； </w:t>
      </w:r>
    </w:p>
    <w:p>
      <w:pPr>
        <w:spacing w:line="360" w:lineRule="auto"/>
        <w:ind w:firstLine="480" w:firstLineChars="200"/>
        <w:rPr>
          <w:rFonts w:ascii="宋体"/>
          <w:color w:val="auto"/>
          <w:kern w:val="0"/>
          <w:sz w:val="24"/>
          <w:highlight w:val="none"/>
        </w:rPr>
      </w:pPr>
      <w:r>
        <w:rPr>
          <w:rFonts w:ascii="宋体"/>
          <w:color w:val="auto"/>
          <w:kern w:val="0"/>
          <w:sz w:val="24"/>
          <w:highlight w:val="none"/>
        </w:rPr>
        <w:t>3.因重大变故，采购任务取消的；</w:t>
      </w:r>
    </w:p>
    <w:p>
      <w:pPr>
        <w:spacing w:line="360" w:lineRule="auto"/>
        <w:ind w:firstLine="480" w:firstLineChars="200"/>
        <w:rPr>
          <w:rFonts w:ascii="宋体"/>
          <w:color w:val="auto"/>
          <w:kern w:val="0"/>
          <w:sz w:val="24"/>
          <w:highlight w:val="none"/>
        </w:rPr>
      </w:pPr>
      <w:r>
        <w:rPr>
          <w:rFonts w:ascii="宋体"/>
          <w:color w:val="auto"/>
          <w:kern w:val="0"/>
          <w:sz w:val="24"/>
          <w:highlight w:val="none"/>
        </w:rPr>
        <w:t>4.法律、法规和谈判文件规定的其他导致谈判结果无效的。</w:t>
      </w:r>
    </w:p>
    <w:p>
      <w:pPr>
        <w:spacing w:line="360" w:lineRule="auto"/>
        <w:ind w:firstLine="482" w:firstLineChars="200"/>
        <w:rPr>
          <w:rFonts w:ascii="宋体"/>
          <w:b/>
          <w:color w:val="auto"/>
          <w:kern w:val="0"/>
          <w:sz w:val="24"/>
          <w:highlight w:val="none"/>
        </w:rPr>
      </w:pPr>
      <w:r>
        <w:rPr>
          <w:rFonts w:ascii="宋体"/>
          <w:b/>
          <w:color w:val="auto"/>
          <w:kern w:val="0"/>
          <w:sz w:val="24"/>
          <w:highlight w:val="none"/>
        </w:rPr>
        <w:t>（</w:t>
      </w:r>
      <w:r>
        <w:rPr>
          <w:rFonts w:hint="eastAsia" w:ascii="宋体"/>
          <w:b/>
          <w:color w:val="auto"/>
          <w:kern w:val="0"/>
          <w:sz w:val="24"/>
          <w:highlight w:val="none"/>
        </w:rPr>
        <w:t>六</w:t>
      </w:r>
      <w:r>
        <w:rPr>
          <w:rFonts w:ascii="宋体"/>
          <w:b/>
          <w:color w:val="auto"/>
          <w:kern w:val="0"/>
          <w:sz w:val="24"/>
          <w:highlight w:val="none"/>
        </w:rPr>
        <w:t>）</w:t>
      </w:r>
      <w:r>
        <w:rPr>
          <w:rFonts w:hint="eastAsia" w:ascii="宋体"/>
          <w:b/>
          <w:color w:val="auto"/>
          <w:kern w:val="0"/>
          <w:sz w:val="24"/>
          <w:highlight w:val="none"/>
        </w:rPr>
        <w:t>谈判</w:t>
      </w:r>
      <w:r>
        <w:rPr>
          <w:rFonts w:ascii="宋体"/>
          <w:b/>
          <w:color w:val="auto"/>
          <w:kern w:val="0"/>
          <w:sz w:val="24"/>
          <w:highlight w:val="none"/>
        </w:rPr>
        <w:t>原则和办法</w:t>
      </w:r>
    </w:p>
    <w:p>
      <w:pPr>
        <w:spacing w:line="360" w:lineRule="auto"/>
        <w:ind w:firstLine="480" w:firstLineChars="200"/>
        <w:rPr>
          <w:rFonts w:ascii="宋体"/>
          <w:color w:val="auto"/>
          <w:kern w:val="0"/>
          <w:sz w:val="24"/>
          <w:highlight w:val="none"/>
        </w:rPr>
      </w:pPr>
      <w:r>
        <w:rPr>
          <w:rFonts w:ascii="宋体"/>
          <w:color w:val="auto"/>
          <w:kern w:val="0"/>
          <w:sz w:val="24"/>
          <w:highlight w:val="none"/>
        </w:rPr>
        <w:t>1.</w:t>
      </w:r>
      <w:r>
        <w:rPr>
          <w:rFonts w:hint="eastAsia" w:ascii="宋体"/>
          <w:color w:val="auto"/>
          <w:kern w:val="0"/>
          <w:sz w:val="24"/>
          <w:highlight w:val="none"/>
        </w:rPr>
        <w:t>谈判</w:t>
      </w:r>
      <w:r>
        <w:rPr>
          <w:rFonts w:ascii="宋体"/>
          <w:color w:val="auto"/>
          <w:kern w:val="0"/>
          <w:sz w:val="24"/>
          <w:highlight w:val="none"/>
        </w:rPr>
        <w:t>原则。</w:t>
      </w:r>
      <w:r>
        <w:rPr>
          <w:rFonts w:hint="eastAsia" w:ascii="宋体"/>
          <w:color w:val="auto"/>
          <w:kern w:val="0"/>
          <w:sz w:val="24"/>
          <w:highlight w:val="none"/>
        </w:rPr>
        <w:t>谈判小组</w:t>
      </w:r>
      <w:r>
        <w:rPr>
          <w:rFonts w:ascii="宋体"/>
          <w:color w:val="auto"/>
          <w:kern w:val="0"/>
          <w:sz w:val="24"/>
          <w:highlight w:val="none"/>
        </w:rPr>
        <w:t>必须公平、公正、客观，不带任何倾向性和启发性；不得向外界透露任何与</w:t>
      </w:r>
      <w:r>
        <w:rPr>
          <w:rFonts w:hint="eastAsia" w:ascii="宋体"/>
          <w:color w:val="auto"/>
          <w:kern w:val="0"/>
          <w:sz w:val="24"/>
          <w:highlight w:val="none"/>
        </w:rPr>
        <w:t>评审</w:t>
      </w:r>
      <w:r>
        <w:rPr>
          <w:rFonts w:ascii="宋体"/>
          <w:color w:val="auto"/>
          <w:kern w:val="0"/>
          <w:sz w:val="24"/>
          <w:highlight w:val="none"/>
        </w:rPr>
        <w:t>有关的内容；任何单位和个人不得干扰、影响</w:t>
      </w:r>
      <w:r>
        <w:rPr>
          <w:rFonts w:hint="eastAsia" w:ascii="宋体"/>
          <w:color w:val="auto"/>
          <w:kern w:val="0"/>
          <w:sz w:val="24"/>
          <w:highlight w:val="none"/>
        </w:rPr>
        <w:t>评审</w:t>
      </w:r>
      <w:r>
        <w:rPr>
          <w:rFonts w:ascii="宋体"/>
          <w:color w:val="auto"/>
          <w:kern w:val="0"/>
          <w:sz w:val="24"/>
          <w:highlight w:val="none"/>
        </w:rPr>
        <w:t>的正常进行；</w:t>
      </w:r>
      <w:r>
        <w:rPr>
          <w:rFonts w:hint="eastAsia" w:ascii="宋体"/>
          <w:color w:val="auto"/>
          <w:kern w:val="0"/>
          <w:sz w:val="24"/>
          <w:highlight w:val="none"/>
        </w:rPr>
        <w:t>评审</w:t>
      </w:r>
      <w:r>
        <w:rPr>
          <w:rFonts w:ascii="宋体"/>
          <w:color w:val="auto"/>
          <w:kern w:val="0"/>
          <w:sz w:val="24"/>
          <w:highlight w:val="none"/>
        </w:rPr>
        <w:t>委员会及有关工作人员不得私下与</w:t>
      </w:r>
      <w:r>
        <w:rPr>
          <w:rFonts w:hint="eastAsia" w:ascii="宋体"/>
          <w:color w:val="auto"/>
          <w:kern w:val="0"/>
          <w:sz w:val="24"/>
          <w:highlight w:val="none"/>
        </w:rPr>
        <w:t>供应商</w:t>
      </w:r>
      <w:r>
        <w:rPr>
          <w:rFonts w:ascii="宋体"/>
          <w:color w:val="auto"/>
          <w:kern w:val="0"/>
          <w:sz w:val="24"/>
          <w:highlight w:val="none"/>
        </w:rPr>
        <w:t>接触。</w:t>
      </w:r>
    </w:p>
    <w:p>
      <w:pPr>
        <w:spacing w:line="360" w:lineRule="auto"/>
        <w:ind w:firstLine="480" w:firstLineChars="200"/>
        <w:rPr>
          <w:rFonts w:ascii="宋体"/>
          <w:color w:val="auto"/>
          <w:kern w:val="0"/>
          <w:sz w:val="24"/>
          <w:highlight w:val="none"/>
        </w:rPr>
      </w:pPr>
      <w:r>
        <w:rPr>
          <w:rFonts w:ascii="宋体"/>
          <w:color w:val="auto"/>
          <w:kern w:val="0"/>
          <w:sz w:val="24"/>
          <w:highlight w:val="none"/>
        </w:rPr>
        <w:t>2.</w:t>
      </w:r>
      <w:r>
        <w:rPr>
          <w:rFonts w:hint="eastAsia" w:ascii="宋体"/>
          <w:color w:val="auto"/>
          <w:kern w:val="0"/>
          <w:sz w:val="24"/>
          <w:highlight w:val="none"/>
        </w:rPr>
        <w:t>谈判</w:t>
      </w:r>
      <w:r>
        <w:rPr>
          <w:rFonts w:ascii="宋体"/>
          <w:color w:val="auto"/>
          <w:kern w:val="0"/>
          <w:sz w:val="24"/>
          <w:highlight w:val="none"/>
        </w:rPr>
        <w:t>办法</w:t>
      </w:r>
      <w:r>
        <w:rPr>
          <w:rFonts w:hint="eastAsia" w:ascii="宋体"/>
          <w:color w:val="auto"/>
          <w:kern w:val="0"/>
          <w:sz w:val="24"/>
          <w:highlight w:val="none"/>
        </w:rPr>
        <w:t>：（1）谈判</w:t>
      </w:r>
      <w:r>
        <w:rPr>
          <w:rFonts w:ascii="宋体"/>
          <w:color w:val="auto"/>
          <w:kern w:val="0"/>
          <w:sz w:val="24"/>
          <w:highlight w:val="none"/>
        </w:rPr>
        <w:t>小组应当从质量和服务均能满足</w:t>
      </w:r>
      <w:r>
        <w:rPr>
          <w:rFonts w:hint="eastAsia" w:ascii="宋体"/>
          <w:color w:val="auto"/>
          <w:kern w:val="0"/>
          <w:sz w:val="24"/>
          <w:highlight w:val="none"/>
        </w:rPr>
        <w:t>谈判</w:t>
      </w:r>
      <w:r>
        <w:rPr>
          <w:rFonts w:ascii="宋体"/>
          <w:color w:val="auto"/>
          <w:kern w:val="0"/>
          <w:sz w:val="24"/>
          <w:highlight w:val="none"/>
        </w:rPr>
        <w:t>文件实质性响应要求的供应商中，按照报价由低到高的顺序确定成交候选人。（2）如遇相同最低报价，取交货期</w:t>
      </w:r>
      <w:r>
        <w:rPr>
          <w:rFonts w:hint="eastAsia" w:ascii="宋体"/>
          <w:color w:val="auto"/>
          <w:kern w:val="0"/>
          <w:sz w:val="24"/>
          <w:highlight w:val="none"/>
        </w:rPr>
        <w:t>（或服务期）</w:t>
      </w:r>
      <w:r>
        <w:rPr>
          <w:rFonts w:ascii="宋体"/>
          <w:color w:val="auto"/>
          <w:kern w:val="0"/>
          <w:sz w:val="24"/>
          <w:highlight w:val="none"/>
        </w:rPr>
        <w:t>短者为成交单位；如两者均相同，则在相同最低报价中重新报价，直至产生最低报价者为成交单位。</w:t>
      </w:r>
    </w:p>
    <w:p>
      <w:pPr>
        <w:spacing w:line="360" w:lineRule="auto"/>
        <w:ind w:firstLine="482" w:firstLineChars="200"/>
        <w:rPr>
          <w:rFonts w:ascii="宋体"/>
          <w:b/>
          <w:color w:val="auto"/>
          <w:kern w:val="0"/>
          <w:sz w:val="24"/>
          <w:highlight w:val="none"/>
        </w:rPr>
      </w:pPr>
      <w:r>
        <w:rPr>
          <w:rFonts w:ascii="宋体"/>
          <w:b/>
          <w:color w:val="auto"/>
          <w:kern w:val="0"/>
          <w:sz w:val="24"/>
          <w:highlight w:val="none"/>
        </w:rPr>
        <w:t>（</w:t>
      </w:r>
      <w:r>
        <w:rPr>
          <w:rFonts w:hint="eastAsia" w:ascii="宋体"/>
          <w:b/>
          <w:color w:val="auto"/>
          <w:kern w:val="0"/>
          <w:sz w:val="24"/>
          <w:highlight w:val="none"/>
        </w:rPr>
        <w:t>七</w:t>
      </w:r>
      <w:r>
        <w:rPr>
          <w:rFonts w:ascii="宋体"/>
          <w:b/>
          <w:color w:val="auto"/>
          <w:kern w:val="0"/>
          <w:sz w:val="24"/>
          <w:highlight w:val="none"/>
        </w:rPr>
        <w:t>）</w:t>
      </w:r>
      <w:r>
        <w:rPr>
          <w:rFonts w:hint="eastAsia" w:ascii="宋体"/>
          <w:b/>
          <w:color w:val="auto"/>
          <w:kern w:val="0"/>
          <w:sz w:val="24"/>
          <w:highlight w:val="none"/>
        </w:rPr>
        <w:t>评审</w:t>
      </w:r>
      <w:r>
        <w:rPr>
          <w:rFonts w:ascii="宋体"/>
          <w:b/>
          <w:color w:val="auto"/>
          <w:kern w:val="0"/>
          <w:sz w:val="24"/>
          <w:highlight w:val="none"/>
        </w:rPr>
        <w:t>过程的监控</w:t>
      </w:r>
    </w:p>
    <w:p>
      <w:pPr>
        <w:pStyle w:val="18"/>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本项目</w:t>
      </w:r>
      <w:r>
        <w:rPr>
          <w:color w:val="auto"/>
          <w:highlight w:val="none"/>
        </w:rPr>
        <w:t>评审</w:t>
      </w:r>
      <w:r>
        <w:rPr>
          <w:rFonts w:asciiTheme="minorEastAsia" w:hAnsiTheme="minorEastAsia" w:eastAsiaTheme="minorEastAsia"/>
          <w:color w:val="auto"/>
          <w:highlight w:val="none"/>
        </w:rPr>
        <w:t>过程实行全程录音、录像监控，政府采购监管部门视情进行现场监督，供应商在</w:t>
      </w:r>
      <w:r>
        <w:rPr>
          <w:color w:val="auto"/>
          <w:highlight w:val="none"/>
        </w:rPr>
        <w:t>评审</w:t>
      </w:r>
      <w:r>
        <w:rPr>
          <w:rFonts w:asciiTheme="minorEastAsia" w:hAnsiTheme="minorEastAsia" w:eastAsiaTheme="minorEastAsia"/>
          <w:color w:val="auto"/>
          <w:highlight w:val="none"/>
        </w:rPr>
        <w:t>过程中所进行的试图影响</w:t>
      </w:r>
      <w:r>
        <w:rPr>
          <w:color w:val="auto"/>
          <w:highlight w:val="none"/>
        </w:rPr>
        <w:t>评审</w:t>
      </w:r>
      <w:r>
        <w:rPr>
          <w:rFonts w:asciiTheme="minorEastAsia" w:hAnsiTheme="minorEastAsia" w:eastAsiaTheme="minorEastAsia"/>
          <w:color w:val="auto"/>
          <w:highlight w:val="none"/>
        </w:rPr>
        <w:t>结果的不公正活动，可能导致其谈判响应被拒绝。</w:t>
      </w:r>
    </w:p>
    <w:p>
      <w:pPr>
        <w:pStyle w:val="4"/>
        <w:spacing w:before="0" w:after="0" w:line="360" w:lineRule="auto"/>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五、谈判结果确定</w:t>
      </w:r>
    </w:p>
    <w:p>
      <w:pPr>
        <w:pStyle w:val="18"/>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hint="default"/>
          <w:color w:val="auto"/>
          <w:highlight w:val="none"/>
        </w:rPr>
        <w:t>1</w:t>
      </w:r>
      <w:r>
        <w:rPr>
          <w:rFonts w:hAnsi="Times New Roman"/>
          <w:color w:val="auto"/>
          <w:highlight w:val="none"/>
        </w:rPr>
        <w:t>.</w:t>
      </w:r>
      <w:r>
        <w:rPr>
          <w:rFonts w:asciiTheme="minorEastAsia" w:hAnsiTheme="minorEastAsia" w:eastAsiaTheme="minorEastAsia"/>
          <w:color w:val="auto"/>
          <w:highlight w:val="none"/>
        </w:rPr>
        <w:t>确定成交供应商。谈判小组根据采购人的《授权意见确认书》，推荐成交候选供应商或直接确定成交供应商。其中推荐成交候选供应商的，采购组织机构在谈判结束之日起2个工作日内将评审报告送交采购人，采购人自收到评审报告之日起5个工作日内在评审报告推荐的成交候选人中按顺序确定成交供应商。</w:t>
      </w:r>
    </w:p>
    <w:p>
      <w:pPr>
        <w:pStyle w:val="18"/>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color w:val="auto"/>
          <w:highlight w:val="none"/>
        </w:rPr>
        <w:t>2</w:t>
      </w:r>
      <w:r>
        <w:rPr>
          <w:rFonts w:hAnsi="Times New Roman"/>
          <w:color w:val="auto"/>
          <w:highlight w:val="none"/>
        </w:rPr>
        <w:t>.</w:t>
      </w:r>
      <w:r>
        <w:rPr>
          <w:rFonts w:asciiTheme="minorEastAsia" w:hAnsiTheme="minorEastAsia" w:eastAsiaTheme="minorEastAsia"/>
          <w:color w:val="auto"/>
          <w:highlight w:val="none"/>
        </w:rPr>
        <w:t>发布成交结果公告。采购组织机构应当在成交供应商确定后2个工作日内，在省级以上财政部门指定的政府采购信息发布媒体及相关网站上公告成交结果，并将谈判文件随同公告。</w:t>
      </w:r>
    </w:p>
    <w:p>
      <w:pPr>
        <w:pStyle w:val="18"/>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hint="default"/>
          <w:color w:val="auto"/>
          <w:highlight w:val="none"/>
        </w:rPr>
        <w:t>3</w:t>
      </w:r>
      <w:r>
        <w:rPr>
          <w:rFonts w:hAnsi="Times New Roman"/>
          <w:color w:val="auto"/>
          <w:highlight w:val="none"/>
        </w:rPr>
        <w:t>.</w:t>
      </w:r>
      <w:r>
        <w:rPr>
          <w:rFonts w:asciiTheme="minorEastAsia" w:hAnsiTheme="minorEastAsia" w:eastAsiaTheme="minorEastAsia"/>
          <w:color w:val="auto"/>
          <w:highlight w:val="none"/>
        </w:rPr>
        <w:t>发出成交通知书。采购组织机构在发布成交结果同时，向成交供应商发出成交通知书。</w:t>
      </w:r>
    </w:p>
    <w:p>
      <w:pPr>
        <w:pStyle w:val="4"/>
        <w:spacing w:before="0" w:after="0" w:line="360" w:lineRule="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六、合同签订及公告</w:t>
      </w:r>
    </w:p>
    <w:p>
      <w:pPr>
        <w:spacing w:line="360" w:lineRule="auto"/>
        <w:ind w:firstLine="482" w:firstLineChars="200"/>
        <w:rPr>
          <w:rFonts w:ascii="宋体"/>
          <w:b/>
          <w:color w:val="auto"/>
          <w:kern w:val="0"/>
          <w:sz w:val="24"/>
          <w:highlight w:val="none"/>
        </w:rPr>
      </w:pPr>
      <w:r>
        <w:rPr>
          <w:rFonts w:hint="eastAsia" w:ascii="宋体"/>
          <w:b/>
          <w:color w:val="auto"/>
          <w:kern w:val="0"/>
          <w:sz w:val="24"/>
          <w:highlight w:val="none"/>
        </w:rPr>
        <w:t>（一）签订合同</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1</w:t>
      </w:r>
      <w:r>
        <w:rPr>
          <w:rFonts w:hAnsi="Times New Roman"/>
          <w:color w:val="auto"/>
          <w:highlight w:val="none"/>
        </w:rPr>
        <w:t>.</w:t>
      </w:r>
      <w:r>
        <w:rPr>
          <w:color w:val="auto"/>
          <w:highlight w:val="none"/>
        </w:rPr>
        <w:t>采购人应当自成交通知书发出之日起10个工作日内，按照谈判采购文件确定的合同文本以及采购标的、规格型号、采购金额、采购数量和服务要求等事项签订政府采购合同。</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2</w:t>
      </w:r>
      <w:r>
        <w:rPr>
          <w:rFonts w:hAnsi="Times New Roman"/>
          <w:color w:val="auto"/>
          <w:highlight w:val="none"/>
        </w:rPr>
        <w:t>.</w:t>
      </w:r>
      <w:r>
        <w:rPr>
          <w:color w:val="auto"/>
          <w:highlight w:val="none"/>
        </w:rPr>
        <w:t>采购人不得向成交供应商提出超出谈判文件以外的任何要求作为签订合同的条件，不得与成交供应商订立背离谈判文件确定的合同文本以及采购标的、规格型号、采购金额、采购数量和服务要求等实质性内容的协议。</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3</w:t>
      </w:r>
      <w:r>
        <w:rPr>
          <w:rFonts w:hAnsi="Times New Roman"/>
          <w:color w:val="auto"/>
          <w:highlight w:val="none"/>
        </w:rPr>
        <w:t>.</w:t>
      </w:r>
      <w:r>
        <w:rPr>
          <w:color w:val="auto"/>
          <w:highlight w:val="none"/>
        </w:rPr>
        <w:t>成交供应商无故拖延、拒签合同的,将取消成交资格。</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4</w:t>
      </w:r>
      <w:r>
        <w:rPr>
          <w:rFonts w:hAnsi="Times New Roman"/>
          <w:color w:val="auto"/>
          <w:highlight w:val="none"/>
        </w:rPr>
        <w:t>.</w:t>
      </w:r>
      <w:r>
        <w:rPr>
          <w:color w:val="auto"/>
          <w:highlight w:val="none"/>
        </w:rPr>
        <w:t>成交供应商拒绝与采购人签订合同的，采购人可以按照评审报告推荐的成交候选供应商名单排序，确定下一候选供应商为成交供应商，也可以重新开展政府采购活动。同时，拒绝与采购人签订合同的供应商，由同级财政部门依法作出处理。</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5</w:t>
      </w:r>
      <w:r>
        <w:rPr>
          <w:rFonts w:hAnsi="Times New Roman"/>
          <w:color w:val="auto"/>
          <w:highlight w:val="none"/>
        </w:rPr>
        <w:t>.</w:t>
      </w:r>
      <w:r>
        <w:rPr>
          <w:color w:val="auto"/>
          <w:highlight w:val="none"/>
        </w:rPr>
        <w:t>询问或者质疑事项可能影响成交结果的，采购人应当暂停签订合同，已经签订合同的，应当中止履行合同（成交结果的质疑期为成交结果公告期限届满之日起七个工作日）。</w:t>
      </w:r>
    </w:p>
    <w:p>
      <w:pPr>
        <w:spacing w:line="360" w:lineRule="auto"/>
        <w:ind w:firstLine="482" w:firstLineChars="200"/>
        <w:rPr>
          <w:rFonts w:ascii="宋体"/>
          <w:b/>
          <w:color w:val="auto"/>
          <w:kern w:val="0"/>
          <w:sz w:val="24"/>
          <w:highlight w:val="none"/>
        </w:rPr>
      </w:pPr>
      <w:r>
        <w:rPr>
          <w:rFonts w:ascii="宋体"/>
          <w:b/>
          <w:color w:val="auto"/>
          <w:kern w:val="0"/>
          <w:sz w:val="24"/>
          <w:highlight w:val="none"/>
        </w:rPr>
        <w:t>（二）合同公告及备案</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1</w:t>
      </w:r>
      <w:r>
        <w:rPr>
          <w:rFonts w:hAnsi="Times New Roman"/>
          <w:color w:val="auto"/>
          <w:highlight w:val="none"/>
        </w:rPr>
        <w:t>.</w:t>
      </w:r>
      <w:r>
        <w:rPr>
          <w:color w:val="auto"/>
          <w:highlight w:val="none"/>
        </w:rPr>
        <w:t>采购人应当自政府采购合同签订之日起2个工作日内，在省级以上财政部门指定的政府采购信息发布媒体及相关网站上公告。</w:t>
      </w:r>
    </w:p>
    <w:p>
      <w:pPr>
        <w:pStyle w:val="18"/>
        <w:spacing w:before="0" w:beforeAutospacing="0" w:after="0" w:afterAutospacing="0" w:line="360" w:lineRule="auto"/>
        <w:ind w:firstLine="480" w:firstLineChars="200"/>
        <w:jc w:val="both"/>
        <w:rPr>
          <w:rFonts w:hint="default"/>
          <w:color w:val="auto"/>
          <w:highlight w:val="none"/>
        </w:rPr>
      </w:pPr>
      <w:r>
        <w:rPr>
          <w:rFonts w:hint="default"/>
          <w:color w:val="auto"/>
          <w:highlight w:val="none"/>
        </w:rPr>
        <w:t>2</w:t>
      </w:r>
      <w:r>
        <w:rPr>
          <w:rFonts w:hAnsi="Times New Roman"/>
          <w:color w:val="auto"/>
          <w:highlight w:val="none"/>
        </w:rPr>
        <w:t>.</w:t>
      </w:r>
      <w:r>
        <w:rPr>
          <w:color w:val="auto"/>
          <w:highlight w:val="none"/>
        </w:rPr>
        <w:t>采购人应当自政府采购合同签订之日起7个工作日内，将政府采购合同副本报同级人民政府财政部门备案以及采购组织机构存档。</w:t>
      </w:r>
    </w:p>
    <w:p>
      <w:pPr>
        <w:snapToGrid w:val="0"/>
        <w:spacing w:before="156" w:beforeLines="50" w:after="156" w:afterLines="50" w:line="360" w:lineRule="auto"/>
        <w:jc w:val="center"/>
        <w:rPr>
          <w:rFonts w:asciiTheme="majorEastAsia" w:hAnsiTheme="majorEastAsia" w:eastAsiaTheme="majorEastAsia"/>
          <w:b/>
          <w:bCs/>
          <w:color w:val="auto"/>
          <w:sz w:val="36"/>
          <w:szCs w:val="36"/>
          <w:highlight w:val="none"/>
        </w:rPr>
      </w:pPr>
      <w:r>
        <w:rPr>
          <w:rFonts w:hint="eastAsia" w:asciiTheme="majorEastAsia" w:hAnsiTheme="majorEastAsia" w:eastAsiaTheme="majorEastAsia"/>
          <w:b/>
          <w:bCs/>
          <w:color w:val="auto"/>
          <w:sz w:val="24"/>
          <w:highlight w:val="none"/>
        </w:rPr>
        <w:br w:type="page"/>
      </w:r>
    </w:p>
    <w:p>
      <w:pPr>
        <w:pStyle w:val="19"/>
        <w:numPr>
          <w:ilvl w:val="0"/>
          <w:numId w:val="2"/>
        </w:numPr>
        <w:rPr>
          <w:color w:val="auto"/>
          <w:highlight w:val="none"/>
        </w:rPr>
      </w:pPr>
      <w:r>
        <w:rPr>
          <w:rFonts w:hint="eastAsia"/>
          <w:color w:val="auto"/>
          <w:highlight w:val="none"/>
        </w:rPr>
        <w:t>谈判需求</w:t>
      </w:r>
    </w:p>
    <w:p>
      <w:pPr>
        <w:numPr>
          <w:ilvl w:val="0"/>
          <w:numId w:val="3"/>
        </w:numPr>
        <w:tabs>
          <w:tab w:val="left" w:pos="945"/>
          <w:tab w:val="left" w:pos="1575"/>
          <w:tab w:val="left" w:pos="8820"/>
        </w:tabs>
        <w:autoSpaceDE w:val="0"/>
        <w:autoSpaceDN w:val="0"/>
        <w:adjustRightInd w:val="0"/>
        <w:spacing w:before="100" w:line="360" w:lineRule="auto"/>
        <w:ind w:right="44" w:firstLine="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eastAsia="zh-CN"/>
        </w:rPr>
        <w:t>谈判需求一览表</w:t>
      </w:r>
    </w:p>
    <w:tbl>
      <w:tblPr>
        <w:tblStyle w:val="22"/>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1933"/>
        <w:gridCol w:w="531"/>
        <w:gridCol w:w="531"/>
        <w:gridCol w:w="1295"/>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08"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418" w:type="dxa"/>
            <w:vAlign w:val="center"/>
          </w:tcPr>
          <w:p>
            <w:pPr>
              <w:tabs>
                <w:tab w:val="left" w:pos="8280"/>
              </w:tabs>
              <w:autoSpaceDE w:val="0"/>
              <w:autoSpaceDN w:val="0"/>
              <w:adjustRightInd w:val="0"/>
              <w:ind w:right="25" w:firstLine="120" w:firstLineChars="5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1933"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宋体" w:hAnsi="宋体" w:cs="宋体"/>
                <w:b/>
                <w:color w:val="auto"/>
                <w:kern w:val="0"/>
                <w:sz w:val="24"/>
                <w:highlight w:val="none"/>
              </w:rPr>
              <w:t>简要技术要求</w:t>
            </w:r>
          </w:p>
        </w:tc>
        <w:tc>
          <w:tcPr>
            <w:tcW w:w="531"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31"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1295" w:type="dxa"/>
            <w:vAlign w:val="center"/>
          </w:tcPr>
          <w:p>
            <w:pPr>
              <w:tabs>
                <w:tab w:val="left" w:pos="8280"/>
              </w:tabs>
              <w:autoSpaceDE w:val="0"/>
              <w:autoSpaceDN w:val="0"/>
              <w:adjustRightInd w:val="0"/>
              <w:ind w:right="25"/>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最高限价</w:t>
            </w:r>
          </w:p>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（万元）</w:t>
            </w:r>
          </w:p>
        </w:tc>
        <w:tc>
          <w:tcPr>
            <w:tcW w:w="2560" w:type="dxa"/>
            <w:vAlign w:val="center"/>
          </w:tcPr>
          <w:p>
            <w:pPr>
              <w:tabs>
                <w:tab w:val="left" w:pos="8280"/>
              </w:tabs>
              <w:autoSpaceDE w:val="0"/>
              <w:autoSpaceDN w:val="0"/>
              <w:adjustRightInd w:val="0"/>
              <w:ind w:right="25"/>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08"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418"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三门县（2021-2022）年度河湖水域巡查监管项目</w:t>
            </w:r>
            <w:r>
              <w:rPr>
                <w:rFonts w:hint="eastAsia" w:asciiTheme="minorEastAsia" w:hAnsiTheme="minorEastAsia" w:eastAsiaTheme="minorEastAsia"/>
                <w:color w:val="auto"/>
                <w:sz w:val="24"/>
                <w:highlight w:val="none"/>
              </w:rPr>
              <w:t>项目</w:t>
            </w:r>
          </w:p>
        </w:tc>
        <w:tc>
          <w:tcPr>
            <w:tcW w:w="1933"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详见具体技术需求</w:t>
            </w:r>
          </w:p>
        </w:tc>
        <w:tc>
          <w:tcPr>
            <w:tcW w:w="531"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531" w:type="dxa"/>
            <w:vAlign w:val="center"/>
          </w:tcPr>
          <w:p>
            <w:pPr>
              <w:tabs>
                <w:tab w:val="left" w:pos="8280"/>
              </w:tabs>
              <w:autoSpaceDE w:val="0"/>
              <w:autoSpaceDN w:val="0"/>
              <w:adjustRightInd w:val="0"/>
              <w:ind w:right="2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w:t>
            </w:r>
          </w:p>
        </w:tc>
        <w:tc>
          <w:tcPr>
            <w:tcW w:w="1295" w:type="dxa"/>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p>
        </w:tc>
        <w:tc>
          <w:tcPr>
            <w:tcW w:w="2560" w:type="dxa"/>
            <w:vAlign w:val="center"/>
          </w:tcPr>
          <w:p>
            <w:pPr>
              <w:jc w:val="center"/>
              <w:rPr>
                <w:rFonts w:asciiTheme="minorEastAsia" w:hAnsiTheme="minorEastAsia" w:eastAsiaTheme="minorEastAsia"/>
                <w:color w:val="auto"/>
                <w:sz w:val="24"/>
                <w:highlight w:val="none"/>
              </w:rPr>
            </w:pPr>
            <w:r>
              <w:rPr>
                <w:rFonts w:hint="eastAsia" w:ascii="宋体" w:hAnsi="宋体"/>
                <w:color w:val="auto"/>
                <w:sz w:val="24"/>
                <w:highlight w:val="none"/>
              </w:rPr>
              <w:t>自合同签订之日起一年时间（若之前所有项目已全部完成监管程序，服务期自动结束）</w:t>
            </w:r>
          </w:p>
        </w:tc>
      </w:tr>
    </w:tbl>
    <w:p>
      <w:pPr>
        <w:numPr>
          <w:ilvl w:val="0"/>
          <w:numId w:val="3"/>
        </w:numPr>
        <w:tabs>
          <w:tab w:val="left" w:pos="945"/>
          <w:tab w:val="left" w:pos="1575"/>
          <w:tab w:val="left" w:pos="8820"/>
        </w:tabs>
        <w:autoSpaceDE w:val="0"/>
        <w:autoSpaceDN w:val="0"/>
        <w:adjustRightInd w:val="0"/>
        <w:spacing w:before="100" w:line="360" w:lineRule="auto"/>
        <w:ind w:right="44" w:firstLine="0"/>
        <w:jc w:val="left"/>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项目背景</w:t>
      </w:r>
    </w:p>
    <w:p>
      <w:pPr>
        <w:pStyle w:val="3"/>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240" w:firstLineChars="100"/>
        <w:jc w:val="left"/>
        <w:textAlignment w:val="auto"/>
        <w:rPr>
          <w:color w:val="auto"/>
          <w:highlight w:val="none"/>
        </w:rPr>
      </w:pPr>
      <w:r>
        <w:rPr>
          <w:rFonts w:hint="eastAsia"/>
          <w:color w:val="auto"/>
          <w:highlight w:val="none"/>
          <w:lang w:val="en-US" w:eastAsia="zh-CN"/>
        </w:rPr>
        <w:t>根据水利部“水利工程补短板、水利行业强监管”水利工作要求及省水利厅出台的《浙江省河湖标准化管理实施方案》，各县市区要根据自己实际情况，探索打造市场化运作、专业化管理的河湖管护模式。三门县水域面广量大，仅仅依靠传统方式巡查无法达到水利行业强监管的要求；另外沿海高速三门段占用水域补偿措施将全面实施，该段涉及岙口塘港、洞港等多处重要水域，沿线涉及占用水域30余处，占用水域面积近4.2万m2。为了加强河湖水域监管及审批事项的事后监管，三门县水利局委托第三方进行水域监管。</w:t>
      </w:r>
    </w:p>
    <w:p>
      <w:pPr>
        <w:numPr>
          <w:ilvl w:val="0"/>
          <w:numId w:val="3"/>
        </w:numPr>
        <w:tabs>
          <w:tab w:val="left" w:pos="945"/>
          <w:tab w:val="left" w:pos="1575"/>
          <w:tab w:val="left" w:pos="8820"/>
        </w:tabs>
        <w:autoSpaceDE w:val="0"/>
        <w:autoSpaceDN w:val="0"/>
        <w:adjustRightInd w:val="0"/>
        <w:spacing w:before="100" w:line="360" w:lineRule="auto"/>
        <w:ind w:right="44" w:firstLine="0"/>
        <w:jc w:val="left"/>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主要服务内容：</w:t>
      </w:r>
    </w:p>
    <w:p>
      <w:pPr>
        <w:spacing w:line="360" w:lineRule="auto"/>
        <w:ind w:firstLine="470" w:firstLineChars="196"/>
        <w:contextualSpacing/>
        <w:rPr>
          <w:rFonts w:ascii="宋体" w:hAnsi="宋体"/>
          <w:color w:val="auto"/>
          <w:sz w:val="24"/>
          <w:highlight w:val="none"/>
        </w:rPr>
      </w:pPr>
      <w:r>
        <w:rPr>
          <w:rFonts w:hint="eastAsia" w:ascii="宋体" w:hAnsi="宋体"/>
          <w:color w:val="auto"/>
          <w:sz w:val="24"/>
          <w:highlight w:val="none"/>
        </w:rPr>
        <w:t>1）对我县河湖水域巡查，原则上每年不少于两次并提交巡查报告；</w:t>
      </w:r>
    </w:p>
    <w:p>
      <w:pPr>
        <w:spacing w:line="360" w:lineRule="auto"/>
        <w:ind w:firstLine="470" w:firstLineChars="196"/>
        <w:contextualSpacing/>
        <w:rPr>
          <w:rFonts w:ascii="宋体" w:hAnsi="宋体"/>
          <w:color w:val="auto"/>
          <w:sz w:val="24"/>
          <w:highlight w:val="none"/>
        </w:rPr>
      </w:pPr>
      <w:r>
        <w:rPr>
          <w:rFonts w:hint="eastAsia" w:ascii="宋体" w:hAnsi="宋体"/>
          <w:color w:val="auto"/>
          <w:sz w:val="24"/>
          <w:highlight w:val="none"/>
        </w:rPr>
        <w:t>利用卫星遥感技术对三门县重要水域的水事活动开展动态监测，并对水域岸线变化作统计分析，形成年度分析报告。</w:t>
      </w:r>
    </w:p>
    <w:p>
      <w:pPr>
        <w:spacing w:line="360" w:lineRule="auto"/>
        <w:ind w:firstLine="470" w:firstLineChars="196"/>
        <w:contextualSpacing/>
        <w:rPr>
          <w:rFonts w:ascii="宋体" w:hAnsi="宋体"/>
          <w:color w:val="auto"/>
          <w:sz w:val="24"/>
          <w:highlight w:val="none"/>
        </w:rPr>
      </w:pPr>
      <w:r>
        <w:rPr>
          <w:rFonts w:hint="eastAsia" w:ascii="宋体" w:hAnsi="宋体"/>
          <w:color w:val="auto"/>
          <w:sz w:val="24"/>
          <w:highlight w:val="none"/>
        </w:rPr>
        <w:t>获取2021年4月之前（汛期前）、2021年10月之后（汛期后）三门县全县覆盖遥感影像资料，开展2</w:t>
      </w:r>
      <w:r>
        <w:rPr>
          <w:rFonts w:ascii="宋体" w:hAnsi="宋体"/>
          <w:color w:val="auto"/>
          <w:sz w:val="24"/>
          <w:highlight w:val="none"/>
        </w:rPr>
        <w:t>021年度</w:t>
      </w:r>
      <w:r>
        <w:rPr>
          <w:rFonts w:hint="eastAsia" w:ascii="宋体" w:hAnsi="宋体"/>
          <w:color w:val="auto"/>
          <w:sz w:val="24"/>
          <w:highlight w:val="none"/>
        </w:rPr>
        <w:t>汛期前后</w:t>
      </w:r>
      <w:r>
        <w:rPr>
          <w:rFonts w:ascii="宋体" w:hAnsi="宋体"/>
          <w:color w:val="auto"/>
          <w:sz w:val="24"/>
          <w:highlight w:val="none"/>
        </w:rPr>
        <w:t>水域</w:t>
      </w:r>
      <w:r>
        <w:rPr>
          <w:rFonts w:hint="eastAsia" w:ascii="宋体" w:hAnsi="宋体"/>
          <w:color w:val="auto"/>
          <w:sz w:val="24"/>
          <w:highlight w:val="none"/>
        </w:rPr>
        <w:t>动态</w:t>
      </w:r>
      <w:r>
        <w:rPr>
          <w:rFonts w:ascii="宋体" w:hAnsi="宋体"/>
          <w:color w:val="auto"/>
          <w:sz w:val="24"/>
          <w:highlight w:val="none"/>
        </w:rPr>
        <w:t>监测</w:t>
      </w:r>
      <w:r>
        <w:rPr>
          <w:rFonts w:hint="eastAsia" w:ascii="宋体" w:hAnsi="宋体"/>
          <w:color w:val="auto"/>
          <w:sz w:val="24"/>
          <w:highlight w:val="none"/>
        </w:rPr>
        <w:t>一次，勾绘水域变化图斑及填写相关属性信息，经现场核查、下发确认，确定非法占用水域行为，为水管理部门的水利强监管提供依据。</w:t>
      </w:r>
    </w:p>
    <w:p>
      <w:pPr>
        <w:spacing w:line="360" w:lineRule="auto"/>
        <w:ind w:firstLine="480" w:firstLineChars="200"/>
        <w:contextualSpacing/>
        <w:outlineLvl w:val="0"/>
        <w:rPr>
          <w:rFonts w:ascii="宋体" w:hAnsi="宋体"/>
          <w:color w:val="auto"/>
          <w:sz w:val="24"/>
          <w:highlight w:val="none"/>
        </w:rPr>
      </w:pPr>
      <w:r>
        <w:rPr>
          <w:rFonts w:hint="eastAsia" w:ascii="宋体" w:hAnsi="宋体"/>
          <w:color w:val="auto"/>
          <w:sz w:val="24"/>
          <w:highlight w:val="none"/>
        </w:rPr>
        <w:t>2）无人机取证拍摄</w:t>
      </w:r>
    </w:p>
    <w:p>
      <w:pPr>
        <w:spacing w:line="360" w:lineRule="auto"/>
        <w:ind w:firstLine="470" w:firstLineChars="196"/>
        <w:contextualSpacing/>
        <w:rPr>
          <w:rFonts w:ascii="宋体" w:hAnsi="宋体"/>
          <w:color w:val="auto"/>
          <w:sz w:val="24"/>
          <w:highlight w:val="none"/>
        </w:rPr>
      </w:pPr>
      <w:r>
        <w:rPr>
          <w:rFonts w:hint="eastAsia" w:ascii="宋体" w:hAnsi="宋体"/>
          <w:color w:val="auto"/>
          <w:sz w:val="24"/>
          <w:highlight w:val="none"/>
        </w:rPr>
        <w:t>根据遥感动态监测成果，采用无人机技术对已批复涉河涉堤项目的水域使用、非法占用水域等情况现场调查取证，获取水域使用、非法占用水域区域的数字高清影像（DOM）、照片及视频资料进行跟踪复核，精准计算水域占用面积。</w:t>
      </w:r>
    </w:p>
    <w:p>
      <w:pPr>
        <w:spacing w:line="360" w:lineRule="auto"/>
        <w:ind w:firstLine="480" w:firstLineChars="200"/>
        <w:contextualSpacing/>
        <w:outlineLvl w:val="0"/>
        <w:rPr>
          <w:rFonts w:ascii="宋体" w:hAnsi="宋体"/>
          <w:color w:val="auto"/>
          <w:sz w:val="24"/>
          <w:highlight w:val="none"/>
        </w:rPr>
      </w:pPr>
      <w:r>
        <w:rPr>
          <w:rFonts w:hint="eastAsia" w:ascii="宋体" w:hAnsi="宋体"/>
          <w:color w:val="auto"/>
          <w:sz w:val="24"/>
          <w:highlight w:val="none"/>
        </w:rPr>
        <w:t>3）对沿海高速三门段沿线占用水域审批事项每季度巡查一次并提交巡查报告。</w:t>
      </w:r>
    </w:p>
    <w:p>
      <w:pPr>
        <w:pStyle w:val="11"/>
        <w:snapToGrid w:val="0"/>
        <w:spacing w:line="360" w:lineRule="auto"/>
        <w:ind w:firstLine="138" w:firstLineChars="49"/>
        <w:jc w:val="left"/>
        <w:rPr>
          <w:rFonts w:hAnsi="宋体" w:cs="宋体"/>
          <w:b/>
          <w:color w:val="auto"/>
          <w:sz w:val="28"/>
          <w:szCs w:val="28"/>
          <w:highlight w:val="none"/>
        </w:rPr>
      </w:pPr>
      <w:r>
        <w:rPr>
          <w:rFonts w:hint="eastAsia" w:hAnsi="宋体" w:cs="宋体"/>
          <w:b/>
          <w:color w:val="auto"/>
          <w:sz w:val="28"/>
          <w:szCs w:val="28"/>
          <w:highlight w:val="none"/>
          <w:lang w:eastAsia="zh-CN"/>
        </w:rPr>
        <w:t>四</w:t>
      </w:r>
      <w:r>
        <w:rPr>
          <w:rFonts w:hint="eastAsia" w:hAnsi="宋体" w:cs="宋体"/>
          <w:b/>
          <w:color w:val="auto"/>
          <w:sz w:val="28"/>
          <w:szCs w:val="28"/>
          <w:highlight w:val="none"/>
        </w:rPr>
        <w:t>、商务需求</w:t>
      </w:r>
    </w:p>
    <w:p>
      <w:pPr>
        <w:pStyle w:val="11"/>
        <w:snapToGrid w:val="0"/>
        <w:spacing w:line="360" w:lineRule="auto"/>
        <w:ind w:firstLine="482" w:firstLineChars="200"/>
        <w:jc w:val="left"/>
        <w:rPr>
          <w:rFonts w:hAnsi="宋体" w:cs="宋体"/>
          <w:b/>
          <w:color w:val="auto"/>
          <w:kern w:val="0"/>
          <w:sz w:val="24"/>
          <w:highlight w:val="none"/>
        </w:rPr>
      </w:pPr>
      <w:r>
        <w:rPr>
          <w:rFonts w:hint="eastAsia" w:hAnsi="宋体" w:cs="宋体"/>
          <w:b/>
          <w:color w:val="auto"/>
          <w:kern w:val="0"/>
          <w:sz w:val="24"/>
          <w:highlight w:val="none"/>
        </w:rPr>
        <w:t>1、服务时间及地点：</w:t>
      </w:r>
      <w:r>
        <w:rPr>
          <w:rFonts w:hint="eastAsia" w:hAnsi="宋体" w:cs="宋体"/>
          <w:color w:val="auto"/>
          <w:kern w:val="0"/>
          <w:sz w:val="24"/>
          <w:highlight w:val="none"/>
        </w:rPr>
        <w:t>同前面“谈判</w:t>
      </w:r>
      <w:r>
        <w:rPr>
          <w:rFonts w:hint="eastAsia" w:hAnsi="宋体" w:cs="宋体"/>
          <w:color w:val="auto"/>
          <w:kern w:val="0"/>
          <w:sz w:val="24"/>
          <w:highlight w:val="none"/>
          <w:lang w:eastAsia="zh-CN"/>
        </w:rPr>
        <w:t>需求</w:t>
      </w:r>
      <w:r>
        <w:rPr>
          <w:rFonts w:hint="eastAsia" w:hAnsi="宋体" w:cs="宋体"/>
          <w:color w:val="auto"/>
          <w:kern w:val="0"/>
          <w:sz w:val="24"/>
          <w:highlight w:val="none"/>
        </w:rPr>
        <w:t>一览表”内所填内容。</w:t>
      </w:r>
    </w:p>
    <w:p>
      <w:pPr>
        <w:pStyle w:val="11"/>
        <w:snapToGrid w:val="0"/>
        <w:spacing w:line="360" w:lineRule="auto"/>
        <w:ind w:firstLine="482" w:firstLineChars="200"/>
        <w:jc w:val="left"/>
        <w:rPr>
          <w:rFonts w:hAnsi="宋体"/>
          <w:color w:val="auto"/>
          <w:sz w:val="24"/>
          <w:highlight w:val="none"/>
        </w:rPr>
      </w:pPr>
      <w:r>
        <w:rPr>
          <w:rFonts w:hint="eastAsia" w:cs="宋体"/>
          <w:b/>
          <w:color w:val="auto"/>
          <w:kern w:val="0"/>
          <w:sz w:val="24"/>
          <w:highlight w:val="none"/>
        </w:rPr>
        <w:t>2、</w:t>
      </w:r>
      <w:r>
        <w:rPr>
          <w:rFonts w:hint="eastAsia" w:cs="宋体"/>
          <w:b/>
          <w:color w:val="auto"/>
          <w:sz w:val="24"/>
          <w:highlight w:val="none"/>
        </w:rPr>
        <w:t>付款条件：</w:t>
      </w:r>
      <w:r>
        <w:rPr>
          <w:rFonts w:hint="eastAsia" w:hAnsi="宋体"/>
          <w:color w:val="auto"/>
          <w:sz w:val="24"/>
          <w:highlight w:val="none"/>
        </w:rPr>
        <w:t>合同签订后，成交供应商即可进场开始无人机照片拍摄，并及时提交拍摄成果；2021年12月底前，提供第一次巡查记录及报告后，</w:t>
      </w:r>
      <w:r>
        <w:rPr>
          <w:rFonts w:hAnsi="宋体"/>
          <w:color w:val="auto"/>
          <w:sz w:val="24"/>
          <w:highlight w:val="none"/>
        </w:rPr>
        <w:t>委托</w:t>
      </w:r>
      <w:r>
        <w:rPr>
          <w:rFonts w:hint="eastAsia" w:hAnsi="宋体"/>
          <w:color w:val="auto"/>
          <w:sz w:val="24"/>
          <w:highlight w:val="none"/>
        </w:rPr>
        <w:t>方</w:t>
      </w:r>
      <w:r>
        <w:rPr>
          <w:rFonts w:hAnsi="宋体"/>
          <w:color w:val="auto"/>
          <w:sz w:val="24"/>
          <w:highlight w:val="none"/>
        </w:rPr>
        <w:t>支付</w:t>
      </w:r>
      <w:r>
        <w:rPr>
          <w:rFonts w:hint="eastAsia" w:hAnsi="宋体"/>
          <w:color w:val="auto"/>
          <w:sz w:val="24"/>
          <w:highlight w:val="none"/>
        </w:rPr>
        <w:t>咨询</w:t>
      </w:r>
      <w:r>
        <w:rPr>
          <w:rFonts w:hAnsi="宋体"/>
          <w:color w:val="auto"/>
          <w:sz w:val="24"/>
          <w:highlight w:val="none"/>
        </w:rPr>
        <w:t>费总额的</w:t>
      </w:r>
      <w:r>
        <w:rPr>
          <w:rFonts w:hint="eastAsia" w:hAnsi="宋体"/>
          <w:color w:val="auto"/>
          <w:sz w:val="24"/>
          <w:highlight w:val="none"/>
          <w:u w:val="single"/>
        </w:rPr>
        <w:t xml:space="preserve"> 80 </w:t>
      </w:r>
      <w:r>
        <w:rPr>
          <w:color w:val="auto"/>
          <w:sz w:val="24"/>
          <w:highlight w:val="none"/>
        </w:rPr>
        <w:t>%</w:t>
      </w:r>
      <w:r>
        <w:rPr>
          <w:rFonts w:hint="eastAsia"/>
          <w:color w:val="auto"/>
          <w:sz w:val="24"/>
          <w:highlight w:val="none"/>
        </w:rPr>
        <w:t>，剩余的</w:t>
      </w:r>
      <w:r>
        <w:rPr>
          <w:rFonts w:hint="eastAsia"/>
          <w:color w:val="auto"/>
          <w:sz w:val="24"/>
          <w:highlight w:val="none"/>
          <w:u w:val="single"/>
        </w:rPr>
        <w:t>20%</w:t>
      </w:r>
      <w:r>
        <w:rPr>
          <w:rFonts w:hint="eastAsia"/>
          <w:color w:val="auto"/>
          <w:sz w:val="24"/>
          <w:highlight w:val="none"/>
        </w:rPr>
        <w:t>待合同期满或合同约定工作全部完成后一周内付清</w:t>
      </w:r>
      <w:r>
        <w:rPr>
          <w:rFonts w:hint="eastAsia" w:hAnsi="宋体"/>
          <w:color w:val="auto"/>
          <w:sz w:val="24"/>
          <w:highlight w:val="none"/>
        </w:rPr>
        <w:t>。</w:t>
      </w:r>
    </w:p>
    <w:p>
      <w:pPr>
        <w:pStyle w:val="11"/>
        <w:snapToGrid w:val="0"/>
        <w:spacing w:line="360" w:lineRule="auto"/>
        <w:ind w:firstLine="482" w:firstLineChars="200"/>
        <w:jc w:val="left"/>
        <w:rPr>
          <w:color w:val="auto"/>
          <w:sz w:val="24"/>
          <w:highlight w:val="none"/>
        </w:rPr>
      </w:pPr>
      <w:r>
        <w:rPr>
          <w:rFonts w:hint="eastAsia" w:cs="宋体"/>
          <w:b/>
          <w:color w:val="auto"/>
          <w:sz w:val="24"/>
          <w:highlight w:val="none"/>
        </w:rPr>
        <w:t>3、</w:t>
      </w:r>
      <w:r>
        <w:rPr>
          <w:rFonts w:hint="eastAsia"/>
          <w:snapToGrid w:val="0"/>
          <w:color w:val="auto"/>
          <w:sz w:val="24"/>
          <w:highlight w:val="none"/>
        </w:rPr>
        <w:t>质量要求</w:t>
      </w:r>
      <w:r>
        <w:rPr>
          <w:rFonts w:hint="eastAsia" w:cs="宋体"/>
          <w:b/>
          <w:color w:val="auto"/>
          <w:sz w:val="24"/>
          <w:highlight w:val="none"/>
        </w:rPr>
        <w:t>：</w:t>
      </w:r>
      <w:r>
        <w:rPr>
          <w:rFonts w:hint="eastAsia"/>
          <w:color w:val="auto"/>
          <w:sz w:val="24"/>
          <w:highlight w:val="none"/>
        </w:rPr>
        <w:t>必须达到现行中华人民共和国及省、市、行业的一切有关法规、规范的要求及采购人相关规定。</w:t>
      </w:r>
    </w:p>
    <w:p>
      <w:pPr>
        <w:pStyle w:val="11"/>
        <w:snapToGrid w:val="0"/>
        <w:spacing w:line="360" w:lineRule="auto"/>
        <w:ind w:firstLine="482" w:firstLineChars="200"/>
        <w:jc w:val="left"/>
        <w:rPr>
          <w:color w:val="auto"/>
          <w:sz w:val="24"/>
          <w:highlight w:val="none"/>
        </w:rPr>
      </w:pPr>
      <w:r>
        <w:rPr>
          <w:rFonts w:hint="eastAsia" w:cs="宋体"/>
          <w:b/>
          <w:color w:val="auto"/>
          <w:kern w:val="0"/>
          <w:sz w:val="24"/>
          <w:highlight w:val="none"/>
        </w:rPr>
        <w:t>4、投标总报价：</w:t>
      </w:r>
      <w:r>
        <w:rPr>
          <w:rFonts w:hint="eastAsia"/>
          <w:color w:val="auto"/>
          <w:sz w:val="24"/>
          <w:highlight w:val="none"/>
        </w:rPr>
        <w:t>投标总报价应是谈判文件所确定的招标内容范围内全部工作内容的价格表现。其应包括购买及制作标书费、风险费、保险、利润、税金、政策性文件规定及合同工作范围内所包含的所有内容、风险、责任等费用。</w:t>
      </w:r>
    </w:p>
    <w:p>
      <w:pPr>
        <w:rPr>
          <w:rFonts w:hint="eastAsia"/>
          <w:color w:val="auto"/>
          <w:highlight w:val="none"/>
        </w:rPr>
      </w:pPr>
      <w:r>
        <w:rPr>
          <w:rFonts w:hint="eastAsia"/>
          <w:color w:val="auto"/>
          <w:highlight w:val="none"/>
        </w:rPr>
        <w:br w:type="page"/>
      </w:r>
    </w:p>
    <w:p>
      <w:pPr>
        <w:pStyle w:val="19"/>
        <w:rPr>
          <w:rFonts w:ascii="宋体"/>
          <w:b w:val="0"/>
          <w:color w:val="auto"/>
          <w:kern w:val="0"/>
          <w:sz w:val="36"/>
          <w:highlight w:val="none"/>
        </w:rPr>
      </w:pPr>
      <w:r>
        <w:rPr>
          <w:rFonts w:hint="eastAsia"/>
          <w:color w:val="auto"/>
          <w:highlight w:val="none"/>
        </w:rPr>
        <w:t>第四章 政府采购合同主要条款指引</w:t>
      </w:r>
    </w:p>
    <w:p>
      <w:pPr>
        <w:snapToGrid w:val="0"/>
        <w:spacing w:before="156" w:beforeLines="50" w:after="156" w:afterLines="50"/>
        <w:jc w:val="center"/>
        <w:rPr>
          <w:rFonts w:asciiTheme="majorEastAsia" w:hAnsiTheme="majorEastAsia" w:eastAsiaTheme="majorEastAsia"/>
          <w:b/>
          <w:color w:val="auto"/>
          <w:sz w:val="36"/>
          <w:szCs w:val="36"/>
          <w:highlight w:val="none"/>
        </w:rPr>
      </w:pPr>
      <w:r>
        <w:rPr>
          <w:rFonts w:hint="eastAsia" w:asciiTheme="majorEastAsia" w:hAnsiTheme="majorEastAsia" w:eastAsiaTheme="majorEastAsia"/>
          <w:b/>
          <w:color w:val="auto"/>
          <w:sz w:val="36"/>
          <w:szCs w:val="36"/>
          <w:highlight w:val="none"/>
        </w:rPr>
        <w:t>服务类</w:t>
      </w:r>
    </w:p>
    <w:p>
      <w:pPr>
        <w:widowControl/>
        <w:shd w:val="clear" w:color="auto" w:fill="FFFFFF"/>
        <w:spacing w:after="150" w:line="375" w:lineRule="atLeast"/>
        <w:ind w:firstLine="480"/>
        <w:jc w:val="left"/>
        <w:rPr>
          <w:rFonts w:ascii="宋体" w:hAnsi="宋体"/>
          <w:color w:val="auto"/>
          <w:sz w:val="24"/>
          <w:highlight w:val="none"/>
        </w:rPr>
      </w:pPr>
      <w:r>
        <w:rPr>
          <w:rFonts w:ascii="宋体" w:hAnsi="宋体"/>
          <w:color w:val="auto"/>
          <w:sz w:val="24"/>
          <w:highlight w:val="none"/>
        </w:rPr>
        <w:t>以下为成交后签定本项目合同的通用条款，成交供应商不得提出实质性的修改，关于专用条款将由采购人与成交供应商结合本项目具体情况协商后签订。</w:t>
      </w:r>
    </w:p>
    <w:p>
      <w:pPr>
        <w:pStyle w:val="11"/>
        <w:snapToGrid w:val="0"/>
        <w:spacing w:before="120" w:after="120" w:line="360" w:lineRule="auto"/>
        <w:rPr>
          <w:rFonts w:hAnsi="宋体"/>
          <w:color w:val="auto"/>
          <w:sz w:val="24"/>
          <w:highlight w:val="none"/>
        </w:rPr>
      </w:pPr>
      <w:r>
        <w:rPr>
          <w:rFonts w:hAnsi="宋体"/>
          <w:color w:val="auto"/>
          <w:sz w:val="24"/>
          <w:highlight w:val="none"/>
        </w:rPr>
        <w:t>项目名称：                                     项目编号：</w:t>
      </w:r>
    </w:p>
    <w:p>
      <w:pPr>
        <w:pStyle w:val="11"/>
        <w:snapToGrid w:val="0"/>
        <w:spacing w:before="120" w:after="120" w:line="360" w:lineRule="auto"/>
        <w:rPr>
          <w:rFonts w:hAnsi="宋体"/>
          <w:color w:val="auto"/>
          <w:sz w:val="24"/>
          <w:highlight w:val="none"/>
        </w:rPr>
      </w:pPr>
      <w:r>
        <w:rPr>
          <w:rFonts w:hAnsi="宋体"/>
          <w:color w:val="auto"/>
          <w:sz w:val="24"/>
          <w:highlight w:val="none"/>
        </w:rPr>
        <w:t>甲方：（</w:t>
      </w:r>
      <w:r>
        <w:rPr>
          <w:rFonts w:hint="eastAsia" w:hAnsi="宋体"/>
          <w:color w:val="auto"/>
          <w:sz w:val="24"/>
          <w:highlight w:val="none"/>
        </w:rPr>
        <w:t>采购人</w:t>
      </w:r>
      <w:r>
        <w:rPr>
          <w:rFonts w:hAnsi="宋体"/>
          <w:color w:val="auto"/>
          <w:sz w:val="24"/>
          <w:highlight w:val="none"/>
        </w:rPr>
        <w:t>）</w:t>
      </w:r>
      <w:r>
        <w:rPr>
          <w:rFonts w:hint="eastAsia" w:hAnsi="宋体"/>
          <w:color w:val="auto"/>
          <w:sz w:val="24"/>
          <w:highlight w:val="none"/>
        </w:rPr>
        <w:t xml:space="preserve">                            所在地：                              </w:t>
      </w:r>
    </w:p>
    <w:p>
      <w:pPr>
        <w:pStyle w:val="11"/>
        <w:snapToGrid w:val="0"/>
        <w:spacing w:before="120" w:after="120" w:line="360" w:lineRule="auto"/>
        <w:rPr>
          <w:rFonts w:hAnsi="宋体"/>
          <w:color w:val="auto"/>
          <w:sz w:val="24"/>
          <w:highlight w:val="none"/>
        </w:rPr>
      </w:pPr>
      <w:r>
        <w:rPr>
          <w:rFonts w:hAnsi="宋体"/>
          <w:color w:val="auto"/>
          <w:sz w:val="24"/>
          <w:highlight w:val="none"/>
        </w:rPr>
        <w:t>乙方：（</w:t>
      </w:r>
      <w:r>
        <w:rPr>
          <w:rFonts w:hint="eastAsia" w:hAnsi="宋体"/>
          <w:color w:val="auto"/>
          <w:sz w:val="24"/>
          <w:highlight w:val="none"/>
        </w:rPr>
        <w:t>成交供应商</w:t>
      </w:r>
      <w:r>
        <w:rPr>
          <w:rFonts w:hAnsi="宋体"/>
          <w:color w:val="auto"/>
          <w:sz w:val="24"/>
          <w:highlight w:val="none"/>
        </w:rPr>
        <w:t>）</w:t>
      </w:r>
      <w:r>
        <w:rPr>
          <w:rFonts w:hint="eastAsia" w:hAnsi="宋体"/>
          <w:color w:val="auto"/>
          <w:sz w:val="24"/>
          <w:highlight w:val="none"/>
        </w:rPr>
        <w:t xml:space="preserve">                          所在地：</w:t>
      </w:r>
    </w:p>
    <w:p>
      <w:pPr>
        <w:spacing w:line="360" w:lineRule="auto"/>
        <w:ind w:firstLine="470" w:firstLineChars="196"/>
        <w:rPr>
          <w:rFonts w:ascii="宋体" w:hAnsi="宋体" w:cs="宋体"/>
          <w:color w:val="auto"/>
          <w:szCs w:val="21"/>
          <w:highlight w:val="none"/>
        </w:rPr>
      </w:pPr>
      <w:r>
        <w:rPr>
          <w:rFonts w:hint="eastAsia" w:ascii="宋体" w:hAnsi="宋体"/>
          <w:color w:val="auto"/>
          <w:sz w:val="24"/>
          <w:highlight w:val="none"/>
        </w:rPr>
        <w:t>根据                    （项目编号：            ）的采购结果，按照《中华人民共和国合同法》的规定，经双方协商，本着平等互利和诚实信用的原则，一致同意签订本合同如下。</w:t>
      </w:r>
    </w:p>
    <w:p>
      <w:pPr>
        <w:spacing w:line="360" w:lineRule="auto"/>
        <w:rPr>
          <w:rFonts w:ascii="宋体"/>
          <w:color w:val="auto"/>
          <w:sz w:val="24"/>
          <w:highlight w:val="none"/>
          <w:lang w:val="zh-CN"/>
        </w:rPr>
      </w:pPr>
      <w:r>
        <w:rPr>
          <w:rFonts w:hint="eastAsia" w:ascii="宋体"/>
          <w:color w:val="auto"/>
          <w:sz w:val="24"/>
          <w:highlight w:val="none"/>
          <w:lang w:val="zh-CN"/>
        </w:rPr>
        <w:t xml:space="preserve">一、合同文件： </w:t>
      </w:r>
    </w:p>
    <w:p>
      <w:pPr>
        <w:spacing w:line="360" w:lineRule="auto"/>
        <w:ind w:firstLine="480" w:firstLineChars="200"/>
        <w:rPr>
          <w:rFonts w:ascii="宋体"/>
          <w:color w:val="auto"/>
          <w:sz w:val="24"/>
          <w:highlight w:val="none"/>
          <w:lang w:val="zh-CN"/>
        </w:rPr>
      </w:pPr>
      <w:r>
        <w:rPr>
          <w:rFonts w:hint="eastAsia" w:ascii="宋体"/>
          <w:color w:val="auto"/>
          <w:sz w:val="24"/>
          <w:highlight w:val="none"/>
          <w:lang w:val="zh-CN"/>
        </w:rPr>
        <w:t>1.合同条款。</w:t>
      </w:r>
    </w:p>
    <w:p>
      <w:pPr>
        <w:spacing w:line="360" w:lineRule="auto"/>
        <w:ind w:firstLine="480" w:firstLineChars="200"/>
        <w:rPr>
          <w:rFonts w:ascii="宋体"/>
          <w:color w:val="auto"/>
          <w:sz w:val="24"/>
          <w:highlight w:val="none"/>
          <w:lang w:val="zh-CN"/>
        </w:rPr>
      </w:pPr>
      <w:r>
        <w:rPr>
          <w:rFonts w:hint="eastAsia" w:ascii="宋体"/>
          <w:color w:val="auto"/>
          <w:sz w:val="24"/>
          <w:highlight w:val="none"/>
          <w:lang w:val="zh-CN"/>
        </w:rPr>
        <w:t>2.成交通知书。</w:t>
      </w:r>
    </w:p>
    <w:p>
      <w:pPr>
        <w:spacing w:line="360" w:lineRule="auto"/>
        <w:ind w:firstLine="480" w:firstLineChars="200"/>
        <w:rPr>
          <w:rFonts w:ascii="宋体"/>
          <w:color w:val="auto"/>
          <w:sz w:val="24"/>
          <w:highlight w:val="none"/>
          <w:lang w:val="zh-CN"/>
        </w:rPr>
      </w:pPr>
      <w:r>
        <w:rPr>
          <w:rFonts w:hint="eastAsia" w:ascii="宋体"/>
          <w:color w:val="auto"/>
          <w:sz w:val="24"/>
          <w:highlight w:val="none"/>
          <w:lang w:val="zh-CN"/>
        </w:rPr>
        <w:t>3.更正补充文件。</w:t>
      </w:r>
    </w:p>
    <w:p>
      <w:pPr>
        <w:spacing w:line="360" w:lineRule="auto"/>
        <w:ind w:firstLine="480" w:firstLineChars="200"/>
        <w:rPr>
          <w:rFonts w:ascii="宋体"/>
          <w:color w:val="auto"/>
          <w:sz w:val="24"/>
          <w:highlight w:val="none"/>
          <w:lang w:val="zh-CN"/>
        </w:rPr>
      </w:pPr>
      <w:r>
        <w:rPr>
          <w:rFonts w:hint="eastAsia" w:ascii="宋体"/>
          <w:color w:val="auto"/>
          <w:sz w:val="24"/>
          <w:highlight w:val="none"/>
          <w:lang w:val="zh-CN"/>
        </w:rPr>
        <w:t>4.谈判文件。</w:t>
      </w:r>
      <w:bookmarkStart w:id="0" w:name="_GoBack"/>
      <w:bookmarkEnd w:id="0"/>
    </w:p>
    <w:p>
      <w:pPr>
        <w:spacing w:line="360" w:lineRule="auto"/>
        <w:ind w:firstLine="480" w:firstLineChars="200"/>
        <w:rPr>
          <w:rFonts w:ascii="宋体"/>
          <w:color w:val="auto"/>
          <w:sz w:val="24"/>
          <w:highlight w:val="none"/>
          <w:lang w:val="zh-CN"/>
        </w:rPr>
      </w:pPr>
      <w:r>
        <w:rPr>
          <w:rFonts w:hint="eastAsia" w:ascii="宋体"/>
          <w:color w:val="auto"/>
          <w:sz w:val="24"/>
          <w:highlight w:val="none"/>
          <w:lang w:val="zh-CN"/>
        </w:rPr>
        <w:t>5.成交供应商谈判响应文件。</w:t>
      </w:r>
    </w:p>
    <w:p>
      <w:pPr>
        <w:spacing w:line="360" w:lineRule="auto"/>
        <w:ind w:firstLine="480" w:firstLineChars="200"/>
        <w:rPr>
          <w:rFonts w:ascii="宋体"/>
          <w:color w:val="auto"/>
          <w:sz w:val="24"/>
          <w:highlight w:val="none"/>
          <w:lang w:val="zh-CN"/>
        </w:rPr>
      </w:pPr>
      <w:r>
        <w:rPr>
          <w:rFonts w:hint="eastAsia" w:ascii="宋体"/>
          <w:color w:val="auto"/>
          <w:sz w:val="24"/>
          <w:highlight w:val="none"/>
          <w:lang w:val="zh-CN"/>
        </w:rPr>
        <w:t>6.其他。</w:t>
      </w:r>
    </w:p>
    <w:p>
      <w:pPr>
        <w:pStyle w:val="11"/>
        <w:snapToGrid w:val="0"/>
        <w:spacing w:line="360" w:lineRule="auto"/>
        <w:ind w:firstLine="480" w:firstLineChars="200"/>
        <w:rPr>
          <w:rFonts w:hAnsi="宋体"/>
          <w:b/>
          <w:color w:val="auto"/>
          <w:sz w:val="24"/>
          <w:highlight w:val="none"/>
        </w:rPr>
      </w:pPr>
      <w:r>
        <w:rPr>
          <w:rFonts w:hint="eastAsia"/>
          <w:color w:val="auto"/>
          <w:sz w:val="24"/>
          <w:highlight w:val="none"/>
          <w:lang w:val="zh-CN"/>
        </w:rPr>
        <w:t>上述所指合同文件应认为是互相补充和解释的，但是有模棱两可或互相矛盾之处，以其所列内容顺序为准。</w:t>
      </w:r>
    </w:p>
    <w:p>
      <w:pPr>
        <w:widowControl/>
        <w:numPr>
          <w:ilvl w:val="0"/>
          <w:numId w:val="3"/>
        </w:numPr>
        <w:shd w:val="clear" w:color="auto" w:fill="FFFFFF"/>
        <w:spacing w:after="150" w:line="375" w:lineRule="atLeast"/>
        <w:ind w:left="0" w:leftChars="0" w:firstLine="0" w:firstLineChars="0"/>
        <w:jc w:val="left"/>
        <w:rPr>
          <w:rFonts w:hint="eastAsia" w:ascii="宋体" w:hAnsi="宋体" w:cs="Arial"/>
          <w:b/>
          <w:color w:val="auto"/>
          <w:kern w:val="0"/>
          <w:sz w:val="24"/>
          <w:highlight w:val="none"/>
        </w:rPr>
      </w:pPr>
      <w:r>
        <w:rPr>
          <w:rFonts w:ascii="宋体" w:hAnsi="宋体" w:cs="Arial"/>
          <w:b/>
          <w:color w:val="auto"/>
          <w:kern w:val="0"/>
          <w:sz w:val="24"/>
          <w:highlight w:val="none"/>
        </w:rPr>
        <w:t>合同</w:t>
      </w:r>
      <w:r>
        <w:rPr>
          <w:rFonts w:hint="eastAsia" w:ascii="宋体" w:hAnsi="宋体" w:cs="Arial"/>
          <w:b/>
          <w:color w:val="auto"/>
          <w:kern w:val="0"/>
          <w:sz w:val="24"/>
          <w:highlight w:val="none"/>
        </w:rPr>
        <w:t>标</w:t>
      </w:r>
      <w:r>
        <w:rPr>
          <w:rFonts w:hint="eastAsia" w:ascii="宋体" w:hAnsi="宋体" w:cs="Arial"/>
          <w:b/>
          <w:color w:val="auto"/>
          <w:kern w:val="0"/>
          <w:sz w:val="24"/>
          <w:highlight w:val="none"/>
        </w:rPr>
        <w:t>的内容</w:t>
      </w:r>
    </w:p>
    <w:p>
      <w:pPr>
        <w:widowControl/>
        <w:numPr>
          <w:ilvl w:val="0"/>
          <w:numId w:val="0"/>
        </w:numPr>
        <w:shd w:val="clear" w:color="auto" w:fill="FFFFFF"/>
        <w:spacing w:after="150" w:line="375" w:lineRule="atLeast"/>
        <w:ind w:leftChars="0"/>
        <w:jc w:val="left"/>
        <w:rPr>
          <w:rFonts w:cstheme="minorBidi"/>
          <w:color w:val="auto"/>
          <w:kern w:val="2"/>
          <w:highlight w:val="none"/>
          <w:lang w:val="zh-CN"/>
        </w:rPr>
      </w:pPr>
      <w:r>
        <w:rPr>
          <w:rFonts w:hint="eastAsia" w:cstheme="minorBidi"/>
          <w:color w:val="auto"/>
          <w:kern w:val="2"/>
          <w:highlight w:val="none"/>
        </w:rPr>
        <w:t xml:space="preserve">  </w:t>
      </w:r>
      <w:r>
        <w:rPr>
          <w:rFonts w:hint="eastAsia" w:ascii="宋体" w:hAnsi="宋体" w:cs="宋体"/>
          <w:color w:val="auto"/>
          <w:sz w:val="22"/>
          <w:szCs w:val="22"/>
          <w:highlight w:val="none"/>
          <w:u w:val="single"/>
          <w:lang w:val="en-US" w:eastAsia="zh-CN"/>
        </w:rPr>
        <w:t>三门县（2021-2022）年度河湖水域巡查监管项目，</w:t>
      </w:r>
      <w:r>
        <w:rPr>
          <w:rFonts w:hint="eastAsia" w:ascii="宋体" w:hAnsi="宋体" w:eastAsia="宋体" w:cs="宋体"/>
          <w:color w:val="auto"/>
          <w:sz w:val="22"/>
          <w:szCs w:val="22"/>
          <w:highlight w:val="none"/>
          <w:u w:val="single"/>
          <w:lang w:val="en-US" w:eastAsia="zh-CN"/>
        </w:rPr>
        <w:t>详见招标需求。</w:t>
      </w:r>
    </w:p>
    <w:p>
      <w:pPr>
        <w:pStyle w:val="11"/>
        <w:snapToGrid w:val="0"/>
        <w:spacing w:before="120" w:after="120" w:line="360" w:lineRule="auto"/>
        <w:rPr>
          <w:rFonts w:hAnsi="宋体"/>
          <w:b/>
          <w:color w:val="auto"/>
          <w:sz w:val="24"/>
          <w:highlight w:val="none"/>
        </w:rPr>
      </w:pPr>
      <w:r>
        <w:rPr>
          <w:rFonts w:hint="eastAsia" w:hAnsi="宋体"/>
          <w:b/>
          <w:color w:val="auto"/>
          <w:sz w:val="24"/>
          <w:highlight w:val="none"/>
        </w:rPr>
        <w:t>三</w:t>
      </w:r>
      <w:r>
        <w:rPr>
          <w:rFonts w:hAnsi="宋体"/>
          <w:b/>
          <w:color w:val="auto"/>
          <w:sz w:val="24"/>
          <w:highlight w:val="none"/>
        </w:rPr>
        <w:t>、合同金额</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（1）</w:t>
      </w:r>
      <w:r>
        <w:rPr>
          <w:rFonts w:hAnsi="宋体"/>
          <w:color w:val="auto"/>
          <w:sz w:val="24"/>
          <w:highlight w:val="none"/>
        </w:rPr>
        <w:t>本合同金额为人民币（大写）：_______________元（￥_________元）。</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（2）上述服务费为总价包干，该费用包括完成本项目所产生的一切费用，未列明的工作内容视为已包含在其中。</w:t>
      </w:r>
    </w:p>
    <w:p>
      <w:pPr>
        <w:pStyle w:val="18"/>
        <w:shd w:val="clear" w:color="auto" w:fill="FFFFFF"/>
        <w:spacing w:before="0" w:beforeAutospacing="0" w:after="150" w:afterAutospacing="0" w:line="375" w:lineRule="atLeast"/>
        <w:rPr>
          <w:rFonts w:hint="default"/>
          <w:b/>
          <w:color w:val="auto"/>
          <w:highlight w:val="none"/>
        </w:rPr>
      </w:pPr>
      <w:r>
        <w:rPr>
          <w:b/>
          <w:color w:val="auto"/>
          <w:highlight w:val="none"/>
        </w:rPr>
        <w:t>四、技术资料</w:t>
      </w:r>
    </w:p>
    <w:p>
      <w:pPr>
        <w:pStyle w:val="11"/>
        <w:snapToGrid w:val="0"/>
        <w:spacing w:before="120" w:after="120" w:line="360" w:lineRule="auto"/>
        <w:ind w:left="410" w:hanging="410" w:hangingChars="171"/>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Ansi="宋体"/>
          <w:color w:val="auto"/>
          <w:sz w:val="24"/>
          <w:highlight w:val="none"/>
        </w:rPr>
        <w:t>乙方应按</w:t>
      </w:r>
      <w:r>
        <w:rPr>
          <w:rFonts w:hint="eastAsia" w:hAnsi="宋体"/>
          <w:color w:val="auto"/>
          <w:sz w:val="24"/>
          <w:highlight w:val="none"/>
        </w:rPr>
        <w:t>竞争性谈判</w:t>
      </w:r>
      <w:r>
        <w:rPr>
          <w:rFonts w:hAnsi="宋体"/>
          <w:color w:val="auto"/>
          <w:sz w:val="24"/>
          <w:highlight w:val="none"/>
        </w:rPr>
        <w:t>文件规定的时间向甲方提供有关技术资料。</w:t>
      </w:r>
    </w:p>
    <w:p>
      <w:pPr>
        <w:pStyle w:val="11"/>
        <w:snapToGrid w:val="0"/>
        <w:spacing w:before="120" w:after="120" w:line="360" w:lineRule="auto"/>
        <w:ind w:left="410" w:hanging="410" w:hangingChars="171"/>
        <w:rPr>
          <w:rFonts w:hAnsi="宋体"/>
          <w:color w:val="auto"/>
          <w:sz w:val="24"/>
          <w:highlight w:val="none"/>
        </w:rPr>
      </w:pPr>
      <w:r>
        <w:rPr>
          <w:rFonts w:hAnsi="宋体"/>
          <w:color w:val="auto"/>
          <w:sz w:val="24"/>
          <w:highlight w:val="none"/>
        </w:rPr>
        <w:t>2</w:t>
      </w:r>
      <w:r>
        <w:rPr>
          <w:rFonts w:hint="eastAsia" w:hAnsi="宋体"/>
          <w:color w:val="auto"/>
          <w:sz w:val="24"/>
          <w:highlight w:val="none"/>
        </w:rPr>
        <w:t>.</w:t>
      </w:r>
      <w:r>
        <w:rPr>
          <w:rFonts w:hAnsi="宋体"/>
          <w:color w:val="auto"/>
          <w:sz w:val="24"/>
          <w:highlight w:val="none"/>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snapToGrid w:val="0"/>
        <w:spacing w:before="120" w:after="120" w:line="360" w:lineRule="auto"/>
        <w:ind w:left="412" w:hanging="412" w:hangingChars="171"/>
        <w:rPr>
          <w:rFonts w:hAnsi="宋体"/>
          <w:b/>
          <w:color w:val="auto"/>
          <w:sz w:val="24"/>
          <w:highlight w:val="none"/>
        </w:rPr>
      </w:pPr>
      <w:r>
        <w:rPr>
          <w:rFonts w:hint="eastAsia" w:hAnsi="宋体"/>
          <w:b/>
          <w:color w:val="auto"/>
          <w:sz w:val="24"/>
          <w:highlight w:val="none"/>
        </w:rPr>
        <w:t>五、 保密与知识产权</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（1）在本合同有效期内，乙方利用甲方提交的技术资料和工作条件所完成的新的技术成果、成果文件等，该知识产权归乙方所有，甲方支付相应费用后有权在本项目中使用。</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（2） 双方应保证向对方提供的资料和数据不侵犯第三方的知识产权或其他权利，因一方提供的资料虚假、错误、或侵犯第三方权利而造成另一方误工、赔偿等损失（包括律师费）的，应当给予充分有效的赔偿。</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（3） 本合同所规定的乙方向甲方提供的设计文件，专用于本项目，任何一方未经对方同意，不可将设计文件用于该项目以外的其它项目。</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（4） 甲方付清本合同项下的全部费用后，乙方所有提交的设计成果文件均不退回。</w:t>
      </w:r>
    </w:p>
    <w:p>
      <w:pPr>
        <w:pStyle w:val="11"/>
        <w:snapToGrid w:val="0"/>
        <w:spacing w:before="120" w:after="120" w:line="360" w:lineRule="auto"/>
        <w:ind w:left="410" w:hanging="410" w:hangingChars="171"/>
        <w:rPr>
          <w:rFonts w:hAnsi="宋体"/>
          <w:color w:val="auto"/>
          <w:sz w:val="24"/>
          <w:highlight w:val="none"/>
        </w:rPr>
      </w:pPr>
      <w:r>
        <w:rPr>
          <w:rFonts w:hint="eastAsia" w:hAnsi="宋体"/>
          <w:color w:val="auto"/>
          <w:sz w:val="24"/>
          <w:highlight w:val="none"/>
        </w:rPr>
        <w:t>（5）双方都应保护对签署和履行本合同而取得的所有任何有关的资料，任何一方均有义务限制其员工、代理人等仅在为适当履行本合同义务所必须且承诺严守保密义务时方可获得和使用上述资料。因一方未尽到此项义务而使另一方受到损失的，应赔偿另一方因此受到的损失。本合同终止后，双方仍负有上述保密义务。</w:t>
      </w:r>
    </w:p>
    <w:p>
      <w:pPr>
        <w:snapToGrid w:val="0"/>
        <w:spacing w:before="156" w:beforeLines="50" w:after="156" w:afterLines="50" w:line="360" w:lineRule="auto"/>
        <w:rPr>
          <w:rFonts w:ascii="宋体" w:hAnsi="宋体"/>
          <w:b/>
          <w:color w:val="auto"/>
          <w:sz w:val="24"/>
          <w:highlight w:val="none"/>
        </w:rPr>
      </w:pPr>
      <w:r>
        <w:rPr>
          <w:rFonts w:hint="eastAsia" w:ascii="宋体" w:hAnsi="宋体"/>
          <w:b/>
          <w:color w:val="auto"/>
          <w:sz w:val="24"/>
          <w:highlight w:val="none"/>
        </w:rPr>
        <w:t>六、验收要求</w:t>
      </w:r>
    </w:p>
    <w:p>
      <w:pPr>
        <w:snapToGrid w:val="0"/>
        <w:spacing w:before="156" w:beforeLines="50" w:after="156" w:afterLines="50" w:line="360" w:lineRule="auto"/>
        <w:rPr>
          <w:rFonts w:ascii="宋体" w:hAnsi="宋体" w:cstheme="minorBidi"/>
          <w:color w:val="auto"/>
          <w:sz w:val="24"/>
          <w:highlight w:val="none"/>
        </w:rPr>
      </w:pPr>
      <w:r>
        <w:rPr>
          <w:rFonts w:hint="eastAsia" w:ascii="宋体" w:hAnsi="宋体" w:cstheme="minorBidi"/>
          <w:color w:val="auto"/>
          <w:sz w:val="24"/>
          <w:highlight w:val="none"/>
        </w:rPr>
        <w:t>按照招标文件要求、乙方的投标文件（承诺）及签订的合同约定标准进行验收。</w:t>
      </w:r>
    </w:p>
    <w:p>
      <w:pPr>
        <w:snapToGrid w:val="0"/>
        <w:spacing w:before="156" w:beforeLines="50" w:after="156" w:afterLines="50" w:line="360" w:lineRule="auto"/>
        <w:rPr>
          <w:rFonts w:ascii="宋体" w:hAnsi="宋体"/>
          <w:b/>
          <w:color w:val="auto"/>
          <w:sz w:val="24"/>
          <w:highlight w:val="none"/>
        </w:rPr>
      </w:pPr>
      <w:r>
        <w:rPr>
          <w:rFonts w:hint="eastAsia" w:ascii="宋体" w:hAnsi="宋体"/>
          <w:b/>
          <w:color w:val="auto"/>
          <w:sz w:val="24"/>
          <w:highlight w:val="none"/>
        </w:rPr>
        <w:t>七、知识产权归属</w:t>
      </w:r>
    </w:p>
    <w:p>
      <w:pPr>
        <w:snapToGrid w:val="0"/>
        <w:spacing w:before="156" w:beforeLines="50" w:after="156" w:afterLines="50" w:line="360" w:lineRule="auto"/>
        <w:ind w:firstLine="240" w:firstLineChars="100"/>
        <w:rPr>
          <w:rFonts w:ascii="宋体" w:hAnsi="宋体" w:cstheme="minorBidi"/>
          <w:color w:val="auto"/>
          <w:sz w:val="24"/>
          <w:highlight w:val="none"/>
        </w:rPr>
      </w:pPr>
      <w:r>
        <w:rPr>
          <w:rFonts w:hint="eastAsia" w:ascii="宋体" w:hAnsi="宋体" w:cstheme="minorBidi"/>
          <w:color w:val="auto"/>
          <w:sz w:val="24"/>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snapToGrid w:val="0"/>
        <w:spacing w:before="156" w:beforeLines="50" w:after="156" w:afterLines="50" w:line="360" w:lineRule="auto"/>
        <w:rPr>
          <w:rFonts w:ascii="宋体" w:hAnsi="宋体"/>
          <w:b/>
          <w:color w:val="auto"/>
          <w:sz w:val="24"/>
          <w:highlight w:val="none"/>
        </w:rPr>
      </w:pPr>
      <w:r>
        <w:rPr>
          <w:rFonts w:hint="eastAsia" w:ascii="宋体" w:hAnsi="宋体"/>
          <w:b/>
          <w:color w:val="auto"/>
          <w:sz w:val="24"/>
          <w:highlight w:val="none"/>
        </w:rPr>
        <w:t>八、保密</w:t>
      </w:r>
    </w:p>
    <w:p>
      <w:pPr>
        <w:snapToGrid w:val="0"/>
        <w:spacing w:before="156" w:beforeLines="50" w:after="156" w:afterLines="50" w:line="360" w:lineRule="auto"/>
        <w:ind w:firstLine="240" w:firstLineChars="100"/>
        <w:rPr>
          <w:color w:val="auto"/>
          <w:highlight w:val="none"/>
        </w:rPr>
      </w:pPr>
      <w:r>
        <w:rPr>
          <w:rFonts w:hint="eastAsia" w:ascii="宋体" w:hAnsi="宋体" w:cstheme="minorBidi"/>
          <w:color w:val="auto"/>
          <w:sz w:val="24"/>
          <w:highlight w:val="none"/>
        </w:rPr>
        <w:t>乙方在项目实施过程中，对甲方所提供的所有相关资料、数据，未经甲方书面同意不得向任何第三人泄露，且保密责任不因合同的终止或解除而失效。如甲方提出要求，乙方须无条件与甲方签定保密协议。项目完成后，乙方须把甲方提供的所有资料、数据完整归还甲方，并不得留存任何复制品。</w:t>
      </w:r>
    </w:p>
    <w:p>
      <w:pPr>
        <w:snapToGrid w:val="0"/>
        <w:spacing w:before="156" w:beforeLines="50" w:after="156" w:afterLines="50" w:line="360" w:lineRule="auto"/>
        <w:rPr>
          <w:rFonts w:ascii="宋体" w:hAnsi="宋体"/>
          <w:b/>
          <w:color w:val="auto"/>
          <w:sz w:val="24"/>
          <w:highlight w:val="none"/>
        </w:rPr>
      </w:pPr>
      <w:r>
        <w:rPr>
          <w:rFonts w:hint="eastAsia" w:ascii="宋体" w:hAnsi="宋体"/>
          <w:b/>
          <w:color w:val="auto"/>
          <w:sz w:val="24"/>
          <w:highlight w:val="none"/>
        </w:rPr>
        <w:t>九、转包或分包</w:t>
      </w:r>
    </w:p>
    <w:p>
      <w:pPr>
        <w:snapToGrid w:val="0"/>
        <w:spacing w:before="156" w:beforeLines="50" w:after="156" w:afterLines="50"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.本合同范围的服务，应由</w:t>
      </w:r>
      <w:r>
        <w:rPr>
          <w:rFonts w:ascii="宋体" w:hAnsi="宋体"/>
          <w:color w:val="auto"/>
          <w:sz w:val="24"/>
          <w:highlight w:val="none"/>
        </w:rPr>
        <w:t>乙</w:t>
      </w:r>
      <w:r>
        <w:rPr>
          <w:rFonts w:hint="eastAsia" w:ascii="宋体" w:hAnsi="宋体"/>
          <w:color w:val="auto"/>
          <w:sz w:val="24"/>
          <w:highlight w:val="none"/>
        </w:rPr>
        <w:t>方直接供应，不得转让他人供应；</w:t>
      </w:r>
    </w:p>
    <w:p>
      <w:pPr>
        <w:snapToGrid w:val="0"/>
        <w:spacing w:before="156" w:beforeLines="50" w:after="156" w:afterLines="50" w:line="360" w:lineRule="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.除非得到甲方的书面同意，</w:t>
      </w:r>
      <w:r>
        <w:rPr>
          <w:rFonts w:ascii="宋体" w:hAnsi="宋体"/>
          <w:color w:val="auto"/>
          <w:sz w:val="24"/>
          <w:highlight w:val="none"/>
        </w:rPr>
        <w:t>乙</w:t>
      </w:r>
      <w:r>
        <w:rPr>
          <w:rFonts w:hint="eastAsia" w:ascii="宋体" w:hAnsi="宋体"/>
          <w:color w:val="auto"/>
          <w:sz w:val="24"/>
          <w:highlight w:val="none"/>
        </w:rPr>
        <w:t>方不得将本合同范围的服务全部或部分分包给他人供应；</w:t>
      </w:r>
    </w:p>
    <w:p>
      <w:pPr>
        <w:snapToGrid w:val="0"/>
        <w:spacing w:before="156" w:beforeLines="50" w:after="156" w:afterLines="50" w:line="360" w:lineRule="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.如有转让和未经甲方同意的分包行为，甲方有权解除合同，没收履约保证金并追究乙方的违约责任。</w:t>
      </w:r>
    </w:p>
    <w:p>
      <w:pPr>
        <w:pStyle w:val="11"/>
        <w:snapToGrid w:val="0"/>
        <w:spacing w:before="120" w:after="120" w:line="360" w:lineRule="auto"/>
        <w:ind w:left="412" w:hanging="412" w:hangingChars="171"/>
        <w:rPr>
          <w:rFonts w:hAnsi="宋体"/>
          <w:b/>
          <w:color w:val="auto"/>
          <w:sz w:val="24"/>
          <w:highlight w:val="none"/>
        </w:rPr>
      </w:pPr>
      <w:r>
        <w:rPr>
          <w:rFonts w:hint="eastAsia" w:hAnsi="宋体" w:cs="Times New Roman"/>
          <w:b/>
          <w:color w:val="auto"/>
          <w:sz w:val="24"/>
          <w:highlight w:val="none"/>
        </w:rPr>
        <w:t>十、</w:t>
      </w:r>
      <w:r>
        <w:rPr>
          <w:rFonts w:hAnsi="宋体"/>
          <w:b/>
          <w:color w:val="auto"/>
          <w:sz w:val="24"/>
          <w:highlight w:val="none"/>
        </w:rPr>
        <w:t>合同履行</w:t>
      </w:r>
      <w:r>
        <w:rPr>
          <w:rFonts w:hint="eastAsia" w:hAnsi="宋体"/>
          <w:b/>
          <w:color w:val="auto"/>
          <w:sz w:val="24"/>
          <w:highlight w:val="none"/>
        </w:rPr>
        <w:t>期限</w:t>
      </w:r>
      <w:r>
        <w:rPr>
          <w:rFonts w:hAnsi="宋体"/>
          <w:b/>
          <w:color w:val="auto"/>
          <w:sz w:val="24"/>
          <w:highlight w:val="none"/>
        </w:rPr>
        <w:t>、履行方式及履行地点</w:t>
      </w:r>
    </w:p>
    <w:p>
      <w:pPr>
        <w:pStyle w:val="11"/>
        <w:snapToGrid w:val="0"/>
        <w:spacing w:before="120" w:after="120" w:line="360" w:lineRule="auto"/>
        <w:rPr>
          <w:rFonts w:hAnsi="宋体"/>
          <w:bCs/>
          <w:color w:val="auto"/>
          <w:sz w:val="24"/>
          <w:highlight w:val="none"/>
        </w:rPr>
      </w:pPr>
      <w:r>
        <w:rPr>
          <w:rFonts w:hAnsi="宋体"/>
          <w:bCs/>
          <w:color w:val="auto"/>
          <w:sz w:val="24"/>
          <w:highlight w:val="none"/>
        </w:rPr>
        <w:t>1</w:t>
      </w:r>
      <w:r>
        <w:rPr>
          <w:rFonts w:hint="eastAsia" w:hAnsi="宋体"/>
          <w:bCs/>
          <w:color w:val="auto"/>
          <w:sz w:val="24"/>
          <w:highlight w:val="none"/>
        </w:rPr>
        <w:t>.</w:t>
      </w:r>
      <w:r>
        <w:rPr>
          <w:rFonts w:hAnsi="宋体"/>
          <w:color w:val="auto"/>
          <w:sz w:val="24"/>
          <w:highlight w:val="none"/>
        </w:rPr>
        <w:t>履行</w:t>
      </w:r>
      <w:r>
        <w:rPr>
          <w:rFonts w:hint="eastAsia" w:hAnsi="宋体"/>
          <w:color w:val="auto"/>
          <w:sz w:val="24"/>
          <w:highlight w:val="none"/>
        </w:rPr>
        <w:t>期限</w:t>
      </w:r>
      <w:r>
        <w:rPr>
          <w:rFonts w:hint="eastAsia" w:hAnsi="宋体"/>
          <w:color w:val="auto"/>
          <w:sz w:val="24"/>
          <w:highlight w:val="none"/>
          <w:lang w:eastAsia="zh-CN"/>
        </w:rPr>
        <w:t>：</w:t>
      </w:r>
      <w:r>
        <w:rPr>
          <w:rFonts w:hint="eastAsia" w:hAnsi="宋体"/>
          <w:color w:val="auto"/>
          <w:sz w:val="24"/>
          <w:highlight w:val="none"/>
        </w:rPr>
        <w:t>自合同签订之日起一年时间（若之前所有项目已全部完成监管程序，服务期自动结束）</w:t>
      </w:r>
      <w:r>
        <w:rPr>
          <w:rFonts w:hint="eastAsia" w:hAnsi="宋体"/>
          <w:bCs/>
          <w:color w:val="auto"/>
          <w:sz w:val="24"/>
          <w:highlight w:val="none"/>
        </w:rPr>
        <w:t>。</w:t>
      </w:r>
    </w:p>
    <w:p>
      <w:pPr>
        <w:pStyle w:val="11"/>
        <w:snapToGrid w:val="0"/>
        <w:spacing w:before="120" w:after="120" w:line="360" w:lineRule="auto"/>
        <w:rPr>
          <w:rFonts w:hAnsi="宋体"/>
          <w:bCs/>
          <w:color w:val="auto"/>
          <w:sz w:val="24"/>
          <w:highlight w:val="none"/>
        </w:rPr>
      </w:pPr>
      <w:r>
        <w:rPr>
          <w:rFonts w:hAnsi="宋体"/>
          <w:bCs/>
          <w:color w:val="auto"/>
          <w:sz w:val="24"/>
          <w:highlight w:val="none"/>
        </w:rPr>
        <w:t>2</w:t>
      </w:r>
      <w:r>
        <w:rPr>
          <w:rFonts w:hint="eastAsia" w:hAnsi="宋体"/>
          <w:bCs/>
          <w:color w:val="auto"/>
          <w:sz w:val="24"/>
          <w:highlight w:val="none"/>
        </w:rPr>
        <w:t>.</w:t>
      </w:r>
      <w:r>
        <w:rPr>
          <w:rFonts w:hAnsi="宋体"/>
          <w:color w:val="auto"/>
          <w:sz w:val="24"/>
          <w:highlight w:val="none"/>
        </w:rPr>
        <w:t>履行方式</w:t>
      </w:r>
      <w:r>
        <w:rPr>
          <w:rFonts w:hAnsi="宋体"/>
          <w:bCs/>
          <w:color w:val="auto"/>
          <w:sz w:val="24"/>
          <w:highlight w:val="none"/>
        </w:rPr>
        <w:t>：</w:t>
      </w:r>
      <w:r>
        <w:rPr>
          <w:rFonts w:hint="eastAsia" w:hAnsi="宋体"/>
          <w:bCs/>
          <w:color w:val="auto"/>
          <w:sz w:val="24"/>
          <w:highlight w:val="none"/>
        </w:rPr>
        <w:t>甲方提供必要的资料、数据与相关协助，按本合同约定支付咨询费用；乙方在获得必要数据的基础上，向甲方提交本合同成果文件，并对其合法性、准确性、真实性负责。</w:t>
      </w:r>
    </w:p>
    <w:p>
      <w:pPr>
        <w:pStyle w:val="11"/>
        <w:snapToGrid w:val="0"/>
        <w:spacing w:before="120" w:after="120" w:line="360" w:lineRule="auto"/>
        <w:rPr>
          <w:rFonts w:hAnsi="宋体"/>
          <w:color w:val="auto"/>
          <w:sz w:val="24"/>
          <w:highlight w:val="none"/>
        </w:rPr>
      </w:pPr>
      <w:r>
        <w:rPr>
          <w:rFonts w:hAnsi="宋体"/>
          <w:bCs/>
          <w:color w:val="auto"/>
          <w:sz w:val="24"/>
          <w:highlight w:val="none"/>
        </w:rPr>
        <w:t>3</w:t>
      </w:r>
      <w:r>
        <w:rPr>
          <w:rFonts w:hint="eastAsia" w:hAnsi="宋体"/>
          <w:bCs/>
          <w:color w:val="auto"/>
          <w:sz w:val="24"/>
          <w:highlight w:val="none"/>
        </w:rPr>
        <w:t>.</w:t>
      </w:r>
      <w:r>
        <w:rPr>
          <w:rFonts w:hAnsi="宋体"/>
          <w:color w:val="auto"/>
          <w:sz w:val="24"/>
          <w:highlight w:val="none"/>
        </w:rPr>
        <w:t>履行地点</w:t>
      </w:r>
      <w:r>
        <w:rPr>
          <w:rFonts w:hAnsi="宋体"/>
          <w:bCs/>
          <w:color w:val="auto"/>
          <w:sz w:val="24"/>
          <w:highlight w:val="none"/>
        </w:rPr>
        <w:t>：</w:t>
      </w:r>
      <w:r>
        <w:rPr>
          <w:rFonts w:hint="eastAsia" w:hAnsi="宋体"/>
          <w:bCs/>
          <w:color w:val="auto"/>
          <w:sz w:val="24"/>
          <w:highlight w:val="none"/>
        </w:rPr>
        <w:t>三门县；</w:t>
      </w:r>
    </w:p>
    <w:p>
      <w:pPr>
        <w:pStyle w:val="11"/>
        <w:snapToGrid w:val="0"/>
        <w:spacing w:before="120" w:after="120" w:line="360" w:lineRule="auto"/>
        <w:rPr>
          <w:rFonts w:hint="eastAsia" w:hAnsi="宋体"/>
          <w:b/>
          <w:color w:val="auto"/>
          <w:sz w:val="24"/>
          <w:highlight w:val="none"/>
        </w:rPr>
      </w:pPr>
      <w:r>
        <w:rPr>
          <w:rFonts w:hint="eastAsia" w:hAnsi="宋体"/>
          <w:b/>
          <w:color w:val="auto"/>
          <w:sz w:val="24"/>
          <w:highlight w:val="none"/>
        </w:rPr>
        <w:t>十一</w:t>
      </w:r>
      <w:r>
        <w:rPr>
          <w:rFonts w:hAnsi="宋体"/>
          <w:b/>
          <w:color w:val="auto"/>
          <w:sz w:val="24"/>
          <w:highlight w:val="none"/>
        </w:rPr>
        <w:t>、款项支付</w:t>
      </w:r>
      <w:r>
        <w:rPr>
          <w:rFonts w:hint="eastAsia" w:hAnsi="宋体"/>
          <w:b/>
          <w:color w:val="auto"/>
          <w:sz w:val="24"/>
          <w:highlight w:val="none"/>
        </w:rPr>
        <w:t>：</w:t>
      </w:r>
    </w:p>
    <w:p>
      <w:pPr>
        <w:pStyle w:val="11"/>
        <w:snapToGrid w:val="0"/>
        <w:spacing w:before="120" w:after="120" w:line="360" w:lineRule="auto"/>
        <w:ind w:firstLine="480" w:firstLineChars="200"/>
        <w:rPr>
          <w:rFonts w:hint="eastAsia" w:ascii="宋体" w:hAnsi="宋体" w:eastAsia="宋体" w:cstheme="minorBidi"/>
          <w:bCs/>
          <w:color w:val="auto"/>
          <w:kern w:val="2"/>
          <w:sz w:val="24"/>
          <w:szCs w:val="24"/>
          <w:highlight w:val="none"/>
          <w:lang w:val="en-US" w:eastAsia="zh-CN" w:bidi="ar-SA"/>
        </w:rPr>
      </w:pPr>
      <w:r>
        <w:rPr>
          <w:rFonts w:hint="eastAsia" w:ascii="宋体" w:hAnsi="宋体" w:eastAsia="宋体" w:cstheme="minorBidi"/>
          <w:bCs/>
          <w:color w:val="auto"/>
          <w:kern w:val="2"/>
          <w:sz w:val="24"/>
          <w:szCs w:val="24"/>
          <w:highlight w:val="none"/>
          <w:lang w:val="en-US" w:eastAsia="zh-CN" w:bidi="ar-SA"/>
        </w:rPr>
        <w:t>合同签订后，成交供应商即可进场开始无人机照片拍摄，并及时提交拍摄成果；2021年12月底前，提供第一次巡查记录及报告后，委托方支付咨询费总额的 80 %，剩余的20%待合同期满或合同约定工作全部完成后一周内付清。</w:t>
      </w:r>
    </w:p>
    <w:p>
      <w:pPr>
        <w:snapToGrid w:val="0"/>
        <w:spacing w:before="156" w:beforeLines="50" w:after="156" w:afterLines="50" w:line="360" w:lineRule="auto"/>
        <w:rPr>
          <w:rFonts w:ascii="宋体" w:hAnsi="宋体"/>
          <w:b/>
          <w:color w:val="auto"/>
          <w:sz w:val="24"/>
          <w:highlight w:val="none"/>
        </w:rPr>
      </w:pPr>
      <w:r>
        <w:rPr>
          <w:rFonts w:hint="eastAsia" w:hAnsi="宋体"/>
          <w:bCs/>
          <w:color w:val="auto"/>
          <w:sz w:val="24"/>
          <w:highlight w:val="none"/>
          <w:lang w:val="en-US" w:eastAsia="zh-CN"/>
        </w:rPr>
        <w:t xml:space="preserve"> </w:t>
      </w:r>
      <w:r>
        <w:rPr>
          <w:rFonts w:hint="eastAsia" w:ascii="宋体" w:hAnsi="宋体"/>
          <w:b/>
          <w:color w:val="auto"/>
          <w:sz w:val="24"/>
          <w:highlight w:val="none"/>
        </w:rPr>
        <w:t>十二、税费</w:t>
      </w:r>
    </w:p>
    <w:p>
      <w:pPr>
        <w:snapToGrid w:val="0"/>
        <w:spacing w:before="156" w:beforeLines="50" w:after="156" w:afterLines="50" w:line="360" w:lineRule="auto"/>
        <w:rPr>
          <w:rFonts w:ascii="宋体" w:hAnsi="宋体"/>
          <w:color w:val="auto"/>
          <w:sz w:val="24"/>
          <w:highlight w:val="none"/>
        </w:rPr>
      </w:pPr>
      <w:r>
        <w:rPr>
          <w:rFonts w:hint="eastAsia" w:ascii="宋体" w:hAnsi="宋体"/>
          <w:color w:val="auto"/>
          <w:sz w:val="24"/>
          <w:highlight w:val="none"/>
        </w:rPr>
        <w:t>本合同执行中相关的一切税费均由</w:t>
      </w:r>
      <w:r>
        <w:rPr>
          <w:rFonts w:ascii="宋体" w:hAnsi="宋体"/>
          <w:color w:val="auto"/>
          <w:sz w:val="24"/>
          <w:highlight w:val="none"/>
        </w:rPr>
        <w:t>乙</w:t>
      </w:r>
      <w:r>
        <w:rPr>
          <w:rFonts w:hint="eastAsia" w:ascii="宋体" w:hAnsi="宋体"/>
          <w:color w:val="auto"/>
          <w:sz w:val="24"/>
          <w:highlight w:val="none"/>
        </w:rPr>
        <w:t>方负担。</w:t>
      </w:r>
    </w:p>
    <w:p>
      <w:pPr>
        <w:pStyle w:val="11"/>
        <w:snapToGrid w:val="0"/>
        <w:spacing w:before="120" w:after="120" w:line="360" w:lineRule="auto"/>
        <w:rPr>
          <w:rFonts w:hAnsi="宋体"/>
          <w:b/>
          <w:color w:val="auto"/>
          <w:sz w:val="24"/>
          <w:highlight w:val="none"/>
        </w:rPr>
      </w:pPr>
      <w:r>
        <w:rPr>
          <w:rFonts w:hAnsi="宋体"/>
          <w:b/>
          <w:color w:val="auto"/>
          <w:sz w:val="24"/>
          <w:highlight w:val="none"/>
        </w:rPr>
        <w:t>十</w:t>
      </w:r>
      <w:r>
        <w:rPr>
          <w:rFonts w:hint="eastAsia" w:hAnsi="宋体"/>
          <w:b/>
          <w:color w:val="auto"/>
          <w:sz w:val="24"/>
          <w:highlight w:val="none"/>
        </w:rPr>
        <w:t>三</w:t>
      </w:r>
      <w:r>
        <w:rPr>
          <w:rFonts w:hAnsi="宋体"/>
          <w:b/>
          <w:color w:val="auto"/>
          <w:sz w:val="24"/>
          <w:highlight w:val="none"/>
        </w:rPr>
        <w:t>、违约责任</w:t>
      </w:r>
    </w:p>
    <w:p>
      <w:pPr>
        <w:pStyle w:val="11"/>
        <w:snapToGrid w:val="0"/>
        <w:spacing w:before="120" w:after="120" w:line="360" w:lineRule="auto"/>
        <w:ind w:left="410" w:hanging="410" w:hangingChars="171"/>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Ansi="宋体"/>
          <w:color w:val="auto"/>
          <w:sz w:val="24"/>
          <w:highlight w:val="none"/>
        </w:rPr>
        <w:t>甲方无正当理由拒收接受服务的，甲方向乙方偿付合同款项</w:t>
      </w:r>
      <w:r>
        <w:rPr>
          <w:rFonts w:hAnsi="宋体"/>
          <w:color w:val="auto"/>
          <w:sz w:val="24"/>
          <w:highlight w:val="none"/>
          <w:u w:val="single"/>
        </w:rPr>
        <w:t>百分之五</w:t>
      </w:r>
      <w:r>
        <w:rPr>
          <w:rFonts w:hAnsi="宋体"/>
          <w:color w:val="auto"/>
          <w:sz w:val="24"/>
          <w:highlight w:val="none"/>
        </w:rPr>
        <w:t>作为违约金。</w:t>
      </w:r>
    </w:p>
    <w:p>
      <w:pPr>
        <w:pStyle w:val="11"/>
        <w:snapToGrid w:val="0"/>
        <w:spacing w:before="120" w:after="120" w:line="360" w:lineRule="auto"/>
        <w:ind w:left="410" w:hanging="410" w:hangingChars="171"/>
        <w:rPr>
          <w:rFonts w:hAnsi="宋体"/>
          <w:color w:val="auto"/>
          <w:sz w:val="24"/>
          <w:highlight w:val="none"/>
        </w:rPr>
      </w:pPr>
      <w:r>
        <w:rPr>
          <w:rFonts w:hAnsi="宋体"/>
          <w:color w:val="auto"/>
          <w:sz w:val="24"/>
          <w:highlight w:val="none"/>
        </w:rPr>
        <w:t>2</w:t>
      </w:r>
      <w:r>
        <w:rPr>
          <w:rFonts w:hint="eastAsia" w:hAnsi="宋体"/>
          <w:color w:val="auto"/>
          <w:sz w:val="24"/>
          <w:highlight w:val="none"/>
        </w:rPr>
        <w:t>．</w:t>
      </w:r>
      <w:r>
        <w:rPr>
          <w:rFonts w:hAnsi="宋体"/>
          <w:color w:val="auto"/>
          <w:sz w:val="24"/>
          <w:highlight w:val="none"/>
        </w:rPr>
        <w:t>甲方无故逾期验收和办理款项支付手续的,甲方应按逾期付款总额</w:t>
      </w:r>
      <w:r>
        <w:rPr>
          <w:rFonts w:hAnsi="宋体"/>
          <w:color w:val="auto"/>
          <w:sz w:val="24"/>
          <w:highlight w:val="none"/>
          <w:u w:val="single"/>
        </w:rPr>
        <w:t>每日万分之五</w:t>
      </w:r>
      <w:r>
        <w:rPr>
          <w:rFonts w:hAnsi="宋体"/>
          <w:color w:val="auto"/>
          <w:sz w:val="24"/>
          <w:highlight w:val="none"/>
        </w:rPr>
        <w:t>向乙方支付违约金。</w:t>
      </w:r>
    </w:p>
    <w:p>
      <w:pPr>
        <w:pStyle w:val="11"/>
        <w:snapToGrid w:val="0"/>
        <w:spacing w:before="120" w:after="120" w:line="360" w:lineRule="auto"/>
        <w:ind w:left="410" w:hanging="410" w:hangingChars="171"/>
        <w:rPr>
          <w:rFonts w:hAnsi="宋体"/>
          <w:color w:val="auto"/>
          <w:sz w:val="24"/>
          <w:highlight w:val="none"/>
        </w:rPr>
      </w:pPr>
      <w:r>
        <w:rPr>
          <w:rFonts w:hAnsi="宋体"/>
          <w:color w:val="auto"/>
          <w:sz w:val="24"/>
          <w:highlight w:val="none"/>
        </w:rPr>
        <w:t>3</w:t>
      </w:r>
      <w:r>
        <w:rPr>
          <w:rFonts w:hint="eastAsia" w:hAnsi="宋体"/>
          <w:color w:val="auto"/>
          <w:sz w:val="24"/>
          <w:highlight w:val="none"/>
        </w:rPr>
        <w:t>．</w:t>
      </w:r>
      <w:r>
        <w:rPr>
          <w:rFonts w:hAnsi="宋体"/>
          <w:color w:val="auto"/>
          <w:sz w:val="24"/>
          <w:highlight w:val="none"/>
        </w:rPr>
        <w:t xml:space="preserve"> 乙方</w:t>
      </w:r>
      <w:r>
        <w:rPr>
          <w:rFonts w:hint="eastAsia" w:hAnsi="宋体"/>
          <w:color w:val="auto"/>
          <w:sz w:val="24"/>
          <w:highlight w:val="none"/>
        </w:rPr>
        <w:t>未能如</w:t>
      </w:r>
      <w:r>
        <w:rPr>
          <w:rFonts w:hAnsi="宋体"/>
          <w:color w:val="auto"/>
          <w:sz w:val="24"/>
          <w:highlight w:val="none"/>
        </w:rPr>
        <w:t>期提供服务的，每日向甲方支付</w:t>
      </w:r>
      <w:r>
        <w:rPr>
          <w:rFonts w:hint="eastAsia" w:hAnsi="宋体"/>
          <w:color w:val="auto"/>
          <w:sz w:val="24"/>
          <w:highlight w:val="none"/>
        </w:rPr>
        <w:t>合同款项的</w:t>
      </w:r>
      <w:r>
        <w:rPr>
          <w:rFonts w:hAnsi="宋体"/>
          <w:color w:val="auto"/>
          <w:sz w:val="24"/>
          <w:highlight w:val="none"/>
          <w:u w:val="single"/>
        </w:rPr>
        <w:t>千分之六</w:t>
      </w:r>
      <w:r>
        <w:rPr>
          <w:rFonts w:hint="eastAsia" w:hAnsi="宋体"/>
          <w:color w:val="auto"/>
          <w:sz w:val="24"/>
          <w:highlight w:val="none"/>
        </w:rPr>
        <w:t>作为</w:t>
      </w:r>
      <w:r>
        <w:rPr>
          <w:rFonts w:hAnsi="宋体"/>
          <w:color w:val="auto"/>
          <w:sz w:val="24"/>
          <w:highlight w:val="none"/>
        </w:rPr>
        <w:t>违约金。乙方超过约定日期10个工作日</w:t>
      </w:r>
      <w:r>
        <w:rPr>
          <w:rFonts w:hint="eastAsia" w:hAnsi="宋体"/>
          <w:color w:val="auto"/>
          <w:sz w:val="24"/>
          <w:highlight w:val="none"/>
        </w:rPr>
        <w:t>仍</w:t>
      </w:r>
      <w:r>
        <w:rPr>
          <w:rFonts w:hAnsi="宋体"/>
          <w:color w:val="auto"/>
          <w:sz w:val="24"/>
          <w:highlight w:val="none"/>
        </w:rPr>
        <w:t>不能</w:t>
      </w:r>
      <w:r>
        <w:rPr>
          <w:rFonts w:hint="eastAsia" w:hAnsi="宋体"/>
          <w:color w:val="auto"/>
          <w:sz w:val="24"/>
          <w:highlight w:val="none"/>
        </w:rPr>
        <w:t>提供服务</w:t>
      </w:r>
      <w:r>
        <w:rPr>
          <w:rFonts w:hAnsi="宋体"/>
          <w:color w:val="auto"/>
          <w:sz w:val="24"/>
          <w:highlight w:val="none"/>
        </w:rPr>
        <w:t>的，甲方可解除本合同。乙方因</w:t>
      </w:r>
      <w:r>
        <w:rPr>
          <w:rFonts w:hint="eastAsia" w:hAnsi="宋体"/>
          <w:color w:val="auto"/>
          <w:sz w:val="24"/>
          <w:highlight w:val="none"/>
        </w:rPr>
        <w:t>未能如</w:t>
      </w:r>
      <w:r>
        <w:rPr>
          <w:rFonts w:hAnsi="宋体"/>
          <w:color w:val="auto"/>
          <w:sz w:val="24"/>
          <w:highlight w:val="none"/>
        </w:rPr>
        <w:t xml:space="preserve">期提供服务或因其他违约行为导致甲方解除合同的，乙方应向甲方支付合同总值5%的违约金，如造成甲方损失超过违约金的，超出部分由乙方继续承担赔偿责任。 </w:t>
      </w:r>
    </w:p>
    <w:p>
      <w:pPr>
        <w:pStyle w:val="11"/>
        <w:snapToGrid w:val="0"/>
        <w:spacing w:before="120" w:after="120" w:line="360" w:lineRule="auto"/>
        <w:rPr>
          <w:rFonts w:hAnsi="宋体"/>
          <w:b/>
          <w:color w:val="auto"/>
          <w:sz w:val="24"/>
          <w:highlight w:val="none"/>
        </w:rPr>
      </w:pPr>
      <w:r>
        <w:rPr>
          <w:rFonts w:hAnsi="宋体"/>
          <w:b/>
          <w:color w:val="auto"/>
          <w:sz w:val="24"/>
          <w:highlight w:val="none"/>
        </w:rPr>
        <w:t>十</w:t>
      </w:r>
      <w:r>
        <w:rPr>
          <w:rFonts w:hint="eastAsia" w:hAnsi="宋体"/>
          <w:b/>
          <w:color w:val="auto"/>
          <w:sz w:val="24"/>
          <w:highlight w:val="none"/>
        </w:rPr>
        <w:t>四</w:t>
      </w:r>
      <w:r>
        <w:rPr>
          <w:rFonts w:hAnsi="宋体"/>
          <w:b/>
          <w:color w:val="auto"/>
          <w:sz w:val="24"/>
          <w:highlight w:val="none"/>
        </w:rPr>
        <w:t>、不可抗力事件处理</w:t>
      </w:r>
    </w:p>
    <w:p>
      <w:pPr>
        <w:pStyle w:val="11"/>
        <w:snapToGrid w:val="0"/>
        <w:spacing w:before="120" w:after="120" w:line="360" w:lineRule="auto"/>
        <w:ind w:left="480" w:hanging="480" w:hangingChars="200"/>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Ansi="宋体"/>
          <w:color w:val="auto"/>
          <w:sz w:val="24"/>
          <w:highlight w:val="none"/>
        </w:rPr>
        <w:t>在合同有效期内，任何一方因不可抗力事件导致不能履行合同，则合同履行</w:t>
      </w:r>
    </w:p>
    <w:p>
      <w:pPr>
        <w:pStyle w:val="11"/>
        <w:snapToGrid w:val="0"/>
        <w:spacing w:before="120" w:after="120" w:line="360" w:lineRule="auto"/>
        <w:ind w:firstLine="360" w:firstLineChars="150"/>
        <w:rPr>
          <w:rFonts w:hAnsi="宋体"/>
          <w:color w:val="auto"/>
          <w:sz w:val="24"/>
          <w:highlight w:val="none"/>
        </w:rPr>
      </w:pPr>
      <w:r>
        <w:rPr>
          <w:rFonts w:hAnsi="宋体"/>
          <w:color w:val="auto"/>
          <w:sz w:val="24"/>
          <w:highlight w:val="none"/>
        </w:rPr>
        <w:t>期可延长，其延长期与不可抗力影响期相同。</w:t>
      </w:r>
    </w:p>
    <w:p>
      <w:pPr>
        <w:pStyle w:val="11"/>
        <w:snapToGrid w:val="0"/>
        <w:spacing w:before="120" w:after="120" w:line="360" w:lineRule="auto"/>
        <w:rPr>
          <w:rFonts w:hAnsi="宋体"/>
          <w:color w:val="auto"/>
          <w:sz w:val="24"/>
          <w:highlight w:val="none"/>
        </w:rPr>
      </w:pPr>
      <w:r>
        <w:rPr>
          <w:rFonts w:hAnsi="宋体"/>
          <w:color w:val="auto"/>
          <w:sz w:val="24"/>
          <w:highlight w:val="none"/>
        </w:rPr>
        <w:t>2</w:t>
      </w:r>
      <w:r>
        <w:rPr>
          <w:rFonts w:hint="eastAsia" w:hAnsi="宋体"/>
          <w:color w:val="auto"/>
          <w:sz w:val="24"/>
          <w:highlight w:val="none"/>
        </w:rPr>
        <w:t>．</w:t>
      </w:r>
      <w:r>
        <w:rPr>
          <w:rFonts w:hAnsi="宋体"/>
          <w:color w:val="auto"/>
          <w:sz w:val="24"/>
          <w:highlight w:val="none"/>
        </w:rPr>
        <w:t>不可抗力事件发生后，应立即通知对方，并寄送有关权威机构出具的证明。</w:t>
      </w:r>
    </w:p>
    <w:p>
      <w:pPr>
        <w:pStyle w:val="11"/>
        <w:snapToGrid w:val="0"/>
        <w:spacing w:before="120" w:after="120" w:line="360" w:lineRule="auto"/>
        <w:rPr>
          <w:rFonts w:hAnsi="宋体"/>
          <w:color w:val="auto"/>
          <w:sz w:val="24"/>
          <w:highlight w:val="none"/>
        </w:rPr>
      </w:pPr>
      <w:r>
        <w:rPr>
          <w:rFonts w:hAnsi="宋体"/>
          <w:color w:val="auto"/>
          <w:sz w:val="24"/>
          <w:highlight w:val="none"/>
        </w:rPr>
        <w:t>3</w:t>
      </w:r>
      <w:r>
        <w:rPr>
          <w:rFonts w:hint="eastAsia" w:hAnsi="宋体"/>
          <w:color w:val="auto"/>
          <w:sz w:val="24"/>
          <w:highlight w:val="none"/>
        </w:rPr>
        <w:t>．</w:t>
      </w:r>
      <w:r>
        <w:rPr>
          <w:rFonts w:hAnsi="宋体"/>
          <w:color w:val="auto"/>
          <w:sz w:val="24"/>
          <w:highlight w:val="none"/>
        </w:rPr>
        <w:t>不可抗力事件延续120天以上，双方应通过友好协商，确定是否继续履行合</w:t>
      </w:r>
    </w:p>
    <w:p>
      <w:pPr>
        <w:pStyle w:val="11"/>
        <w:snapToGrid w:val="0"/>
        <w:spacing w:before="120" w:after="120" w:line="360" w:lineRule="auto"/>
        <w:ind w:firstLine="360" w:firstLineChars="150"/>
        <w:rPr>
          <w:rFonts w:hAnsi="宋体"/>
          <w:color w:val="auto"/>
          <w:sz w:val="24"/>
          <w:highlight w:val="none"/>
        </w:rPr>
      </w:pPr>
      <w:r>
        <w:rPr>
          <w:rFonts w:hAnsi="宋体"/>
          <w:color w:val="auto"/>
          <w:sz w:val="24"/>
          <w:highlight w:val="none"/>
        </w:rPr>
        <w:t>同。</w:t>
      </w:r>
    </w:p>
    <w:p>
      <w:pPr>
        <w:pStyle w:val="11"/>
        <w:numPr>
          <w:ilvl w:val="0"/>
          <w:numId w:val="4"/>
        </w:numPr>
        <w:snapToGrid w:val="0"/>
        <w:spacing w:before="120" w:after="12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解决争议的方法</w:t>
      </w:r>
    </w:p>
    <w:p>
      <w:pPr>
        <w:pStyle w:val="11"/>
        <w:snapToGrid w:val="0"/>
        <w:spacing w:before="120" w:after="120" w:line="360" w:lineRule="auto"/>
        <w:ind w:firstLine="240" w:firstLineChars="100"/>
        <w:rPr>
          <w:rFonts w:hAnsi="宋体" w:cs="宋体"/>
          <w:color w:val="auto"/>
          <w:kern w:val="0"/>
          <w:sz w:val="24"/>
          <w:highlight w:val="none"/>
        </w:rPr>
      </w:pPr>
      <w:r>
        <w:rPr>
          <w:rFonts w:hAnsi="宋体" w:cs="宋体"/>
          <w:color w:val="auto"/>
          <w:kern w:val="0"/>
          <w:sz w:val="24"/>
          <w:highlight w:val="none"/>
        </w:rPr>
        <w:t>如双方在履行合同时发生纠纷，应协商解决；协商不成时</w:t>
      </w:r>
      <w:r>
        <w:rPr>
          <w:rFonts w:hint="eastAsia" w:hAnsi="宋体" w:cs="宋体"/>
          <w:color w:val="auto"/>
          <w:kern w:val="0"/>
          <w:sz w:val="24"/>
          <w:highlight w:val="none"/>
        </w:rPr>
        <w:t>，</w:t>
      </w:r>
      <w:r>
        <w:rPr>
          <w:rFonts w:hAnsi="宋体" w:cs="宋体"/>
          <w:color w:val="auto"/>
          <w:kern w:val="0"/>
          <w:sz w:val="24"/>
          <w:highlight w:val="none"/>
        </w:rPr>
        <w:t>依法向甲方</w:t>
      </w:r>
      <w:r>
        <w:rPr>
          <w:rFonts w:hint="eastAsia" w:hAnsi="宋体" w:cs="宋体"/>
          <w:color w:val="auto"/>
          <w:kern w:val="0"/>
          <w:sz w:val="24"/>
          <w:highlight w:val="none"/>
        </w:rPr>
        <w:t>当地</w:t>
      </w:r>
      <w:r>
        <w:rPr>
          <w:rFonts w:hAnsi="宋体" w:cs="宋体"/>
          <w:color w:val="auto"/>
          <w:kern w:val="0"/>
          <w:sz w:val="24"/>
          <w:highlight w:val="none"/>
        </w:rPr>
        <w:t>人民法院提起诉讼。</w:t>
      </w:r>
    </w:p>
    <w:p>
      <w:pPr>
        <w:pStyle w:val="11"/>
        <w:snapToGrid w:val="0"/>
        <w:spacing w:before="120" w:after="120" w:line="360" w:lineRule="auto"/>
        <w:rPr>
          <w:rFonts w:hAnsi="宋体"/>
          <w:b/>
          <w:color w:val="auto"/>
          <w:sz w:val="24"/>
          <w:highlight w:val="none"/>
        </w:rPr>
      </w:pPr>
      <w:r>
        <w:rPr>
          <w:rFonts w:hAnsi="宋体"/>
          <w:b/>
          <w:color w:val="auto"/>
          <w:sz w:val="24"/>
          <w:highlight w:val="none"/>
        </w:rPr>
        <w:t>十</w:t>
      </w:r>
      <w:r>
        <w:rPr>
          <w:rFonts w:hint="eastAsia" w:hAnsi="宋体"/>
          <w:b/>
          <w:color w:val="auto"/>
          <w:sz w:val="24"/>
          <w:highlight w:val="none"/>
        </w:rPr>
        <w:t>六</w:t>
      </w:r>
      <w:r>
        <w:rPr>
          <w:rFonts w:hAnsi="宋体"/>
          <w:b/>
          <w:color w:val="auto"/>
          <w:sz w:val="24"/>
          <w:highlight w:val="none"/>
        </w:rPr>
        <w:t>、合同生效及其它</w:t>
      </w:r>
    </w:p>
    <w:p>
      <w:pPr>
        <w:pStyle w:val="11"/>
        <w:snapToGrid w:val="0"/>
        <w:spacing w:before="120" w:after="120" w:line="360" w:lineRule="auto"/>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Ansi="宋体"/>
          <w:color w:val="auto"/>
          <w:sz w:val="24"/>
          <w:highlight w:val="none"/>
        </w:rPr>
        <w:t xml:space="preserve"> 合同经双方法定代表人或授权代表</w:t>
      </w:r>
      <w:r>
        <w:rPr>
          <w:rFonts w:hint="eastAsia" w:hAnsi="宋体"/>
          <w:color w:val="auto"/>
          <w:sz w:val="24"/>
          <w:highlight w:val="none"/>
        </w:rPr>
        <w:t>签字</w:t>
      </w:r>
      <w:r>
        <w:rPr>
          <w:rFonts w:hAnsi="宋体"/>
          <w:color w:val="auto"/>
          <w:sz w:val="24"/>
          <w:highlight w:val="none"/>
        </w:rPr>
        <w:t>并加盖单位公章后生效。</w:t>
      </w:r>
    </w:p>
    <w:p>
      <w:pPr>
        <w:pStyle w:val="11"/>
        <w:snapToGrid w:val="0"/>
        <w:spacing w:before="120" w:after="120" w:line="360" w:lineRule="auto"/>
        <w:ind w:left="480" w:hanging="480" w:hangingChars="200"/>
        <w:rPr>
          <w:rFonts w:hAnsi="宋体"/>
          <w:color w:val="auto"/>
          <w:sz w:val="24"/>
          <w:highlight w:val="none"/>
        </w:rPr>
      </w:pPr>
      <w:r>
        <w:rPr>
          <w:rFonts w:hint="eastAsia" w:hAnsi="宋体"/>
          <w:color w:val="auto"/>
          <w:sz w:val="24"/>
          <w:highlight w:val="none"/>
        </w:rPr>
        <w:t xml:space="preserve">2. </w:t>
      </w:r>
      <w:r>
        <w:rPr>
          <w:rFonts w:hAnsi="宋体"/>
          <w:color w:val="auto"/>
          <w:sz w:val="24"/>
          <w:highlight w:val="none"/>
        </w:rPr>
        <w:t>本合同未尽事宜，遵照《合同法》有关条文执行。</w:t>
      </w:r>
    </w:p>
    <w:p>
      <w:pPr>
        <w:widowControl/>
        <w:spacing w:line="360" w:lineRule="auto"/>
        <w:rPr>
          <w:rFonts w:ascii="宋体" w:hAnsi="宋体" w:cstheme="minorBidi"/>
          <w:color w:val="auto"/>
          <w:sz w:val="24"/>
          <w:highlight w:val="none"/>
        </w:rPr>
      </w:pPr>
      <w:r>
        <w:rPr>
          <w:rFonts w:hint="eastAsia" w:ascii="宋体" w:hAnsi="宋体" w:cstheme="minorBidi"/>
          <w:color w:val="auto"/>
          <w:sz w:val="24"/>
          <w:highlight w:val="none"/>
        </w:rPr>
        <w:t>3. 本合同一式六份。甲方3份，乙方2份，</w:t>
      </w:r>
      <w:r>
        <w:rPr>
          <w:rFonts w:hint="eastAsia" w:ascii="宋体" w:hAnsi="宋体"/>
          <w:color w:val="auto"/>
          <w:sz w:val="24"/>
          <w:highlight w:val="none"/>
        </w:rPr>
        <w:t>采购组织机构1份。</w:t>
      </w:r>
      <w:r>
        <w:rPr>
          <w:rFonts w:hint="eastAsia" w:ascii="宋体" w:hAnsi="宋体" w:cstheme="minorBidi"/>
          <w:color w:val="auto"/>
          <w:sz w:val="24"/>
          <w:highlight w:val="none"/>
        </w:rPr>
        <w:t>本项目未尽事宜以谈判文件、谈判响应文件及澄清文件等为准。</w:t>
      </w:r>
    </w:p>
    <w:p>
      <w:pPr>
        <w:widowControl/>
        <w:spacing w:line="360" w:lineRule="auto"/>
        <w:rPr>
          <w:rFonts w:ascii="宋体" w:hAnsi="宋体"/>
          <w:color w:val="auto"/>
          <w:kern w:val="0"/>
          <w:sz w:val="24"/>
          <w:highlight w:val="none"/>
        </w:rPr>
      </w:pPr>
    </w:p>
    <w:p>
      <w:pPr>
        <w:widowControl/>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甲方（公章）                                     乙方（公章）</w:t>
      </w:r>
    </w:p>
    <w:p>
      <w:pPr>
        <w:spacing w:line="360" w:lineRule="auto"/>
        <w:rPr>
          <w:rFonts w:ascii="宋体" w:hAnsi="宋体"/>
          <w:color w:val="auto"/>
          <w:sz w:val="24"/>
          <w:highlight w:val="none"/>
        </w:rPr>
      </w:pPr>
      <w:r>
        <w:rPr>
          <w:rFonts w:hint="eastAsia" w:ascii="宋体" w:hAnsi="宋体"/>
          <w:color w:val="auto"/>
          <w:sz w:val="24"/>
          <w:highlight w:val="none"/>
        </w:rPr>
        <w:t>法定代表人：                                     法定代表人：</w:t>
      </w:r>
    </w:p>
    <w:p>
      <w:pPr>
        <w:spacing w:line="360" w:lineRule="auto"/>
        <w:rPr>
          <w:rFonts w:ascii="宋体" w:hAnsi="宋体"/>
          <w:color w:val="auto"/>
          <w:sz w:val="24"/>
          <w:highlight w:val="none"/>
        </w:rPr>
      </w:pPr>
      <w:r>
        <w:rPr>
          <w:rFonts w:hint="eastAsia" w:ascii="宋体" w:hAnsi="宋体"/>
          <w:color w:val="auto"/>
          <w:sz w:val="24"/>
          <w:highlight w:val="none"/>
        </w:rPr>
        <w:t>委托代理人：                                     委托代理人：</w:t>
      </w:r>
    </w:p>
    <w:p>
      <w:pPr>
        <w:spacing w:line="360" w:lineRule="auto"/>
        <w:rPr>
          <w:rFonts w:ascii="宋体" w:hAnsi="宋体"/>
          <w:color w:val="auto"/>
          <w:sz w:val="24"/>
          <w:highlight w:val="none"/>
        </w:rPr>
      </w:pPr>
      <w:r>
        <w:rPr>
          <w:rFonts w:hint="eastAsia" w:ascii="宋体" w:hAnsi="宋体"/>
          <w:color w:val="auto"/>
          <w:sz w:val="24"/>
          <w:highlight w:val="none"/>
        </w:rPr>
        <w:t>联系电话：                                       联系电话：</w:t>
      </w:r>
    </w:p>
    <w:p>
      <w:pPr>
        <w:spacing w:line="360" w:lineRule="auto"/>
        <w:rPr>
          <w:rFonts w:ascii="宋体" w:hAnsi="宋体"/>
          <w:color w:val="auto"/>
          <w:sz w:val="24"/>
          <w:highlight w:val="none"/>
        </w:rPr>
      </w:pPr>
      <w:r>
        <w:rPr>
          <w:rFonts w:hint="eastAsia" w:ascii="宋体" w:hAnsi="宋体"/>
          <w:color w:val="auto"/>
          <w:sz w:val="24"/>
          <w:highlight w:val="none"/>
        </w:rPr>
        <w:t>开户银行：                                       开户银行：</w:t>
      </w:r>
    </w:p>
    <w:p>
      <w:pPr>
        <w:spacing w:line="360" w:lineRule="auto"/>
        <w:rPr>
          <w:rFonts w:ascii="宋体" w:hAnsi="宋体"/>
          <w:color w:val="auto"/>
          <w:sz w:val="24"/>
          <w:highlight w:val="none"/>
        </w:rPr>
      </w:pPr>
      <w:r>
        <w:rPr>
          <w:rFonts w:hint="eastAsia" w:ascii="宋体" w:hAnsi="宋体"/>
          <w:color w:val="auto"/>
          <w:sz w:val="24"/>
          <w:highlight w:val="none"/>
        </w:rPr>
        <w:t>帐号：                                           帐号：</w:t>
      </w:r>
    </w:p>
    <w:p>
      <w:pPr>
        <w:spacing w:line="360" w:lineRule="auto"/>
        <w:rPr>
          <w:rFonts w:ascii="宋体" w:hAnsi="宋体"/>
          <w:color w:val="auto"/>
          <w:sz w:val="24"/>
          <w:highlight w:val="none"/>
        </w:rPr>
      </w:pPr>
      <w:r>
        <w:rPr>
          <w:rFonts w:hint="eastAsia" w:ascii="宋体" w:hAnsi="宋体"/>
          <w:color w:val="auto"/>
          <w:sz w:val="24"/>
          <w:highlight w:val="none"/>
        </w:rPr>
        <w:t>地址及邮编：                                     地址及邮编：</w:t>
      </w:r>
    </w:p>
    <w:p>
      <w:pPr>
        <w:spacing w:line="360" w:lineRule="auto"/>
        <w:rPr>
          <w:rFonts w:ascii="宋体" w:hAnsi="宋体"/>
          <w:color w:val="auto"/>
          <w:sz w:val="24"/>
          <w:highlight w:val="none"/>
        </w:rPr>
      </w:pPr>
    </w:p>
    <w:p>
      <w:pPr>
        <w:spacing w:line="360" w:lineRule="auto"/>
        <w:ind w:firstLine="4920" w:firstLineChars="2050"/>
        <w:rPr>
          <w:rFonts w:ascii="宋体" w:hAnsi="宋体"/>
          <w:color w:val="auto"/>
          <w:sz w:val="24"/>
          <w:highlight w:val="none"/>
        </w:rPr>
      </w:pPr>
      <w:r>
        <w:rPr>
          <w:rFonts w:hint="eastAsia" w:ascii="宋体" w:hAnsi="宋体"/>
          <w:color w:val="auto"/>
          <w:sz w:val="24"/>
          <w:highlight w:val="none"/>
        </w:rPr>
        <w:t>签订时间：</w:t>
      </w:r>
      <w:r>
        <w:rPr>
          <w:rFonts w:hint="eastAsia" w:cs="Arial" w:asciiTheme="minorEastAsia" w:hAnsiTheme="minorEastAsia" w:eastAsiaTheme="minorEastAsia"/>
          <w:color w:val="auto"/>
          <w:sz w:val="24"/>
          <w:highlight w:val="none"/>
        </w:rPr>
        <w:t>××</w:t>
      </w:r>
      <w:r>
        <w:rPr>
          <w:rFonts w:hint="eastAsia" w:ascii="宋体" w:hAnsi="宋体"/>
          <w:color w:val="auto"/>
          <w:sz w:val="24"/>
          <w:highlight w:val="none"/>
        </w:rPr>
        <w:t>年</w:t>
      </w:r>
      <w:r>
        <w:rPr>
          <w:rFonts w:hint="eastAsia" w:cs="Arial" w:asciiTheme="minorEastAsia" w:hAnsiTheme="minorEastAsia" w:eastAsiaTheme="minorEastAsia"/>
          <w:color w:val="auto"/>
          <w:sz w:val="24"/>
          <w:highlight w:val="none"/>
        </w:rPr>
        <w:t>××</w:t>
      </w:r>
      <w:r>
        <w:rPr>
          <w:rFonts w:hint="eastAsia" w:ascii="宋体" w:hAnsi="宋体"/>
          <w:color w:val="auto"/>
          <w:sz w:val="24"/>
          <w:highlight w:val="none"/>
        </w:rPr>
        <w:t>月</w:t>
      </w:r>
      <w:r>
        <w:rPr>
          <w:rFonts w:hint="eastAsia" w:cs="Arial" w:asciiTheme="minorEastAsia" w:hAnsiTheme="minorEastAsia" w:eastAsiaTheme="minorEastAsia"/>
          <w:color w:val="auto"/>
          <w:sz w:val="24"/>
          <w:highlight w:val="none"/>
        </w:rPr>
        <w:t>××</w:t>
      </w:r>
      <w:r>
        <w:rPr>
          <w:rFonts w:hint="eastAsia" w:ascii="宋体" w:hAnsi="宋体"/>
          <w:color w:val="auto"/>
          <w:sz w:val="24"/>
          <w:highlight w:val="none"/>
        </w:rPr>
        <w:t>日</w:t>
      </w:r>
    </w:p>
    <w:p>
      <w:pPr>
        <w:autoSpaceDE w:val="0"/>
        <w:autoSpaceDN w:val="0"/>
        <w:adjustRightInd w:val="0"/>
        <w:spacing w:line="360" w:lineRule="auto"/>
        <w:rPr>
          <w:rFonts w:ascii="宋体" w:hAnsi="宋体"/>
          <w:b/>
          <w:color w:val="auto"/>
          <w:kern w:val="0"/>
          <w:sz w:val="30"/>
          <w:highlight w:val="none"/>
        </w:rPr>
      </w:pPr>
    </w:p>
    <w:p>
      <w:pPr>
        <w:spacing w:line="360" w:lineRule="auto"/>
        <w:jc w:val="center"/>
        <w:rPr>
          <w:rFonts w:ascii="宋体" w:hAnsi="宋体"/>
          <w:color w:val="auto"/>
          <w:sz w:val="36"/>
          <w:highlight w:val="none"/>
        </w:rPr>
      </w:pPr>
    </w:p>
    <w:p>
      <w:pPr>
        <w:spacing w:line="360" w:lineRule="auto"/>
        <w:jc w:val="center"/>
        <w:rPr>
          <w:rFonts w:asciiTheme="majorEastAsia" w:hAnsiTheme="majorEastAsia" w:eastAsiaTheme="majorEastAsia"/>
          <w:b/>
          <w:color w:val="auto"/>
          <w:sz w:val="36"/>
          <w:highlight w:val="none"/>
        </w:rPr>
      </w:pPr>
      <w:r>
        <w:rPr>
          <w:rFonts w:hint="eastAsia" w:asciiTheme="majorEastAsia" w:hAnsiTheme="majorEastAsia" w:eastAsiaTheme="majorEastAsia"/>
          <w:b/>
          <w:color w:val="auto"/>
          <w:sz w:val="36"/>
          <w:highlight w:val="none"/>
        </w:rPr>
        <w:br w:type="page"/>
      </w:r>
    </w:p>
    <w:p>
      <w:pPr>
        <w:spacing w:line="360" w:lineRule="auto"/>
        <w:jc w:val="center"/>
        <w:rPr>
          <w:rFonts w:asciiTheme="majorEastAsia" w:hAnsiTheme="majorEastAsia" w:eastAsiaTheme="majorEastAsia"/>
          <w:b/>
          <w:color w:val="auto"/>
          <w:kern w:val="0"/>
          <w:sz w:val="36"/>
          <w:szCs w:val="36"/>
          <w:highlight w:val="none"/>
        </w:rPr>
      </w:pPr>
      <w:r>
        <w:rPr>
          <w:rFonts w:hint="eastAsia" w:asciiTheme="majorEastAsia" w:hAnsiTheme="majorEastAsia" w:eastAsiaTheme="majorEastAsia"/>
          <w:b/>
          <w:color w:val="auto"/>
          <w:sz w:val="36"/>
          <w:szCs w:val="36"/>
          <w:highlight w:val="none"/>
        </w:rPr>
        <w:t>第五章谈判响应文件格式附件</w:t>
      </w:r>
    </w:p>
    <w:p>
      <w:pPr>
        <w:rPr>
          <w:rFonts w:ascii="宋体" w:hAnsi="宋体"/>
          <w:b/>
          <w:color w:val="auto"/>
          <w:kern w:val="0"/>
          <w:sz w:val="28"/>
          <w:szCs w:val="28"/>
          <w:highlight w:val="none"/>
        </w:rPr>
      </w:pPr>
      <w:r>
        <w:rPr>
          <w:rFonts w:hint="eastAsia" w:ascii="宋体" w:hAnsi="宋体"/>
          <w:b/>
          <w:color w:val="auto"/>
          <w:kern w:val="0"/>
          <w:sz w:val="28"/>
          <w:szCs w:val="28"/>
          <w:highlight w:val="none"/>
        </w:rPr>
        <w:t>附件1                              　　　         本</w:t>
      </w:r>
    </w:p>
    <w:p>
      <w:pPr>
        <w:snapToGrid w:val="0"/>
        <w:spacing w:before="156" w:beforeLines="50" w:after="50" w:line="360" w:lineRule="auto"/>
        <w:rPr>
          <w:rFonts w:ascii="宋体" w:hAnsi="宋体"/>
          <w:b/>
          <w:color w:val="auto"/>
          <w:sz w:val="24"/>
          <w:highlight w:val="none"/>
        </w:rPr>
      </w:pPr>
    </w:p>
    <w:p>
      <w:pPr>
        <w:spacing w:line="360" w:lineRule="auto"/>
        <w:ind w:right="-110"/>
        <w:jc w:val="center"/>
        <w:rPr>
          <w:rFonts w:ascii="宋体" w:hAnsi="宋体"/>
          <w:color w:val="auto"/>
          <w:spacing w:val="40"/>
          <w:sz w:val="52"/>
          <w:szCs w:val="52"/>
          <w:highlight w:val="none"/>
        </w:rPr>
      </w:pPr>
      <w:r>
        <w:rPr>
          <w:rFonts w:hint="eastAsia" w:ascii="宋体" w:hAnsi="宋体"/>
          <w:color w:val="auto"/>
          <w:spacing w:val="40"/>
          <w:sz w:val="52"/>
          <w:szCs w:val="52"/>
          <w:highlight w:val="none"/>
        </w:rPr>
        <w:t>项目名称</w:t>
      </w:r>
    </w:p>
    <w:p>
      <w:pPr>
        <w:spacing w:before="312" w:beforeLines="100" w:line="360" w:lineRule="auto"/>
        <w:ind w:right="-108"/>
        <w:jc w:val="center"/>
        <w:rPr>
          <w:rFonts w:ascii="宋体" w:hAnsi="宋体"/>
          <w:color w:val="auto"/>
          <w:sz w:val="36"/>
          <w:szCs w:val="36"/>
          <w:highlight w:val="none"/>
        </w:rPr>
      </w:pPr>
      <w:r>
        <w:rPr>
          <w:rFonts w:hint="eastAsia" w:ascii="宋体" w:hAnsi="宋体"/>
          <w:color w:val="auto"/>
          <w:sz w:val="36"/>
          <w:szCs w:val="36"/>
          <w:highlight w:val="none"/>
        </w:rPr>
        <w:t>项目编号：</w:t>
      </w:r>
    </w:p>
    <w:p>
      <w:pPr>
        <w:spacing w:after="100" w:afterAutospacing="1" w:line="800" w:lineRule="exact"/>
        <w:ind w:right="-108"/>
        <w:jc w:val="center"/>
        <w:rPr>
          <w:rFonts w:ascii="宋体" w:hAnsi="宋体"/>
          <w:b/>
          <w:color w:val="auto"/>
          <w:spacing w:val="40"/>
          <w:sz w:val="24"/>
          <w:highlight w:val="none"/>
        </w:rPr>
      </w:pPr>
    </w:p>
    <w:p>
      <w:pPr>
        <w:spacing w:after="100" w:afterAutospacing="1" w:line="800" w:lineRule="exact"/>
        <w:ind w:right="-108"/>
        <w:jc w:val="center"/>
        <w:rPr>
          <w:rFonts w:ascii="宋体" w:hAnsi="宋体"/>
          <w:b/>
          <w:color w:val="auto"/>
          <w:spacing w:val="40"/>
          <w:sz w:val="72"/>
          <w:szCs w:val="72"/>
          <w:highlight w:val="none"/>
        </w:rPr>
      </w:pPr>
      <w:r>
        <w:rPr>
          <w:rFonts w:hint="eastAsia" w:ascii="宋体" w:hAnsi="宋体"/>
          <w:b/>
          <w:color w:val="auto"/>
          <w:spacing w:val="40"/>
          <w:sz w:val="72"/>
          <w:szCs w:val="72"/>
          <w:highlight w:val="none"/>
        </w:rPr>
        <w:t>谈</w:t>
      </w:r>
    </w:p>
    <w:p>
      <w:pPr>
        <w:spacing w:after="100" w:afterAutospacing="1" w:line="800" w:lineRule="exact"/>
        <w:ind w:right="-108"/>
        <w:jc w:val="center"/>
        <w:rPr>
          <w:rFonts w:ascii="宋体" w:hAnsi="宋体"/>
          <w:b/>
          <w:color w:val="auto"/>
          <w:spacing w:val="40"/>
          <w:sz w:val="72"/>
          <w:szCs w:val="72"/>
          <w:highlight w:val="none"/>
        </w:rPr>
      </w:pPr>
      <w:r>
        <w:rPr>
          <w:rFonts w:hint="eastAsia" w:ascii="宋体" w:hAnsi="宋体"/>
          <w:b/>
          <w:color w:val="auto"/>
          <w:spacing w:val="40"/>
          <w:sz w:val="72"/>
          <w:szCs w:val="72"/>
          <w:highlight w:val="none"/>
        </w:rPr>
        <w:t>判</w:t>
      </w:r>
    </w:p>
    <w:p>
      <w:pPr>
        <w:spacing w:after="100" w:afterAutospacing="1"/>
        <w:ind w:right="-108"/>
        <w:jc w:val="center"/>
        <w:rPr>
          <w:rFonts w:ascii="宋体" w:hAnsi="宋体"/>
          <w:b/>
          <w:color w:val="auto"/>
          <w:spacing w:val="40"/>
          <w:sz w:val="72"/>
          <w:szCs w:val="72"/>
          <w:highlight w:val="none"/>
        </w:rPr>
      </w:pPr>
      <w:r>
        <w:rPr>
          <w:rFonts w:hint="eastAsia" w:ascii="宋体" w:hAnsi="宋体"/>
          <w:b/>
          <w:color w:val="auto"/>
          <w:spacing w:val="40"/>
          <w:sz w:val="72"/>
          <w:szCs w:val="72"/>
          <w:highlight w:val="none"/>
        </w:rPr>
        <w:t>响</w:t>
      </w:r>
    </w:p>
    <w:p>
      <w:pPr>
        <w:spacing w:after="100" w:afterAutospacing="1"/>
        <w:ind w:right="-108"/>
        <w:jc w:val="center"/>
        <w:rPr>
          <w:rFonts w:ascii="宋体" w:hAnsi="宋体"/>
          <w:b/>
          <w:color w:val="auto"/>
          <w:spacing w:val="40"/>
          <w:sz w:val="72"/>
          <w:szCs w:val="72"/>
          <w:highlight w:val="none"/>
        </w:rPr>
      </w:pPr>
      <w:r>
        <w:rPr>
          <w:rFonts w:hint="eastAsia" w:ascii="宋体" w:hAnsi="宋体"/>
          <w:b/>
          <w:color w:val="auto"/>
          <w:spacing w:val="40"/>
          <w:sz w:val="72"/>
          <w:szCs w:val="72"/>
          <w:highlight w:val="none"/>
        </w:rPr>
        <w:t>应</w:t>
      </w:r>
    </w:p>
    <w:p>
      <w:pPr>
        <w:spacing w:after="100" w:afterAutospacing="1"/>
        <w:ind w:right="-108"/>
        <w:jc w:val="center"/>
        <w:rPr>
          <w:rFonts w:ascii="宋体" w:hAnsi="宋体"/>
          <w:b/>
          <w:color w:val="auto"/>
          <w:spacing w:val="40"/>
          <w:sz w:val="72"/>
          <w:szCs w:val="72"/>
          <w:highlight w:val="none"/>
        </w:rPr>
      </w:pPr>
      <w:r>
        <w:rPr>
          <w:rFonts w:hint="eastAsia" w:ascii="宋体" w:hAnsi="宋体"/>
          <w:b/>
          <w:color w:val="auto"/>
          <w:spacing w:val="40"/>
          <w:sz w:val="72"/>
          <w:szCs w:val="72"/>
          <w:highlight w:val="none"/>
        </w:rPr>
        <w:t>文</w:t>
      </w:r>
    </w:p>
    <w:p>
      <w:pPr>
        <w:spacing w:after="100" w:afterAutospacing="1"/>
        <w:ind w:right="-108"/>
        <w:jc w:val="center"/>
        <w:rPr>
          <w:rFonts w:ascii="宋体" w:hAnsi="宋体"/>
          <w:b/>
          <w:color w:val="auto"/>
          <w:spacing w:val="40"/>
          <w:sz w:val="48"/>
          <w:szCs w:val="48"/>
          <w:highlight w:val="none"/>
        </w:rPr>
      </w:pPr>
      <w:r>
        <w:rPr>
          <w:rFonts w:hint="eastAsia" w:ascii="宋体" w:hAnsi="宋体"/>
          <w:b/>
          <w:color w:val="auto"/>
          <w:spacing w:val="40"/>
          <w:sz w:val="72"/>
          <w:szCs w:val="72"/>
          <w:highlight w:val="none"/>
        </w:rPr>
        <w:t>件</w:t>
      </w:r>
    </w:p>
    <w:p>
      <w:pPr>
        <w:spacing w:line="600" w:lineRule="exact"/>
        <w:ind w:right="532" w:firstLine="640" w:firstLineChars="200"/>
        <w:rPr>
          <w:rFonts w:ascii="宋体" w:hAnsi="宋体"/>
          <w:color w:val="auto"/>
          <w:sz w:val="32"/>
          <w:szCs w:val="32"/>
          <w:highlight w:val="none"/>
        </w:rPr>
      </w:pPr>
      <w:r>
        <w:rPr>
          <w:rFonts w:hint="eastAsia" w:ascii="宋体" w:hAnsi="宋体"/>
          <w:color w:val="auto"/>
          <w:sz w:val="32"/>
          <w:szCs w:val="32"/>
          <w:highlight w:val="none"/>
        </w:rPr>
        <w:t>单位全称（公章）：</w:t>
      </w:r>
    </w:p>
    <w:p>
      <w:pPr>
        <w:spacing w:line="600" w:lineRule="exact"/>
        <w:ind w:right="532" w:firstLine="640" w:firstLineChars="200"/>
        <w:rPr>
          <w:rFonts w:ascii="宋体" w:hAnsi="宋体"/>
          <w:color w:val="auto"/>
          <w:sz w:val="32"/>
          <w:szCs w:val="32"/>
          <w:highlight w:val="none"/>
        </w:rPr>
      </w:pPr>
      <w:r>
        <w:rPr>
          <w:rFonts w:hint="eastAsia" w:ascii="宋体" w:hAnsi="宋体"/>
          <w:color w:val="auto"/>
          <w:sz w:val="32"/>
          <w:szCs w:val="32"/>
          <w:highlight w:val="none"/>
        </w:rPr>
        <w:t>地    址：</w:t>
      </w:r>
    </w:p>
    <w:p>
      <w:pPr>
        <w:spacing w:line="600" w:lineRule="exact"/>
        <w:ind w:right="532" w:firstLine="640" w:firstLineChars="200"/>
        <w:rPr>
          <w:rFonts w:ascii="宋体" w:hAnsi="宋体"/>
          <w:color w:val="auto"/>
          <w:sz w:val="32"/>
          <w:szCs w:val="32"/>
          <w:highlight w:val="none"/>
        </w:rPr>
      </w:pPr>
      <w:r>
        <w:rPr>
          <w:rFonts w:hint="eastAsia" w:ascii="宋体" w:hAnsi="宋体"/>
          <w:color w:val="auto"/>
          <w:sz w:val="32"/>
          <w:szCs w:val="32"/>
          <w:highlight w:val="none"/>
        </w:rPr>
        <w:t>时    间：</w:t>
      </w:r>
    </w:p>
    <w:p>
      <w:pPr>
        <w:snapToGrid w:val="0"/>
        <w:spacing w:before="50" w:after="50"/>
        <w:jc w:val="center"/>
        <w:rPr>
          <w:rFonts w:ascii="宋体" w:hAnsi="宋体"/>
          <w:b/>
          <w:bCs/>
          <w:color w:val="auto"/>
          <w:sz w:val="36"/>
          <w:szCs w:val="36"/>
          <w:highlight w:val="none"/>
        </w:rPr>
      </w:pPr>
      <w:r>
        <w:rPr>
          <w:rFonts w:hint="eastAsia" w:ascii="宋体" w:hAnsi="宋体"/>
          <w:b/>
          <w:bCs/>
          <w:color w:val="auto"/>
          <w:sz w:val="36"/>
          <w:szCs w:val="36"/>
          <w:highlight w:val="none"/>
        </w:rPr>
        <w:t>谈判响应文件目录</w:t>
      </w:r>
    </w:p>
    <w:p>
      <w:pPr>
        <w:snapToGrid w:val="0"/>
        <w:spacing w:before="156" w:beforeLines="50" w:after="50" w:line="324" w:lineRule="auto"/>
        <w:ind w:firstLine="480" w:firstLineChars="200"/>
        <w:jc w:val="center"/>
        <w:rPr>
          <w:rFonts w:ascii="宋体" w:hAnsi="宋体" w:cs="宋体"/>
          <w:color w:val="auto"/>
          <w:kern w:val="0"/>
          <w:sz w:val="24"/>
          <w:highlight w:val="none"/>
        </w:rPr>
      </w:pPr>
    </w:p>
    <w:p>
      <w:pPr>
        <w:snapToGrid w:val="0"/>
        <w:spacing w:before="156" w:beforeLines="50" w:after="50" w:line="324" w:lineRule="auto"/>
        <w:ind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（按采购组成内容编制）</w:t>
      </w:r>
    </w:p>
    <w:p>
      <w:pPr>
        <w:snapToGrid w:val="0"/>
        <w:spacing w:before="50" w:after="50"/>
        <w:jc w:val="center"/>
        <w:rPr>
          <w:rFonts w:ascii="宋体" w:hAnsi="宋体"/>
          <w:b/>
          <w:bCs/>
          <w:color w:val="auto"/>
          <w:sz w:val="32"/>
          <w:szCs w:val="32"/>
          <w:highlight w:val="none"/>
        </w:rPr>
      </w:pPr>
    </w:p>
    <w:p>
      <w:pPr>
        <w:rPr>
          <w:rFonts w:ascii="宋体" w:hAnsi="宋体"/>
          <w:b/>
          <w:color w:val="auto"/>
          <w:sz w:val="28"/>
          <w:highlight w:val="none"/>
        </w:rPr>
      </w:pPr>
      <w:r>
        <w:rPr>
          <w:rFonts w:hint="eastAsia" w:ascii="宋体" w:hAnsi="宋体"/>
          <w:b/>
          <w:color w:val="auto"/>
          <w:sz w:val="28"/>
          <w:highlight w:val="none"/>
        </w:rPr>
        <w:br w:type="page"/>
      </w:r>
    </w:p>
    <w:p>
      <w:pPr>
        <w:spacing w:line="360" w:lineRule="auto"/>
        <w:rPr>
          <w:rFonts w:ascii="宋体" w:hAnsi="宋体"/>
          <w:b/>
          <w:color w:val="auto"/>
          <w:sz w:val="28"/>
          <w:highlight w:val="none"/>
        </w:rPr>
      </w:pPr>
      <w:r>
        <w:rPr>
          <w:rFonts w:hint="eastAsia" w:ascii="宋体" w:hAnsi="宋体"/>
          <w:b/>
          <w:color w:val="auto"/>
          <w:sz w:val="28"/>
          <w:highlight w:val="none"/>
        </w:rPr>
        <w:t>附件2</w:t>
      </w:r>
    </w:p>
    <w:p>
      <w:pPr>
        <w:adjustRightInd w:val="0"/>
        <w:snapToGrid w:val="0"/>
        <w:spacing w:line="360" w:lineRule="auto"/>
        <w:ind w:right="480"/>
        <w:jc w:val="center"/>
        <w:rPr>
          <w:rFonts w:ascii="宋体" w:hAnsi="宋体"/>
          <w:b/>
          <w:color w:val="auto"/>
          <w:kern w:val="0"/>
          <w:sz w:val="32"/>
          <w:szCs w:val="32"/>
          <w:highlight w:val="none"/>
          <w:lang w:val="zh-CN"/>
        </w:rPr>
      </w:pPr>
      <w:r>
        <w:rPr>
          <w:rFonts w:hint="eastAsia" w:ascii="宋体" w:hAnsi="宋体"/>
          <w:b/>
          <w:color w:val="auto"/>
          <w:kern w:val="0"/>
          <w:sz w:val="32"/>
          <w:szCs w:val="32"/>
          <w:highlight w:val="none"/>
          <w:lang w:val="zh-CN"/>
        </w:rPr>
        <w:t>谈判声明书</w:t>
      </w:r>
    </w:p>
    <w:p>
      <w:pPr>
        <w:snapToGrid w:val="0"/>
        <w:spacing w:before="156" w:beforeLines="50" w:after="50" w:line="324" w:lineRule="auto"/>
        <w:rPr>
          <w:rFonts w:ascii="宋体" w:hAnsi="宋体" w:cs="宋体"/>
          <w:color w:val="auto"/>
          <w:kern w:val="0"/>
          <w:sz w:val="24"/>
          <w:highlight w:val="none"/>
        </w:rPr>
      </w:pPr>
      <w:r>
        <w:rPr>
          <w:rFonts w:hint="eastAsia" w:ascii="宋体" w:hAnsi="宋体" w:cs="宋体"/>
          <w:color w:val="auto"/>
          <w:kern w:val="0"/>
          <w:sz w:val="24"/>
          <w:highlight w:val="none"/>
        </w:rPr>
        <w:t>×××（采购代理机构名称）：</w:t>
      </w:r>
    </w:p>
    <w:p>
      <w:pPr>
        <w:snapToGrid w:val="0"/>
        <w:spacing w:before="156" w:beforeLines="50" w:after="50" w:line="324"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（供应商名称）系中华人民共和国合法企业，经营地址。</w:t>
      </w:r>
    </w:p>
    <w:p>
      <w:pPr>
        <w:snapToGrid w:val="0"/>
        <w:spacing w:before="156" w:beforeLines="50" w:after="50" w:line="324"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u w:val="single"/>
        </w:rPr>
        <w:t xml:space="preserve"> 姓名 </w:t>
      </w: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供应商名称 </w:t>
      </w:r>
      <w:r>
        <w:rPr>
          <w:rFonts w:hint="eastAsia" w:ascii="宋体" w:hAnsi="宋体" w:cs="宋体"/>
          <w:color w:val="auto"/>
          <w:kern w:val="0"/>
          <w:sz w:val="24"/>
          <w:highlight w:val="none"/>
        </w:rPr>
        <w:t>）的法定代表人，我公司自愿参加贵方组织的××（</w:t>
      </w:r>
      <w:r>
        <w:rPr>
          <w:rFonts w:hint="eastAsia" w:ascii="宋体" w:hAnsi="宋体" w:cs="宋体"/>
          <w:color w:val="auto"/>
          <w:kern w:val="0"/>
          <w:sz w:val="24"/>
          <w:highlight w:val="none"/>
          <w:u w:val="single"/>
        </w:rPr>
        <w:t>竞争性谈判项目名称</w:t>
      </w:r>
      <w:r>
        <w:rPr>
          <w:rFonts w:hint="eastAsia" w:ascii="宋体" w:hAnsi="宋体" w:cs="宋体"/>
          <w:color w:val="auto"/>
          <w:kern w:val="0"/>
          <w:sz w:val="24"/>
          <w:highlight w:val="none"/>
        </w:rPr>
        <w:t>）（编号为××）的谈判，为此，我公司就本次谈判有关事项郑重声明如下：</w:t>
      </w:r>
    </w:p>
    <w:p>
      <w:pPr>
        <w:numPr>
          <w:ilvl w:val="0"/>
          <w:numId w:val="5"/>
        </w:numPr>
        <w:snapToGrid w:val="0"/>
        <w:spacing w:before="156" w:beforeLines="50" w:after="50" w:line="324" w:lineRule="auto"/>
        <w:ind w:firstLine="480" w:firstLineChars="200"/>
        <w:rPr>
          <w:rFonts w:ascii="宋体" w:hAnsi="宋体" w:cs="宋体"/>
          <w:b/>
          <w:color w:val="auto"/>
          <w:kern w:val="0"/>
          <w:sz w:val="24"/>
          <w:highlight w:val="none"/>
        </w:rPr>
      </w:pPr>
      <w:r>
        <w:rPr>
          <w:rFonts w:hint="eastAsia" w:ascii="Arial" w:hAnsi="Arial" w:cs="Arial"/>
          <w:color w:val="auto"/>
          <w:sz w:val="24"/>
          <w:highlight w:val="none"/>
        </w:rPr>
        <w:t>我公司声明截止谈判响应时间近三年以来：在参加政府采购活动过程中无任何不良行为记录；无重大违法记录（重大违法记录是指供应商因违法经营受到刑事处罚或者责令停产停业、吊销许可证或者执照、较大数额罚款等行政处罚）。</w:t>
      </w:r>
    </w:p>
    <w:p>
      <w:pPr>
        <w:numPr>
          <w:ilvl w:val="0"/>
          <w:numId w:val="5"/>
        </w:numPr>
        <w:snapToGrid w:val="0"/>
        <w:spacing w:before="156" w:beforeLines="50" w:after="50" w:line="324"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w:t>
      </w:r>
      <w:r>
        <w:rPr>
          <w:rFonts w:ascii="宋体" w:hAnsi="宋体" w:cs="宋体"/>
          <w:color w:val="auto"/>
          <w:kern w:val="0"/>
          <w:sz w:val="24"/>
          <w:highlight w:val="none"/>
        </w:rPr>
        <w:t>在参与</w:t>
      </w:r>
      <w:r>
        <w:rPr>
          <w:rFonts w:hint="eastAsia" w:ascii="宋体" w:hAnsi="宋体" w:cs="宋体"/>
          <w:color w:val="auto"/>
          <w:kern w:val="0"/>
          <w:sz w:val="24"/>
          <w:highlight w:val="none"/>
        </w:rPr>
        <w:t>谈判响应</w:t>
      </w:r>
      <w:r>
        <w:rPr>
          <w:rFonts w:ascii="宋体" w:hAnsi="宋体" w:cs="宋体"/>
          <w:color w:val="auto"/>
          <w:kern w:val="0"/>
          <w:sz w:val="24"/>
          <w:highlight w:val="none"/>
        </w:rPr>
        <w:t>前已</w:t>
      </w:r>
      <w:r>
        <w:rPr>
          <w:rFonts w:hint="eastAsia" w:ascii="宋体" w:hAnsi="宋体" w:cs="宋体"/>
          <w:color w:val="auto"/>
          <w:kern w:val="0"/>
          <w:sz w:val="24"/>
          <w:highlight w:val="none"/>
        </w:rPr>
        <w:t>详细审查</w:t>
      </w:r>
      <w:r>
        <w:rPr>
          <w:rFonts w:ascii="宋体" w:hAnsi="宋体" w:cs="宋体"/>
          <w:color w:val="auto"/>
          <w:kern w:val="0"/>
          <w:sz w:val="24"/>
          <w:highlight w:val="none"/>
        </w:rPr>
        <w:t>了</w:t>
      </w:r>
      <w:r>
        <w:rPr>
          <w:rFonts w:hint="eastAsia" w:ascii="宋体" w:hAnsi="宋体" w:cs="宋体"/>
          <w:color w:val="auto"/>
          <w:kern w:val="0"/>
          <w:sz w:val="24"/>
          <w:highlight w:val="none"/>
        </w:rPr>
        <w:t>谈判</w:t>
      </w:r>
      <w:r>
        <w:rPr>
          <w:rFonts w:ascii="宋体" w:hAnsi="宋体" w:cs="宋体"/>
          <w:color w:val="auto"/>
          <w:kern w:val="0"/>
          <w:sz w:val="24"/>
          <w:highlight w:val="none"/>
        </w:rPr>
        <w:t>文件和所有相关资料，我方完全明白并认为此</w:t>
      </w:r>
      <w:r>
        <w:rPr>
          <w:rFonts w:hint="eastAsia" w:ascii="宋体" w:hAnsi="宋体" w:cs="宋体"/>
          <w:color w:val="auto"/>
          <w:kern w:val="0"/>
          <w:sz w:val="24"/>
          <w:highlight w:val="none"/>
        </w:rPr>
        <w:t>谈判采购</w:t>
      </w:r>
      <w:r>
        <w:rPr>
          <w:rFonts w:ascii="宋体" w:hAnsi="宋体" w:cs="宋体"/>
          <w:color w:val="auto"/>
          <w:kern w:val="0"/>
          <w:sz w:val="24"/>
          <w:highlight w:val="none"/>
        </w:rPr>
        <w:t>文件没有倾向性，也没有存在排斥潜在</w:t>
      </w:r>
      <w:r>
        <w:rPr>
          <w:rFonts w:hint="eastAsia" w:ascii="宋体" w:hAnsi="宋体" w:cs="宋体"/>
          <w:color w:val="auto"/>
          <w:kern w:val="0"/>
          <w:sz w:val="24"/>
          <w:highlight w:val="none"/>
        </w:rPr>
        <w:t>供应商</w:t>
      </w:r>
      <w:r>
        <w:rPr>
          <w:rFonts w:ascii="宋体" w:hAnsi="宋体" w:cs="宋体"/>
          <w:color w:val="auto"/>
          <w:kern w:val="0"/>
          <w:sz w:val="24"/>
          <w:highlight w:val="none"/>
        </w:rPr>
        <w:t>的内容，我方同意</w:t>
      </w:r>
      <w:r>
        <w:rPr>
          <w:rFonts w:hint="eastAsia" w:ascii="宋体" w:hAnsi="宋体" w:cs="宋体"/>
          <w:color w:val="auto"/>
          <w:kern w:val="0"/>
          <w:sz w:val="24"/>
          <w:highlight w:val="none"/>
        </w:rPr>
        <w:t>谈判采购</w:t>
      </w:r>
      <w:r>
        <w:rPr>
          <w:rFonts w:ascii="宋体" w:hAnsi="宋体" w:cs="宋体"/>
          <w:color w:val="auto"/>
          <w:kern w:val="0"/>
          <w:sz w:val="24"/>
          <w:highlight w:val="none"/>
        </w:rPr>
        <w:t>文件的相关条款，放弃对</w:t>
      </w:r>
      <w:r>
        <w:rPr>
          <w:rFonts w:hint="eastAsia" w:ascii="宋体" w:hAnsi="宋体" w:cs="宋体"/>
          <w:color w:val="auto"/>
          <w:kern w:val="0"/>
          <w:sz w:val="24"/>
          <w:highlight w:val="none"/>
        </w:rPr>
        <w:t>谈判采购</w:t>
      </w:r>
      <w:r>
        <w:rPr>
          <w:rFonts w:ascii="宋体" w:hAnsi="宋体" w:cs="宋体"/>
          <w:color w:val="auto"/>
          <w:kern w:val="0"/>
          <w:sz w:val="24"/>
          <w:highlight w:val="none"/>
        </w:rPr>
        <w:t>文件提出误解和质疑的一切权</w:t>
      </w:r>
      <w:r>
        <w:rPr>
          <w:rFonts w:hint="eastAsia" w:ascii="宋体" w:hAnsi="宋体" w:cs="宋体"/>
          <w:color w:val="auto"/>
          <w:kern w:val="0"/>
          <w:sz w:val="24"/>
          <w:highlight w:val="none"/>
        </w:rPr>
        <w:t>利。</w:t>
      </w:r>
    </w:p>
    <w:p>
      <w:pPr>
        <w:numPr>
          <w:ilvl w:val="255"/>
          <w:numId w:val="0"/>
        </w:numPr>
        <w:snapToGrid w:val="0"/>
        <w:spacing w:before="156" w:beforeLines="50" w:after="50" w:line="324" w:lineRule="auto"/>
        <w:ind w:firstLine="480" w:firstLineChars="200"/>
        <w:rPr>
          <w:rFonts w:ascii="宋体" w:hAnsi="宋体"/>
          <w:color w:val="auto"/>
          <w:sz w:val="24"/>
          <w:highlight w:val="none"/>
        </w:rPr>
      </w:pPr>
      <w:r>
        <w:rPr>
          <w:rFonts w:hint="eastAsia" w:ascii="宋体" w:hAnsi="宋体"/>
          <w:color w:val="auto"/>
          <w:sz w:val="24"/>
          <w:highlight w:val="none"/>
        </w:rPr>
        <w:t>3、我</w:t>
      </w:r>
      <w:r>
        <w:rPr>
          <w:rFonts w:hint="eastAsia" w:ascii="宋体" w:hAnsi="宋体" w:cs="仿宋_GB2312"/>
          <w:color w:val="auto"/>
          <w:kern w:val="0"/>
          <w:sz w:val="24"/>
          <w:highlight w:val="none"/>
          <w:lang w:val="zh-CN"/>
        </w:rPr>
        <w:t>公司</w:t>
      </w:r>
      <w:r>
        <w:rPr>
          <w:rFonts w:hint="eastAsia" w:ascii="宋体" w:hAnsi="宋体"/>
          <w:color w:val="auto"/>
          <w:sz w:val="24"/>
          <w:highlight w:val="none"/>
        </w:rPr>
        <w:t>不是采购人的附属机构；在获知本项目采购信息后，与采购人聘请的为此项目提供咨询服务的公司及其附属机构没有任何联系。</w:t>
      </w:r>
    </w:p>
    <w:p>
      <w:pPr>
        <w:snapToGrid w:val="0"/>
        <w:spacing w:before="156" w:beforeLines="50" w:after="50" w:line="324" w:lineRule="auto"/>
        <w:ind w:firstLine="480" w:firstLineChars="200"/>
        <w:rPr>
          <w:rFonts w:ascii="宋体" w:hAnsi="宋体"/>
          <w:color w:val="auto"/>
          <w:kern w:val="0"/>
          <w:sz w:val="24"/>
          <w:highlight w:val="none"/>
          <w:lang w:val="af-ZA"/>
        </w:rPr>
      </w:pPr>
      <w:r>
        <w:rPr>
          <w:rFonts w:hint="eastAsia" w:ascii="宋体" w:hAnsi="宋体"/>
          <w:color w:val="auto"/>
          <w:sz w:val="24"/>
          <w:highlight w:val="none"/>
        </w:rPr>
        <w:t>4、</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s="宋体"/>
          <w:color w:val="auto"/>
          <w:kern w:val="0"/>
          <w:sz w:val="24"/>
          <w:highlight w:val="none"/>
        </w:rPr>
        <w:t>保证，</w:t>
      </w:r>
      <w:r>
        <w:rPr>
          <w:rFonts w:hint="eastAsia" w:ascii="宋体" w:hAnsi="宋体"/>
          <w:color w:val="auto"/>
          <w:kern w:val="0"/>
          <w:sz w:val="24"/>
          <w:highlight w:val="none"/>
          <w:lang w:val="af-ZA"/>
        </w:rPr>
        <w:t>采购人在中华人民共和国境内使用</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公司谈判响应的</w:t>
      </w:r>
      <w:r>
        <w:rPr>
          <w:rFonts w:hint="eastAsia" w:ascii="宋体" w:hAnsi="宋体"/>
          <w:color w:val="auto"/>
          <w:kern w:val="0"/>
          <w:sz w:val="24"/>
          <w:highlight w:val="none"/>
          <w:lang w:val="af-ZA"/>
        </w:rPr>
        <w:t>货物、资料、技术、服务或其任何一部分时，享有不受限制的无偿使用权，如有第三方向采购人提出侵犯其专利权、商标权或其它知识产权的主张，该责任由</w:t>
      </w:r>
      <w:r>
        <w:rPr>
          <w:rFonts w:hint="eastAsia" w:ascii="宋体" w:hAnsi="宋体" w:cs="宋体"/>
          <w:color w:val="auto"/>
          <w:kern w:val="0"/>
          <w:sz w:val="24"/>
          <w:highlight w:val="none"/>
          <w:lang w:val="af-ZA"/>
        </w:rPr>
        <w:t>我方</w:t>
      </w:r>
      <w:r>
        <w:rPr>
          <w:rFonts w:hint="eastAsia" w:ascii="宋体" w:hAnsi="宋体"/>
          <w:color w:val="auto"/>
          <w:kern w:val="0"/>
          <w:sz w:val="24"/>
          <w:highlight w:val="none"/>
          <w:lang w:val="af-ZA"/>
        </w:rPr>
        <w:t>承担。</w:t>
      </w:r>
      <w:r>
        <w:rPr>
          <w:rFonts w:hint="eastAsia" w:ascii="宋体" w:hAnsi="宋体" w:cs="宋体"/>
          <w:color w:val="auto"/>
          <w:kern w:val="0"/>
          <w:sz w:val="24"/>
          <w:highlight w:val="none"/>
          <w:lang w:val="af-ZA"/>
        </w:rPr>
        <w:t>我方的总</w:t>
      </w:r>
      <w:r>
        <w:rPr>
          <w:rFonts w:hint="eastAsia" w:ascii="宋体" w:hAnsi="宋体"/>
          <w:color w:val="auto"/>
          <w:kern w:val="0"/>
          <w:sz w:val="24"/>
          <w:highlight w:val="none"/>
          <w:lang w:val="af-ZA"/>
        </w:rPr>
        <w:t>报价</w:t>
      </w:r>
      <w:r>
        <w:rPr>
          <w:rFonts w:hint="eastAsia" w:ascii="宋体" w:hAnsi="宋体" w:cs="宋体"/>
          <w:color w:val="auto"/>
          <w:kern w:val="0"/>
          <w:sz w:val="24"/>
          <w:highlight w:val="none"/>
          <w:lang w:val="af-ZA"/>
        </w:rPr>
        <w:t>已</w:t>
      </w:r>
      <w:r>
        <w:rPr>
          <w:rFonts w:hint="eastAsia" w:ascii="宋体" w:hAnsi="宋体"/>
          <w:color w:val="auto"/>
          <w:kern w:val="0"/>
          <w:sz w:val="24"/>
          <w:highlight w:val="none"/>
          <w:lang w:val="af-ZA"/>
        </w:rPr>
        <w:t>包含所有应向所有权人支付的专利权、商标权或其它知识产权的一切相关费用。</w:t>
      </w:r>
    </w:p>
    <w:p>
      <w:pPr>
        <w:snapToGrid w:val="0"/>
        <w:spacing w:before="156" w:beforeLines="50" w:after="50" w:line="324" w:lineRule="auto"/>
        <w:ind w:firstLine="480" w:firstLineChars="200"/>
        <w:rPr>
          <w:rFonts w:ascii="仿宋_GB2312" w:hAnsi="仿宋_GB2312" w:eastAsia="仿宋_GB2312" w:cs="仿宋_GB2312"/>
          <w:color w:val="auto"/>
          <w:sz w:val="24"/>
          <w:highlight w:val="none"/>
        </w:rPr>
      </w:pPr>
      <w:r>
        <w:rPr>
          <w:rFonts w:hint="eastAsia" w:ascii="宋体" w:hAnsi="宋体" w:cs="宋体"/>
          <w:color w:val="auto"/>
          <w:kern w:val="0"/>
          <w:sz w:val="24"/>
          <w:highlight w:val="none"/>
          <w:lang w:val="af-ZA"/>
        </w:rPr>
        <w:t>5、我</w:t>
      </w:r>
      <w:r>
        <w:rPr>
          <w:rFonts w:hint="eastAsia" w:ascii="宋体" w:hAnsi="宋体" w:cs="宋体"/>
          <w:color w:val="auto"/>
          <w:kern w:val="0"/>
          <w:sz w:val="24"/>
          <w:highlight w:val="none"/>
          <w:lang w:val="zh-CN"/>
        </w:rPr>
        <w:t>公司</w:t>
      </w:r>
      <w:r>
        <w:rPr>
          <w:rFonts w:hint="eastAsia" w:ascii="宋体" w:hAnsi="宋体" w:cs="宋体"/>
          <w:color w:val="auto"/>
          <w:kern w:val="0"/>
          <w:sz w:val="24"/>
          <w:highlight w:val="none"/>
          <w:lang w:val="af-ZA"/>
        </w:rPr>
        <w:t>严格履行政府采购合同，不降低合同约定的产品质量和服务，不擅自变更、中止、终止合同，或拒绝履行合同义务；</w:t>
      </w:r>
    </w:p>
    <w:p>
      <w:pPr>
        <w:snapToGrid w:val="0"/>
        <w:spacing w:before="156" w:beforeLines="50" w:after="50" w:line="324" w:lineRule="auto"/>
        <w:ind w:firstLine="480" w:firstLineChars="200"/>
        <w:rPr>
          <w:rFonts w:ascii="宋体" w:hAnsi="宋体"/>
          <w:color w:val="auto"/>
          <w:sz w:val="24"/>
          <w:highlight w:val="none"/>
        </w:rPr>
      </w:pPr>
      <w:r>
        <w:rPr>
          <w:rFonts w:hint="eastAsia" w:ascii="宋体" w:hAnsi="宋体"/>
          <w:color w:val="auto"/>
          <w:sz w:val="24"/>
          <w:highlight w:val="none"/>
        </w:rPr>
        <w:t>6、以上事项如有虚假或隐瞒，我</w:t>
      </w:r>
      <w:r>
        <w:rPr>
          <w:rFonts w:hint="eastAsia" w:ascii="宋体" w:hAnsi="宋体" w:cs="仿宋_GB2312"/>
          <w:color w:val="auto"/>
          <w:kern w:val="0"/>
          <w:sz w:val="24"/>
          <w:highlight w:val="none"/>
          <w:lang w:val="zh-CN"/>
        </w:rPr>
        <w:t>公司</w:t>
      </w:r>
      <w:r>
        <w:rPr>
          <w:rFonts w:hint="eastAsia" w:ascii="宋体" w:hAnsi="宋体"/>
          <w:color w:val="auto"/>
          <w:sz w:val="24"/>
          <w:highlight w:val="none"/>
        </w:rPr>
        <w:t>愿意承担一切后果，并不再寻求任何旨在减轻或免除法律责任的辩解。</w:t>
      </w:r>
    </w:p>
    <w:p>
      <w:pPr>
        <w:adjustRightInd w:val="0"/>
        <w:snapToGrid w:val="0"/>
        <w:spacing w:line="324"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324"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pPr>
        <w:pStyle w:val="3"/>
        <w:rPr>
          <w:color w:val="auto"/>
          <w:highlight w:val="none"/>
          <w:lang w:val="zh-CN"/>
        </w:rPr>
      </w:pPr>
    </w:p>
    <w:p>
      <w:pPr>
        <w:adjustRightInd w:val="0"/>
        <w:snapToGrid w:val="0"/>
        <w:spacing w:line="360" w:lineRule="auto"/>
        <w:ind w:right="480"/>
        <w:rPr>
          <w:rFonts w:ascii="宋体" w:hAnsi="宋体"/>
          <w:b/>
          <w:color w:val="auto"/>
          <w:sz w:val="28"/>
          <w:highlight w:val="none"/>
        </w:rPr>
      </w:pPr>
      <w:r>
        <w:rPr>
          <w:rFonts w:hint="eastAsia" w:ascii="宋体" w:hAnsi="宋体"/>
          <w:b/>
          <w:color w:val="auto"/>
          <w:sz w:val="28"/>
          <w:highlight w:val="none"/>
        </w:rPr>
        <w:t>附件3-1</w:t>
      </w:r>
    </w:p>
    <w:p>
      <w:pPr>
        <w:rPr>
          <w:color w:val="auto"/>
          <w:highlight w:val="none"/>
        </w:rPr>
      </w:pPr>
    </w:p>
    <w:p>
      <w:pPr>
        <w:rPr>
          <w:color w:val="auto"/>
          <w:highlight w:val="none"/>
        </w:rPr>
      </w:pPr>
    </w:p>
    <w:p>
      <w:pPr>
        <w:rPr>
          <w:color w:val="auto"/>
          <w:highlight w:val="none"/>
        </w:rPr>
      </w:pPr>
    </w:p>
    <w:p>
      <w:pPr>
        <w:spacing w:line="360" w:lineRule="auto"/>
        <w:ind w:firstLine="321" w:firstLineChars="100"/>
        <w:jc w:val="center"/>
        <w:rPr>
          <w:rFonts w:ascii="Calibri" w:hAnsi="Calibri"/>
          <w:b/>
          <w:color w:val="auto"/>
          <w:sz w:val="32"/>
          <w:szCs w:val="32"/>
          <w:highlight w:val="none"/>
          <w:lang w:val="zh-CN"/>
        </w:rPr>
      </w:pPr>
      <w:r>
        <w:rPr>
          <w:rFonts w:hint="eastAsia" w:ascii="Calibri" w:hAnsi="Calibri"/>
          <w:b/>
          <w:color w:val="auto"/>
          <w:sz w:val="32"/>
          <w:szCs w:val="32"/>
          <w:highlight w:val="none"/>
          <w:lang w:val="zh-CN"/>
        </w:rPr>
        <w:t>法定代表人身份证明书</w:t>
      </w:r>
    </w:p>
    <w:p>
      <w:pPr>
        <w:spacing w:line="360" w:lineRule="auto"/>
        <w:ind w:firstLine="321" w:firstLineChars="100"/>
        <w:jc w:val="center"/>
        <w:rPr>
          <w:rFonts w:ascii="Calibri" w:hAnsi="Calibri"/>
          <w:b/>
          <w:color w:val="auto"/>
          <w:sz w:val="32"/>
          <w:szCs w:val="32"/>
          <w:highlight w:val="none"/>
          <w:lang w:val="zh-CN"/>
        </w:rPr>
      </w:pP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p>
      <w:pPr>
        <w:spacing w:line="480" w:lineRule="auto"/>
        <w:rPr>
          <w:rFonts w:ascii="宋体" w:hAnsi="宋体"/>
          <w:bCs/>
          <w:color w:val="auto"/>
          <w:sz w:val="24"/>
          <w:highlight w:val="none"/>
        </w:rPr>
      </w:pPr>
      <w:r>
        <w:rPr>
          <w:rFonts w:hint="eastAsia" w:ascii="宋体" w:hAnsi="宋体"/>
          <w:b/>
          <w:color w:val="auto"/>
          <w:sz w:val="24"/>
          <w:highlight w:val="none"/>
        </w:rPr>
        <w:t xml:space="preserve"> </w:t>
      </w:r>
      <w:r>
        <w:rPr>
          <w:rFonts w:hint="eastAsia" w:ascii="宋体" w:hAnsi="宋体"/>
          <w:b/>
          <w:color w:val="auto"/>
          <w:sz w:val="24"/>
          <w:highlight w:val="none"/>
          <w:u w:val="single"/>
        </w:rPr>
        <w:tab/>
      </w:r>
      <w:r>
        <w:rPr>
          <w:rFonts w:hint="eastAsia" w:ascii="宋体" w:hAnsi="宋体"/>
          <w:bCs/>
          <w:color w:val="auto"/>
          <w:sz w:val="24"/>
          <w:highlight w:val="none"/>
          <w:u w:val="single"/>
        </w:rPr>
        <w:t xml:space="preserve">｛姓名｝    </w:t>
      </w:r>
      <w:r>
        <w:rPr>
          <w:rFonts w:hint="eastAsia" w:ascii="宋体" w:hAnsi="宋体"/>
          <w:bCs/>
          <w:color w:val="auto"/>
          <w:sz w:val="24"/>
          <w:highlight w:val="none"/>
          <w:u w:val="single"/>
        </w:rPr>
        <w:tab/>
      </w:r>
      <w:r>
        <w:rPr>
          <w:rFonts w:hint="eastAsia" w:ascii="宋体" w:hAnsi="宋体"/>
          <w:bCs/>
          <w:color w:val="auto"/>
          <w:sz w:val="24"/>
          <w:highlight w:val="none"/>
        </w:rPr>
        <w:t xml:space="preserve">， </w:t>
      </w:r>
      <w:r>
        <w:rPr>
          <w:rFonts w:hint="eastAsia" w:ascii="宋体" w:hAnsi="宋体"/>
          <w:bCs/>
          <w:color w:val="auto"/>
          <w:sz w:val="24"/>
          <w:highlight w:val="none"/>
          <w:u w:val="single"/>
        </w:rPr>
        <w:t>｛性别｝</w:t>
      </w:r>
      <w:r>
        <w:rPr>
          <w:rFonts w:hint="eastAsia" w:ascii="宋体" w:hAnsi="宋体"/>
          <w:bCs/>
          <w:color w:val="auto"/>
          <w:sz w:val="24"/>
          <w:highlight w:val="none"/>
          <w:u w:val="single"/>
        </w:rPr>
        <w:tab/>
      </w:r>
      <w:r>
        <w:rPr>
          <w:rFonts w:hint="eastAsia" w:ascii="宋体" w:hAnsi="宋体"/>
          <w:bCs/>
          <w:color w:val="auto"/>
          <w:sz w:val="24"/>
          <w:highlight w:val="none"/>
          <w:u w:val="single"/>
        </w:rPr>
        <w:t xml:space="preserve">    </w:t>
      </w:r>
      <w:r>
        <w:rPr>
          <w:rFonts w:hint="eastAsia" w:ascii="宋体" w:hAnsi="宋体"/>
          <w:bCs/>
          <w:color w:val="auto"/>
          <w:sz w:val="24"/>
          <w:highlight w:val="none"/>
        </w:rPr>
        <w:t xml:space="preserve">， </w:t>
      </w:r>
      <w:r>
        <w:rPr>
          <w:rFonts w:hint="eastAsia" w:ascii="宋体" w:hAnsi="宋体"/>
          <w:bCs/>
          <w:color w:val="auto"/>
          <w:sz w:val="24"/>
          <w:highlight w:val="none"/>
          <w:u w:val="single"/>
        </w:rPr>
        <w:t xml:space="preserve">｛年龄｝    </w:t>
      </w:r>
      <w:r>
        <w:rPr>
          <w:rFonts w:hint="eastAsia" w:ascii="宋体" w:hAnsi="宋体"/>
          <w:bCs/>
          <w:color w:val="auto"/>
          <w:sz w:val="24"/>
          <w:highlight w:val="none"/>
        </w:rPr>
        <w:tab/>
      </w:r>
      <w:r>
        <w:rPr>
          <w:rFonts w:hint="eastAsia" w:ascii="宋体" w:hAnsi="宋体"/>
          <w:bCs/>
          <w:color w:val="auto"/>
          <w:sz w:val="24"/>
          <w:highlight w:val="none"/>
        </w:rPr>
        <w:t xml:space="preserve">， </w:t>
      </w:r>
      <w:r>
        <w:rPr>
          <w:rFonts w:hint="eastAsia" w:ascii="宋体" w:hAnsi="宋体"/>
          <w:bCs/>
          <w:color w:val="auto"/>
          <w:sz w:val="24"/>
          <w:highlight w:val="none"/>
          <w:u w:val="single"/>
        </w:rPr>
        <w:t xml:space="preserve">｛职务｝         </w:t>
      </w:r>
      <w:r>
        <w:rPr>
          <w:rFonts w:hint="eastAsia" w:ascii="宋体" w:hAnsi="宋体"/>
          <w:bCs/>
          <w:color w:val="auto"/>
          <w:sz w:val="24"/>
          <w:highlight w:val="none"/>
        </w:rPr>
        <w:tab/>
      </w:r>
      <w:r>
        <w:rPr>
          <w:rFonts w:hint="eastAsia" w:ascii="宋体" w:hAnsi="宋体"/>
          <w:bCs/>
          <w:color w:val="auto"/>
          <w:sz w:val="24"/>
          <w:highlight w:val="none"/>
        </w:rPr>
        <w:t xml:space="preserve">，身份证号码： </w:t>
      </w:r>
      <w:r>
        <w:rPr>
          <w:rFonts w:hint="eastAsia" w:ascii="宋体" w:hAnsi="宋体"/>
          <w:bCs/>
          <w:color w:val="auto"/>
          <w:sz w:val="24"/>
          <w:highlight w:val="none"/>
          <w:u w:val="single"/>
        </w:rPr>
        <w:tab/>
      </w:r>
      <w:r>
        <w:rPr>
          <w:rFonts w:hint="eastAsia" w:ascii="宋体" w:hAnsi="宋体"/>
          <w:bCs/>
          <w:color w:val="auto"/>
          <w:sz w:val="24"/>
          <w:highlight w:val="none"/>
          <w:u w:val="single"/>
        </w:rPr>
        <w:tab/>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rPr>
        <w:tab/>
      </w:r>
      <w:r>
        <w:rPr>
          <w:rFonts w:hint="eastAsia" w:ascii="宋体" w:hAnsi="宋体"/>
          <w:bCs/>
          <w:color w:val="auto"/>
          <w:sz w:val="24"/>
          <w:highlight w:val="none"/>
        </w:rPr>
        <w:t>，系</w:t>
      </w:r>
      <w:r>
        <w:rPr>
          <w:rFonts w:hint="eastAsia" w:ascii="宋体" w:hAnsi="宋体"/>
          <w:bCs/>
          <w:color w:val="auto"/>
          <w:sz w:val="24"/>
          <w:highlight w:val="none"/>
          <w:u w:val="single"/>
        </w:rPr>
        <w:t xml:space="preserve"> ｛投标人         名称｝ </w:t>
      </w:r>
      <w:r>
        <w:rPr>
          <w:rFonts w:hint="eastAsia" w:ascii="宋体" w:hAnsi="宋体"/>
          <w:bCs/>
          <w:color w:val="auto"/>
          <w:sz w:val="24"/>
          <w:highlight w:val="none"/>
        </w:rPr>
        <w:t>的法定代表人。</w:t>
      </w:r>
    </w:p>
    <w:p>
      <w:pPr>
        <w:spacing w:line="360" w:lineRule="auto"/>
        <w:rPr>
          <w:rFonts w:ascii="宋体" w:hAnsi="宋体"/>
          <w:bCs/>
          <w:color w:val="auto"/>
          <w:sz w:val="24"/>
          <w:highlight w:val="none"/>
        </w:rPr>
      </w:pPr>
    </w:p>
    <w:p>
      <w:pPr>
        <w:spacing w:line="360" w:lineRule="auto"/>
        <w:ind w:firstLine="240" w:firstLineChars="100"/>
        <w:rPr>
          <w:rFonts w:ascii="宋体" w:hAnsi="宋体"/>
          <w:bCs/>
          <w:color w:val="auto"/>
          <w:sz w:val="24"/>
          <w:highlight w:val="none"/>
        </w:rPr>
      </w:pPr>
      <w:r>
        <w:rPr>
          <w:rFonts w:hint="eastAsia" w:ascii="宋体" w:hAnsi="宋体"/>
          <w:bCs/>
          <w:color w:val="auto"/>
          <w:sz w:val="24"/>
          <w:highlight w:val="none"/>
        </w:rPr>
        <w:t>特此证明。</w:t>
      </w:r>
    </w:p>
    <w:p>
      <w:pPr>
        <w:pStyle w:val="20"/>
        <w:ind w:firstLine="696"/>
        <w:rPr>
          <w:rFonts w:hAnsi="宋体"/>
          <w:bCs/>
          <w:color w:val="auto"/>
          <w:sz w:val="24"/>
          <w:szCs w:val="24"/>
          <w:highlight w:val="none"/>
        </w:rPr>
      </w:pPr>
    </w:p>
    <w:p>
      <w:pPr>
        <w:rPr>
          <w:rFonts w:ascii="宋体" w:hAnsi="宋体"/>
          <w:b/>
          <w:color w:val="auto"/>
          <w:sz w:val="24"/>
          <w:highlight w:val="none"/>
        </w:rPr>
      </w:pPr>
    </w:p>
    <w:p>
      <w:pPr>
        <w:rPr>
          <w:rFonts w:ascii="宋体" w:hAnsi="宋体"/>
          <w:b/>
          <w:color w:val="auto"/>
          <w:sz w:val="24"/>
          <w:highlight w:val="none"/>
        </w:rPr>
      </w:pPr>
    </w:p>
    <w:p>
      <w:pPr>
        <w:jc w:val="center"/>
        <w:rPr>
          <w:rFonts w:ascii="宋体" w:hAnsi="宋体"/>
          <w:bCs/>
          <w:color w:val="auto"/>
          <w:sz w:val="24"/>
          <w:highlight w:val="none"/>
        </w:rPr>
      </w:pPr>
      <w:r>
        <w:rPr>
          <w:rFonts w:hint="eastAsia" w:ascii="宋体" w:hAnsi="宋体"/>
          <w:bCs/>
          <w:color w:val="auto"/>
          <w:sz w:val="24"/>
          <w:highlight w:val="none"/>
          <w:u w:val="single"/>
        </w:rPr>
        <w:t xml:space="preserve">                ｛投标人名称｝   </w:t>
      </w:r>
      <w:r>
        <w:rPr>
          <w:rFonts w:hint="eastAsia" w:ascii="宋体" w:hAnsi="宋体"/>
          <w:bCs/>
          <w:color w:val="auto"/>
          <w:sz w:val="24"/>
          <w:highlight w:val="none"/>
        </w:rPr>
        <w:t xml:space="preserve"> （盖章）</w:t>
      </w:r>
    </w:p>
    <w:p>
      <w:pPr>
        <w:jc w:val="center"/>
        <w:rPr>
          <w:rFonts w:ascii="宋体" w:hAnsi="宋体"/>
          <w:bCs/>
          <w:color w:val="auto"/>
          <w:sz w:val="24"/>
          <w:highlight w:val="none"/>
        </w:rPr>
      </w:pPr>
    </w:p>
    <w:p>
      <w:pPr>
        <w:jc w:val="center"/>
        <w:rPr>
          <w:rFonts w:ascii="宋体" w:hAnsi="宋体"/>
          <w:bCs/>
          <w:color w:val="auto"/>
          <w:sz w:val="24"/>
          <w:highlight w:val="none"/>
        </w:rPr>
      </w:pPr>
      <w:r>
        <w:rPr>
          <w:rFonts w:hint="eastAsia" w:ascii="宋体" w:hAnsi="宋体"/>
          <w:bCs/>
          <w:color w:val="auto"/>
          <w:sz w:val="24"/>
          <w:highlight w:val="none"/>
        </w:rPr>
        <w:t xml:space="preserve">              年 </w:t>
      </w:r>
      <w:r>
        <w:rPr>
          <w:rFonts w:hint="eastAsia" w:ascii="宋体" w:hAnsi="宋体"/>
          <w:bCs/>
          <w:color w:val="auto"/>
          <w:sz w:val="24"/>
          <w:highlight w:val="none"/>
        </w:rPr>
        <w:tab/>
      </w:r>
      <w:r>
        <w:rPr>
          <w:rFonts w:hint="eastAsia" w:ascii="宋体" w:hAnsi="宋体"/>
          <w:bCs/>
          <w:color w:val="auto"/>
          <w:sz w:val="24"/>
          <w:highlight w:val="none"/>
        </w:rPr>
        <w:t xml:space="preserve">月    </w:t>
      </w:r>
      <w:r>
        <w:rPr>
          <w:rFonts w:hint="eastAsia" w:ascii="宋体" w:hAnsi="宋体"/>
          <w:bCs/>
          <w:color w:val="auto"/>
          <w:sz w:val="24"/>
          <w:highlight w:val="none"/>
        </w:rPr>
        <w:tab/>
      </w:r>
      <w:r>
        <w:rPr>
          <w:rFonts w:hint="eastAsia" w:ascii="宋体" w:hAnsi="宋体"/>
          <w:bCs/>
          <w:color w:val="auto"/>
          <w:sz w:val="24"/>
          <w:highlight w:val="none"/>
        </w:rPr>
        <w:t>日</w:t>
      </w:r>
    </w:p>
    <w:p>
      <w:pPr>
        <w:rPr>
          <w:rFonts w:ascii="宋体" w:hAnsi="宋体"/>
          <w:b/>
          <w:color w:val="auto"/>
          <w:sz w:val="28"/>
          <w:highlight w:val="none"/>
        </w:rPr>
      </w:pPr>
      <w:r>
        <w:rPr>
          <w:color w:val="auto"/>
          <w:sz w:val="24"/>
          <w:highlight w:val="none"/>
        </w:rPr>
        <w:pict>
          <v:shape id="_x0000_s1026" o:spid="_x0000_s1026" o:spt="202" type="#_x0000_t202" style="position:absolute;left:0pt;margin-left:150.05pt;margin-top:59.55pt;height:168.55pt;width:340.15pt;mso-position-horizontal-relative:page;mso-wrap-distance-bottom:0pt;mso-wrap-distance-top:0pt;z-index:-251657216;mso-width-relative:page;mso-height-relative:page;" filled="f" coordsize="21600,21600">
            <v:path/>
            <v:fill on="f" focussize="0,0"/>
            <v:stroke weight="0.48pt" joinstyle="miter"/>
            <v:imagedata o:title=""/>
            <o:lock v:ext="edit"/>
            <v:textbox inset="0mm,0mm,0mm,0mm">
              <w:txbxContent>
                <w:p>
                  <w:pPr>
                    <w:pStyle w:val="3"/>
                    <w:rPr>
                      <w:sz w:val="28"/>
                    </w:rPr>
                  </w:pPr>
                </w:p>
                <w:p>
                  <w:pPr>
                    <w:pStyle w:val="3"/>
                    <w:rPr>
                      <w:sz w:val="28"/>
                    </w:rPr>
                  </w:pPr>
                </w:p>
                <w:p>
                  <w:pPr>
                    <w:pStyle w:val="3"/>
                    <w:rPr>
                      <w:sz w:val="28"/>
                    </w:rPr>
                  </w:pPr>
                </w:p>
                <w:p>
                  <w:pPr>
                    <w:pStyle w:val="3"/>
                    <w:spacing w:before="2"/>
                    <w:rPr>
                      <w:sz w:val="33"/>
                    </w:rPr>
                  </w:pPr>
                </w:p>
                <w:p>
                  <w:pPr>
                    <w:spacing w:before="1"/>
                    <w:ind w:left="1227" w:right="746"/>
                    <w:jc w:val="center"/>
                    <w:rPr>
                      <w:b/>
                      <w:sz w:val="28"/>
                    </w:rPr>
                  </w:pPr>
                  <w:r>
                    <w:rPr>
                      <w:b/>
                      <w:sz w:val="28"/>
                    </w:rPr>
                    <w:t>法定代表人身份证正反面复印件粘贴处</w:t>
                  </w:r>
                </w:p>
              </w:txbxContent>
            </v:textbox>
            <w10:wrap type="topAndBottom"/>
          </v:shape>
        </w:pict>
      </w:r>
      <w:r>
        <w:rPr>
          <w:color w:val="auto"/>
          <w:sz w:val="24"/>
          <w:highlight w:val="none"/>
        </w:rPr>
        <w:br w:type="page"/>
      </w:r>
      <w:r>
        <w:rPr>
          <w:rFonts w:hint="eastAsia" w:ascii="宋体" w:hAnsi="宋体"/>
          <w:b/>
          <w:color w:val="auto"/>
          <w:sz w:val="28"/>
          <w:highlight w:val="none"/>
        </w:rPr>
        <w:t>附件3-2</w:t>
      </w:r>
    </w:p>
    <w:p>
      <w:pPr>
        <w:pStyle w:val="3"/>
        <w:rPr>
          <w:color w:val="auto"/>
          <w:highlight w:val="none"/>
        </w:rPr>
      </w:pPr>
    </w:p>
    <w:p>
      <w:pPr>
        <w:spacing w:line="360" w:lineRule="auto"/>
        <w:ind w:firstLine="321" w:firstLineChars="100"/>
        <w:jc w:val="center"/>
        <w:rPr>
          <w:rFonts w:ascii="Calibri" w:hAnsi="Calibri"/>
          <w:b/>
          <w:color w:val="auto"/>
          <w:sz w:val="32"/>
          <w:szCs w:val="32"/>
          <w:highlight w:val="none"/>
          <w:lang w:val="zh-CN"/>
        </w:rPr>
      </w:pPr>
      <w:r>
        <w:rPr>
          <w:rFonts w:hint="eastAsia" w:ascii="Calibri" w:hAnsi="Calibri"/>
          <w:b/>
          <w:color w:val="auto"/>
          <w:sz w:val="32"/>
          <w:szCs w:val="32"/>
          <w:highlight w:val="none"/>
          <w:lang w:val="zh-CN"/>
        </w:rPr>
        <w:t>授权委托书</w:t>
      </w:r>
    </w:p>
    <w:p>
      <w:pPr>
        <w:pStyle w:val="11"/>
        <w:spacing w:line="500" w:lineRule="exact"/>
        <w:rPr>
          <w:rFonts w:hAnsi="宋体"/>
          <w:b/>
          <w:color w:val="auto"/>
          <w:sz w:val="24"/>
          <w:highlight w:val="none"/>
        </w:rPr>
      </w:pPr>
      <w:r>
        <w:rPr>
          <w:rFonts w:hint="eastAsia" w:hAnsi="宋体"/>
          <w:b/>
          <w:color w:val="auto"/>
          <w:sz w:val="24"/>
          <w:highlight w:val="none"/>
        </w:rPr>
        <w:t>×××</w:t>
      </w:r>
      <w:r>
        <w:rPr>
          <w:rFonts w:hint="eastAsia" w:hAnsi="宋体" w:cs="宋体"/>
          <w:color w:val="auto"/>
          <w:kern w:val="0"/>
          <w:sz w:val="24"/>
          <w:highlight w:val="none"/>
        </w:rPr>
        <w:t>（采购代理机构名称）</w:t>
      </w:r>
      <w:r>
        <w:rPr>
          <w:rFonts w:hAnsi="宋体"/>
          <w:b/>
          <w:color w:val="auto"/>
          <w:sz w:val="24"/>
          <w:highlight w:val="none"/>
        </w:rPr>
        <w:t>：</w:t>
      </w:r>
    </w:p>
    <w:p>
      <w:pPr>
        <w:pStyle w:val="11"/>
        <w:spacing w:line="500" w:lineRule="exact"/>
        <w:ind w:left="239" w:leftChars="114" w:firstLine="480" w:firstLineChars="200"/>
        <w:rPr>
          <w:rFonts w:hAnsi="宋体"/>
          <w:color w:val="auto"/>
          <w:sz w:val="24"/>
          <w:highlight w:val="none"/>
        </w:rPr>
      </w:pPr>
      <w:r>
        <w:rPr>
          <w:rFonts w:hAnsi="宋体"/>
          <w:color w:val="auto"/>
          <w:sz w:val="24"/>
          <w:highlight w:val="none"/>
          <w:u w:val="single"/>
        </w:rPr>
        <w:t xml:space="preserve">  （</w:t>
      </w:r>
      <w:r>
        <w:rPr>
          <w:rFonts w:hint="eastAsia" w:hAnsi="宋体"/>
          <w:color w:val="auto"/>
          <w:sz w:val="24"/>
          <w:highlight w:val="none"/>
          <w:u w:val="single"/>
        </w:rPr>
        <w:t>供应商</w:t>
      </w:r>
      <w:r>
        <w:rPr>
          <w:rFonts w:hAnsi="宋体"/>
          <w:color w:val="auto"/>
          <w:sz w:val="24"/>
          <w:highlight w:val="none"/>
          <w:u w:val="single"/>
        </w:rPr>
        <w:t xml:space="preserve">全称）  </w:t>
      </w:r>
      <w:r>
        <w:rPr>
          <w:rFonts w:hAnsi="宋体"/>
          <w:color w:val="auto"/>
          <w:sz w:val="24"/>
          <w:highlight w:val="none"/>
        </w:rPr>
        <w:t>法定代表人</w:t>
      </w:r>
      <w:r>
        <w:rPr>
          <w:rFonts w:hint="eastAsia" w:ascii="Arial" w:hAnsi="Arial" w:cs="Arial"/>
          <w:color w:val="auto"/>
          <w:sz w:val="24"/>
          <w:highlight w:val="none"/>
        </w:rPr>
        <w:t>（或营业执照中单位负责人）</w:t>
      </w:r>
      <w:r>
        <w:rPr>
          <w:rFonts w:hAnsi="宋体"/>
          <w:color w:val="auto"/>
          <w:sz w:val="24"/>
          <w:highlight w:val="none"/>
          <w:u w:val="single"/>
        </w:rPr>
        <w:tab/>
      </w:r>
      <w:r>
        <w:rPr>
          <w:rFonts w:hAnsi="宋体"/>
          <w:color w:val="auto"/>
          <w:sz w:val="24"/>
          <w:highlight w:val="none"/>
          <w:u w:val="single"/>
        </w:rPr>
        <w:t>（法定代表</w:t>
      </w:r>
      <w:r>
        <w:rPr>
          <w:rFonts w:hint="eastAsia" w:hAnsi="宋体"/>
          <w:color w:val="auto"/>
          <w:sz w:val="24"/>
          <w:highlight w:val="none"/>
          <w:u w:val="single"/>
        </w:rPr>
        <w:t>人</w:t>
      </w:r>
      <w:r>
        <w:rPr>
          <w:rFonts w:hint="eastAsia" w:ascii="Arial" w:hAnsi="Arial" w:cs="Arial"/>
          <w:color w:val="auto"/>
          <w:sz w:val="24"/>
          <w:highlight w:val="none"/>
          <w:u w:val="single"/>
        </w:rPr>
        <w:t>或营业执照中单位负责人</w:t>
      </w:r>
      <w:r>
        <w:rPr>
          <w:rFonts w:hAnsi="宋体"/>
          <w:color w:val="auto"/>
          <w:sz w:val="24"/>
          <w:highlight w:val="none"/>
          <w:u w:val="single"/>
        </w:rPr>
        <w:t xml:space="preserve">姓名） </w:t>
      </w:r>
      <w:r>
        <w:rPr>
          <w:rFonts w:hAnsi="宋体"/>
          <w:color w:val="auto"/>
          <w:sz w:val="24"/>
          <w:highlight w:val="none"/>
        </w:rPr>
        <w:t>授权</w:t>
      </w:r>
      <w:r>
        <w:rPr>
          <w:rFonts w:hint="eastAsia" w:hAnsi="宋体"/>
          <w:color w:val="auto"/>
          <w:sz w:val="24"/>
          <w:highlight w:val="none"/>
          <w:u w:val="single"/>
        </w:rPr>
        <w:t xml:space="preserve">   （全权代表</w:t>
      </w:r>
      <w:r>
        <w:rPr>
          <w:rFonts w:hAnsi="宋体"/>
          <w:color w:val="auto"/>
          <w:sz w:val="24"/>
          <w:highlight w:val="none"/>
          <w:u w:val="single"/>
        </w:rPr>
        <w:t>姓名</w:t>
      </w:r>
      <w:r>
        <w:rPr>
          <w:rFonts w:hint="eastAsia" w:hAnsi="宋体"/>
          <w:color w:val="auto"/>
          <w:sz w:val="24"/>
          <w:highlight w:val="none"/>
          <w:u w:val="single"/>
        </w:rPr>
        <w:t xml:space="preserve">） </w:t>
      </w:r>
      <w:r>
        <w:rPr>
          <w:rFonts w:hAnsi="宋体"/>
          <w:color w:val="auto"/>
          <w:sz w:val="24"/>
          <w:highlight w:val="none"/>
        </w:rPr>
        <w:t>为</w:t>
      </w:r>
      <w:r>
        <w:rPr>
          <w:rFonts w:hint="eastAsia" w:hAnsi="宋体"/>
          <w:color w:val="auto"/>
          <w:sz w:val="24"/>
          <w:highlight w:val="none"/>
        </w:rPr>
        <w:t>全权代表</w:t>
      </w:r>
      <w:r>
        <w:rPr>
          <w:rFonts w:hAnsi="宋体"/>
          <w:color w:val="auto"/>
          <w:sz w:val="24"/>
          <w:highlight w:val="none"/>
        </w:rPr>
        <w:t>，参加贵单位组织的</w:t>
      </w:r>
      <w:r>
        <w:rPr>
          <w:rFonts w:hAnsi="宋体"/>
          <w:color w:val="auto"/>
          <w:sz w:val="24"/>
          <w:highlight w:val="none"/>
          <w:u w:val="single"/>
        </w:rPr>
        <w:tab/>
      </w:r>
      <w:r>
        <w:rPr>
          <w:rFonts w:hAnsi="宋体"/>
          <w:color w:val="auto"/>
          <w:sz w:val="24"/>
          <w:highlight w:val="none"/>
        </w:rPr>
        <w:t>项目的采购活动，并代表我方全权办理针对上述项目的</w:t>
      </w:r>
      <w:r>
        <w:rPr>
          <w:rFonts w:hint="eastAsia" w:hAnsi="宋体"/>
          <w:color w:val="auto"/>
          <w:sz w:val="24"/>
          <w:highlight w:val="none"/>
        </w:rPr>
        <w:t>谈判</w:t>
      </w:r>
      <w:r>
        <w:rPr>
          <w:rFonts w:hAnsi="宋体"/>
          <w:color w:val="auto"/>
          <w:sz w:val="24"/>
          <w:highlight w:val="none"/>
        </w:rPr>
        <w:t>、签约等具体事务和签署相关文件。</w:t>
      </w:r>
      <w:r>
        <w:rPr>
          <w:rFonts w:hint="eastAsia" w:hAnsi="宋体"/>
          <w:color w:val="auto"/>
          <w:sz w:val="24"/>
          <w:highlight w:val="none"/>
        </w:rPr>
        <w:t>我方对全权代表的签字事项负全部责任。</w:t>
      </w:r>
    </w:p>
    <w:p>
      <w:pPr>
        <w:pStyle w:val="11"/>
        <w:spacing w:line="500" w:lineRule="exact"/>
        <w:ind w:left="139" w:leftChars="66" w:firstLine="480" w:firstLineChars="200"/>
        <w:rPr>
          <w:rFonts w:hAnsi="宋体"/>
          <w:color w:val="auto"/>
          <w:sz w:val="24"/>
          <w:highlight w:val="none"/>
        </w:rPr>
      </w:pPr>
      <w:r>
        <w:rPr>
          <w:rFonts w:hint="eastAsia" w:hAnsi="宋体"/>
          <w:color w:val="auto"/>
          <w:sz w:val="24"/>
          <w:highlight w:val="none"/>
        </w:rPr>
        <w:t>在撤销授权的书面通知以前，本授权书一直有效。全权代表在授权委托书有效期内签署的所有文件不因授权的撤销而失效。</w:t>
      </w:r>
    </w:p>
    <w:p>
      <w:pPr>
        <w:pStyle w:val="11"/>
        <w:spacing w:line="500" w:lineRule="exact"/>
        <w:ind w:left="139" w:leftChars="66" w:firstLine="480" w:firstLineChars="200"/>
        <w:rPr>
          <w:rFonts w:hAnsi="宋体"/>
          <w:color w:val="auto"/>
          <w:sz w:val="24"/>
          <w:highlight w:val="none"/>
        </w:rPr>
      </w:pPr>
      <w:r>
        <w:rPr>
          <w:rFonts w:hint="eastAsia" w:hAnsi="宋体"/>
          <w:color w:val="auto"/>
          <w:sz w:val="24"/>
          <w:highlight w:val="none"/>
        </w:rPr>
        <w:t>全权代表无转委托权，特此委托。</w:t>
      </w:r>
    </w:p>
    <w:p>
      <w:pPr>
        <w:spacing w:line="360" w:lineRule="auto"/>
        <w:rPr>
          <w:color w:val="auto"/>
          <w:sz w:val="24"/>
          <w:highlight w:val="none"/>
        </w:rPr>
      </w:pPr>
    </w:p>
    <w:p>
      <w:pPr>
        <w:spacing w:line="360" w:lineRule="auto"/>
        <w:rPr>
          <w:color w:val="auto"/>
          <w:sz w:val="24"/>
          <w:highlight w:val="none"/>
        </w:rPr>
      </w:pPr>
      <w:r>
        <w:rPr>
          <w:rFonts w:hint="eastAsia" w:ascii="宋体"/>
          <w:color w:val="auto"/>
          <w:sz w:val="24"/>
          <w:highlight w:val="none"/>
        </w:rPr>
        <w:t>法定代表人签字或盖章：</w:t>
      </w:r>
    </w:p>
    <w:p>
      <w:pPr>
        <w:spacing w:line="360" w:lineRule="auto"/>
        <w:rPr>
          <w:color w:val="auto"/>
          <w:sz w:val="24"/>
          <w:highlight w:val="none"/>
        </w:rPr>
      </w:pPr>
    </w:p>
    <w:p>
      <w:pPr>
        <w:spacing w:line="360" w:lineRule="auto"/>
        <w:rPr>
          <w:color w:val="auto"/>
          <w:sz w:val="24"/>
          <w:highlight w:val="none"/>
        </w:rPr>
      </w:pPr>
      <w:r>
        <w:rPr>
          <w:rFonts w:hint="eastAsia" w:ascii="宋体"/>
          <w:color w:val="auto"/>
          <w:sz w:val="24"/>
          <w:highlight w:val="none"/>
        </w:rPr>
        <w:t>供应商全称（公章）：                              日期：</w:t>
      </w:r>
    </w:p>
    <w:p>
      <w:pPr>
        <w:spacing w:line="360" w:lineRule="auto"/>
        <w:rPr>
          <w:b/>
          <w:color w:val="auto"/>
          <w:sz w:val="24"/>
          <w:highlight w:val="none"/>
        </w:rPr>
      </w:pPr>
      <w:r>
        <w:rPr>
          <w:rFonts w:hint="eastAsia" w:ascii="宋体"/>
          <w:b/>
          <w:color w:val="auto"/>
          <w:sz w:val="24"/>
          <w:highlight w:val="none"/>
        </w:rPr>
        <w:t>附：</w:t>
      </w:r>
    </w:p>
    <w:tbl>
      <w:tblPr>
        <w:tblStyle w:val="22"/>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ascii="宋体"/>
                <w:b/>
                <w:color w:val="auto"/>
                <w:sz w:val="24"/>
                <w:highlight w:val="none"/>
              </w:rPr>
            </w:pPr>
          </w:p>
          <w:p>
            <w:pPr>
              <w:spacing w:line="360" w:lineRule="auto"/>
              <w:ind w:firstLine="361" w:firstLineChars="150"/>
              <w:rPr>
                <w:rFonts w:ascii="宋体"/>
                <w:b/>
                <w:color w:val="auto"/>
                <w:sz w:val="24"/>
                <w:highlight w:val="none"/>
              </w:rPr>
            </w:pPr>
            <w:r>
              <w:rPr>
                <w:rFonts w:hint="eastAsia" w:ascii="宋体"/>
                <w:b/>
                <w:color w:val="auto"/>
                <w:sz w:val="24"/>
                <w:highlight w:val="none"/>
              </w:rPr>
              <w:t>法定代表身份证复印件粘帖处</w:t>
            </w:r>
          </w:p>
        </w:tc>
      </w:tr>
    </w:tbl>
    <w:p>
      <w:pPr>
        <w:spacing w:line="360" w:lineRule="auto"/>
        <w:rPr>
          <w:color w:val="auto"/>
          <w:sz w:val="24"/>
          <w:highlight w:val="none"/>
        </w:rPr>
      </w:pPr>
      <w:r>
        <w:rPr>
          <w:rFonts w:hint="eastAsia" w:ascii="宋体"/>
          <w:color w:val="auto"/>
          <w:sz w:val="24"/>
          <w:highlight w:val="none"/>
        </w:rPr>
        <w:t xml:space="preserve">法定代表人姓名：                                 </w:t>
      </w:r>
    </w:p>
    <w:p>
      <w:pPr>
        <w:spacing w:line="360" w:lineRule="auto"/>
        <w:rPr>
          <w:color w:val="auto"/>
          <w:sz w:val="24"/>
          <w:highlight w:val="none"/>
        </w:rPr>
      </w:pPr>
      <w:r>
        <w:rPr>
          <w:rFonts w:hint="eastAsia" w:ascii="宋体"/>
          <w:color w:val="auto"/>
          <w:sz w:val="24"/>
          <w:highlight w:val="none"/>
        </w:rPr>
        <w:t>传真：</w:t>
      </w:r>
    </w:p>
    <w:p>
      <w:pPr>
        <w:spacing w:line="360" w:lineRule="auto"/>
        <w:rPr>
          <w:rFonts w:ascii="宋体"/>
          <w:color w:val="auto"/>
          <w:sz w:val="24"/>
          <w:highlight w:val="none"/>
        </w:rPr>
      </w:pPr>
      <w:r>
        <w:rPr>
          <w:rFonts w:hint="eastAsia" w:ascii="宋体"/>
          <w:color w:val="auto"/>
          <w:sz w:val="24"/>
          <w:highlight w:val="none"/>
        </w:rPr>
        <w:t>电话：</w:t>
      </w:r>
    </w:p>
    <w:p>
      <w:pPr>
        <w:spacing w:line="360" w:lineRule="auto"/>
        <w:rPr>
          <w:color w:val="auto"/>
          <w:sz w:val="24"/>
          <w:highlight w:val="none"/>
        </w:rPr>
      </w:pPr>
      <w:r>
        <w:rPr>
          <w:rFonts w:hint="eastAsia" w:ascii="宋体"/>
          <w:color w:val="auto"/>
          <w:sz w:val="24"/>
          <w:highlight w:val="none"/>
        </w:rPr>
        <w:t>详细通讯地址：</w:t>
      </w:r>
    </w:p>
    <w:p>
      <w:pPr>
        <w:spacing w:line="360" w:lineRule="auto"/>
        <w:rPr>
          <w:b/>
          <w:color w:val="auto"/>
          <w:sz w:val="24"/>
          <w:highlight w:val="none"/>
        </w:rPr>
      </w:pPr>
      <w:r>
        <w:rPr>
          <w:rFonts w:hint="eastAsia" w:ascii="宋体"/>
          <w:color w:val="auto"/>
          <w:sz w:val="24"/>
          <w:highlight w:val="none"/>
        </w:rPr>
        <w:t>邮政编码：</w:t>
      </w:r>
    </w:p>
    <w:tbl>
      <w:tblPr>
        <w:tblStyle w:val="22"/>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ascii="宋体"/>
                <w:b/>
                <w:color w:val="auto"/>
                <w:sz w:val="24"/>
                <w:highlight w:val="none"/>
              </w:rPr>
            </w:pPr>
          </w:p>
          <w:p>
            <w:pPr>
              <w:spacing w:line="360" w:lineRule="auto"/>
              <w:ind w:firstLine="361" w:firstLineChars="150"/>
              <w:rPr>
                <w:rFonts w:ascii="宋体"/>
                <w:b/>
                <w:color w:val="auto"/>
                <w:sz w:val="24"/>
                <w:highlight w:val="none"/>
              </w:rPr>
            </w:pPr>
            <w:r>
              <w:rPr>
                <w:rFonts w:hint="eastAsia" w:ascii="宋体"/>
                <w:b/>
                <w:color w:val="auto"/>
                <w:sz w:val="24"/>
                <w:highlight w:val="none"/>
              </w:rPr>
              <w:t>全权代表身份证复印件粘帖处</w:t>
            </w:r>
          </w:p>
        </w:tc>
      </w:tr>
    </w:tbl>
    <w:p>
      <w:pPr>
        <w:spacing w:line="360" w:lineRule="auto"/>
        <w:rPr>
          <w:rFonts w:ascii="宋体"/>
          <w:color w:val="auto"/>
          <w:sz w:val="24"/>
          <w:highlight w:val="none"/>
        </w:rPr>
      </w:pPr>
      <w:r>
        <w:rPr>
          <w:rFonts w:hint="eastAsia" w:ascii="宋体"/>
          <w:color w:val="auto"/>
          <w:sz w:val="24"/>
          <w:highlight w:val="none"/>
        </w:rPr>
        <w:t xml:space="preserve">全权代表姓名：       </w:t>
      </w:r>
    </w:p>
    <w:p>
      <w:pPr>
        <w:spacing w:line="360" w:lineRule="auto"/>
        <w:rPr>
          <w:color w:val="auto"/>
          <w:sz w:val="24"/>
          <w:highlight w:val="none"/>
        </w:rPr>
      </w:pPr>
      <w:r>
        <w:rPr>
          <w:rFonts w:hint="eastAsia" w:ascii="宋体"/>
          <w:color w:val="auto"/>
          <w:sz w:val="24"/>
          <w:highlight w:val="none"/>
        </w:rPr>
        <w:t xml:space="preserve">职务：                           </w:t>
      </w:r>
    </w:p>
    <w:p>
      <w:pPr>
        <w:spacing w:line="360" w:lineRule="auto"/>
        <w:rPr>
          <w:color w:val="auto"/>
          <w:sz w:val="24"/>
          <w:highlight w:val="none"/>
        </w:rPr>
      </w:pPr>
      <w:r>
        <w:rPr>
          <w:rFonts w:hint="eastAsia" w:ascii="宋体"/>
          <w:color w:val="auto"/>
          <w:sz w:val="24"/>
          <w:highlight w:val="none"/>
        </w:rPr>
        <w:t>传真：</w:t>
      </w:r>
    </w:p>
    <w:p>
      <w:pPr>
        <w:spacing w:line="360" w:lineRule="auto"/>
        <w:rPr>
          <w:rFonts w:ascii="宋体"/>
          <w:color w:val="auto"/>
          <w:sz w:val="24"/>
          <w:highlight w:val="none"/>
        </w:rPr>
      </w:pPr>
      <w:r>
        <w:rPr>
          <w:rFonts w:hint="eastAsia" w:ascii="宋体"/>
          <w:color w:val="auto"/>
          <w:sz w:val="24"/>
          <w:highlight w:val="none"/>
        </w:rPr>
        <w:t>电话：</w:t>
      </w:r>
    </w:p>
    <w:p>
      <w:pPr>
        <w:spacing w:line="360" w:lineRule="auto"/>
        <w:rPr>
          <w:color w:val="auto"/>
          <w:sz w:val="24"/>
          <w:highlight w:val="none"/>
        </w:rPr>
      </w:pPr>
      <w:r>
        <w:rPr>
          <w:rFonts w:hint="eastAsia" w:ascii="宋体"/>
          <w:color w:val="auto"/>
          <w:sz w:val="24"/>
          <w:highlight w:val="none"/>
        </w:rPr>
        <w:t>详细通讯地址：</w:t>
      </w:r>
    </w:p>
    <w:p>
      <w:pPr>
        <w:spacing w:line="360" w:lineRule="auto"/>
        <w:rPr>
          <w:rFonts w:ascii="宋体"/>
          <w:color w:val="auto"/>
          <w:sz w:val="24"/>
          <w:highlight w:val="none"/>
        </w:rPr>
      </w:pPr>
      <w:r>
        <w:rPr>
          <w:rFonts w:hint="eastAsia" w:ascii="宋体"/>
          <w:color w:val="auto"/>
          <w:sz w:val="24"/>
          <w:highlight w:val="none"/>
        </w:rPr>
        <w:t>邮政编码：</w:t>
      </w:r>
    </w:p>
    <w:p>
      <w:pPr>
        <w:pStyle w:val="31"/>
        <w:shd w:val="clear" w:color="auto" w:fill="FFFFFF"/>
        <w:spacing w:before="0" w:beforeAutospacing="0" w:after="0" w:afterAutospacing="0" w:line="360" w:lineRule="auto"/>
        <w:rPr>
          <w:b/>
          <w:color w:val="auto"/>
          <w:sz w:val="28"/>
          <w:highlight w:val="none"/>
        </w:rPr>
      </w:pPr>
      <w:r>
        <w:rPr>
          <w:rFonts w:hint="eastAsia"/>
          <w:b/>
          <w:color w:val="auto"/>
          <w:sz w:val="28"/>
          <w:highlight w:val="none"/>
        </w:rPr>
        <w:t xml:space="preserve">附件4：       </w:t>
      </w:r>
    </w:p>
    <w:p>
      <w:pPr>
        <w:autoSpaceDE w:val="0"/>
        <w:autoSpaceDN w:val="0"/>
        <w:adjustRightInd w:val="0"/>
        <w:spacing w:line="400" w:lineRule="exact"/>
        <w:jc w:val="center"/>
        <w:rPr>
          <w:rFonts w:ascii="黑体" w:eastAsia="黑体"/>
          <w:bCs/>
          <w:color w:val="auto"/>
          <w:sz w:val="30"/>
          <w:szCs w:val="30"/>
          <w:highlight w:val="none"/>
          <w:lang w:val="zh-CN"/>
        </w:rPr>
      </w:pPr>
      <w:r>
        <w:rPr>
          <w:rFonts w:hint="eastAsia" w:ascii="黑体" w:eastAsia="黑体"/>
          <w:bCs/>
          <w:color w:val="auto"/>
          <w:sz w:val="30"/>
          <w:szCs w:val="30"/>
          <w:highlight w:val="none"/>
          <w:lang w:val="zh-CN"/>
        </w:rPr>
        <w:t>供应商综合情况一览表</w:t>
      </w:r>
    </w:p>
    <w:p>
      <w:pPr>
        <w:autoSpaceDE w:val="0"/>
        <w:autoSpaceDN w:val="0"/>
        <w:adjustRightInd w:val="0"/>
        <w:spacing w:line="400" w:lineRule="exact"/>
        <w:jc w:val="center"/>
        <w:rPr>
          <w:bCs/>
          <w:color w:val="auto"/>
          <w:sz w:val="24"/>
          <w:highlight w:val="none"/>
          <w:lang w:val="zh-CN"/>
        </w:rPr>
      </w:pPr>
    </w:p>
    <w:tbl>
      <w:tblPr>
        <w:tblStyle w:val="22"/>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429"/>
        <w:gridCol w:w="1533"/>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单位名称</w:t>
            </w:r>
          </w:p>
        </w:tc>
        <w:tc>
          <w:tcPr>
            <w:tcW w:w="34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pacing w:val="20"/>
                <w:sz w:val="24"/>
                <w:highlight w:val="none"/>
              </w:rPr>
            </w:pPr>
            <w:r>
              <w:rPr>
                <w:rFonts w:hint="eastAsia" w:hAnsi="宋体"/>
                <w:color w:val="auto"/>
                <w:spacing w:val="20"/>
                <w:sz w:val="24"/>
                <w:highlight w:val="none"/>
              </w:rPr>
              <w:t>法人代表</w:t>
            </w:r>
          </w:p>
        </w:tc>
        <w:tc>
          <w:tcPr>
            <w:tcW w:w="2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单位性质</w:t>
            </w:r>
          </w:p>
        </w:tc>
        <w:tc>
          <w:tcPr>
            <w:tcW w:w="34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pacing w:val="20"/>
                <w:sz w:val="24"/>
                <w:highlight w:val="none"/>
              </w:rPr>
            </w:pPr>
            <w:r>
              <w:rPr>
                <w:rFonts w:hint="eastAsia" w:hAnsi="宋体"/>
                <w:color w:val="auto"/>
                <w:spacing w:val="20"/>
                <w:sz w:val="24"/>
                <w:highlight w:val="none"/>
              </w:rPr>
              <w:t>资质等级</w:t>
            </w:r>
          </w:p>
        </w:tc>
        <w:tc>
          <w:tcPr>
            <w:tcW w:w="2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注册资金</w:t>
            </w:r>
          </w:p>
        </w:tc>
        <w:tc>
          <w:tcPr>
            <w:tcW w:w="34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pacing w:val="-20"/>
                <w:sz w:val="24"/>
                <w:highlight w:val="none"/>
              </w:rPr>
            </w:pPr>
            <w:r>
              <w:rPr>
                <w:rFonts w:hint="eastAsia" w:hAnsi="宋体"/>
                <w:color w:val="auto"/>
                <w:spacing w:val="-20"/>
                <w:sz w:val="24"/>
                <w:highlight w:val="none"/>
              </w:rPr>
              <w:t>单位组建时间</w:t>
            </w:r>
          </w:p>
        </w:tc>
        <w:tc>
          <w:tcPr>
            <w:tcW w:w="2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单位地址</w:t>
            </w:r>
          </w:p>
        </w:tc>
        <w:tc>
          <w:tcPr>
            <w:tcW w:w="34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主要联系人</w:t>
            </w:r>
          </w:p>
        </w:tc>
        <w:tc>
          <w:tcPr>
            <w:tcW w:w="2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开户银行</w:t>
            </w:r>
          </w:p>
        </w:tc>
        <w:tc>
          <w:tcPr>
            <w:tcW w:w="34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邮      编</w:t>
            </w:r>
          </w:p>
        </w:tc>
        <w:tc>
          <w:tcPr>
            <w:tcW w:w="2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经营范围</w:t>
            </w:r>
          </w:p>
        </w:tc>
        <w:tc>
          <w:tcPr>
            <w:tcW w:w="34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Ansi="宋体"/>
                <w:color w:val="auto"/>
                <w:sz w:val="24"/>
                <w:highlight w:val="none"/>
              </w:rPr>
            </w:pPr>
            <w:r>
              <w:rPr>
                <w:rFonts w:hint="eastAsia" w:hAnsi="宋体"/>
                <w:color w:val="auto"/>
                <w:sz w:val="24"/>
                <w:highlight w:val="none"/>
              </w:rPr>
              <w:t>电      话</w:t>
            </w:r>
          </w:p>
        </w:tc>
        <w:tc>
          <w:tcPr>
            <w:tcW w:w="26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9" w:hRule="atLeast"/>
        </w:trPr>
        <w:tc>
          <w:tcPr>
            <w:tcW w:w="124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hAnsi="宋体"/>
                <w:color w:val="auto"/>
                <w:sz w:val="24"/>
                <w:highlight w:val="none"/>
              </w:rPr>
            </w:pPr>
          </w:p>
          <w:p>
            <w:pPr>
              <w:autoSpaceDE w:val="0"/>
              <w:autoSpaceDN w:val="0"/>
              <w:adjustRightInd w:val="0"/>
              <w:spacing w:line="400" w:lineRule="exact"/>
              <w:rPr>
                <w:rFonts w:hAnsi="宋体"/>
                <w:color w:val="auto"/>
                <w:sz w:val="24"/>
                <w:highlight w:val="none"/>
              </w:rPr>
            </w:pP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单位人</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员状况</w:t>
            </w:r>
          </w:p>
        </w:tc>
        <w:tc>
          <w:tcPr>
            <w:tcW w:w="342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单位总人数           人；</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在册项目技术人员     人；</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其    中：</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高级称职             人；</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中级职称             人；</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初级职称             人；</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专业技术人员         人。</w:t>
            </w:r>
          </w:p>
          <w:p>
            <w:pPr>
              <w:autoSpaceDE w:val="0"/>
              <w:autoSpaceDN w:val="0"/>
              <w:adjustRightInd w:val="0"/>
              <w:spacing w:line="400" w:lineRule="exact"/>
              <w:rPr>
                <w:rFonts w:hAnsi="宋体"/>
                <w:color w:val="auto"/>
                <w:sz w:val="24"/>
                <w:highlight w:val="none"/>
              </w:rPr>
            </w:pPr>
          </w:p>
        </w:tc>
        <w:tc>
          <w:tcPr>
            <w:tcW w:w="4138" w:type="dxa"/>
            <w:gridSpan w:val="2"/>
            <w:tcBorders>
              <w:top w:val="single" w:color="auto" w:sz="4" w:space="0"/>
              <w:left w:val="single" w:color="auto" w:sz="4" w:space="0"/>
              <w:right w:val="single" w:color="auto" w:sz="4" w:space="0"/>
            </w:tcBorders>
          </w:tcPr>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单位固定资产总额          万元；</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其    中：</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设备总数                    台；</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计算机（PC机、服务器）      台；</w:t>
            </w:r>
          </w:p>
          <w:p>
            <w:pPr>
              <w:autoSpaceDE w:val="0"/>
              <w:autoSpaceDN w:val="0"/>
              <w:adjustRightInd w:val="0"/>
              <w:spacing w:line="400" w:lineRule="exact"/>
              <w:rPr>
                <w:rFonts w:hAnsi="宋体"/>
                <w:color w:val="auto"/>
                <w:sz w:val="24"/>
                <w:highlight w:val="none"/>
              </w:rPr>
            </w:pPr>
            <w:r>
              <w:rPr>
                <w:rFonts w:hint="eastAsia" w:hAnsi="宋体"/>
                <w:color w:val="auto"/>
                <w:sz w:val="24"/>
                <w:highlight w:val="none"/>
              </w:rPr>
              <w:t>其它可用于本项目设备        台。</w:t>
            </w:r>
          </w:p>
        </w:tc>
      </w:tr>
    </w:tbl>
    <w:p>
      <w:pPr>
        <w:spacing w:line="500" w:lineRule="exact"/>
        <w:jc w:val="left"/>
        <w:rPr>
          <w:rFonts w:ascii="宋体" w:hAnsi="宋体"/>
          <w:color w:val="auto"/>
          <w:sz w:val="24"/>
          <w:highlight w:val="none"/>
        </w:rPr>
      </w:pPr>
    </w:p>
    <w:p>
      <w:pPr>
        <w:spacing w:line="500" w:lineRule="exact"/>
        <w:jc w:val="left"/>
        <w:rPr>
          <w:rFonts w:ascii="宋体" w:hAnsi="宋体"/>
          <w:color w:val="auto"/>
          <w:sz w:val="24"/>
          <w:highlight w:val="none"/>
        </w:rPr>
      </w:pPr>
    </w:p>
    <w:p>
      <w:pPr>
        <w:adjustRightInd w:val="0"/>
        <w:snapToGrid w:val="0"/>
        <w:spacing w:line="324"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324"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pPr>
        <w:spacing w:line="500" w:lineRule="exact"/>
        <w:jc w:val="right"/>
        <w:rPr>
          <w:rFonts w:ascii="宋体" w:cs="宋体"/>
          <w:color w:val="auto"/>
          <w:sz w:val="24"/>
          <w:highlight w:val="none"/>
          <w:lang w:val="zh-CN"/>
        </w:rPr>
      </w:pPr>
    </w:p>
    <w:p>
      <w:pPr>
        <w:pStyle w:val="3"/>
        <w:rPr>
          <w:color w:val="auto"/>
          <w:highlight w:val="none"/>
          <w:lang w:val="zh-CN"/>
        </w:rPr>
      </w:pPr>
    </w:p>
    <w:p>
      <w:pPr>
        <w:pStyle w:val="31"/>
        <w:shd w:val="clear" w:color="auto" w:fill="FFFFFF"/>
        <w:spacing w:before="0" w:beforeAutospacing="0" w:after="0" w:afterAutospacing="0" w:line="360" w:lineRule="auto"/>
        <w:jc w:val="center"/>
        <w:rPr>
          <w:rFonts w:ascii="仿宋_GB2312" w:hAnsi="仿宋_GB2312" w:eastAsia="仿宋_GB2312" w:cs="仿宋_GB2312"/>
          <w:color w:val="auto"/>
          <w:highlight w:val="none"/>
          <w:shd w:val="clear" w:color="FFFFFF" w:fill="D9D9D9"/>
        </w:rPr>
      </w:pPr>
    </w:p>
    <w:p>
      <w:pPr>
        <w:pStyle w:val="31"/>
        <w:shd w:val="clear" w:color="auto" w:fill="FFFFFF"/>
        <w:spacing w:before="0" w:beforeAutospacing="0" w:after="0" w:afterAutospacing="0" w:line="360" w:lineRule="auto"/>
        <w:jc w:val="center"/>
        <w:rPr>
          <w:rFonts w:ascii="仿宋_GB2312" w:hAnsi="仿宋_GB2312" w:eastAsia="仿宋_GB2312" w:cs="仿宋_GB2312"/>
          <w:color w:val="auto"/>
          <w:highlight w:val="none"/>
          <w:shd w:val="clear" w:color="FFFFFF" w:fill="D9D9D9"/>
        </w:rPr>
      </w:pPr>
    </w:p>
    <w:p>
      <w:pPr>
        <w:pStyle w:val="31"/>
        <w:shd w:val="clear" w:color="auto" w:fill="FFFFFF"/>
        <w:spacing w:before="0" w:beforeAutospacing="0" w:after="0" w:afterAutospacing="0" w:line="360" w:lineRule="auto"/>
        <w:jc w:val="both"/>
        <w:rPr>
          <w:rFonts w:ascii="仿宋_GB2312" w:hAnsi="仿宋_GB2312" w:eastAsia="仿宋_GB2312" w:cs="仿宋_GB2312"/>
          <w:color w:val="auto"/>
          <w:highlight w:val="none"/>
          <w:shd w:val="clear" w:color="FFFFFF" w:fill="D9D9D9"/>
        </w:rPr>
      </w:pPr>
    </w:p>
    <w:p>
      <w:pPr>
        <w:snapToGrid w:val="0"/>
        <w:spacing w:before="50" w:after="50" w:line="360" w:lineRule="auto"/>
        <w:rPr>
          <w:rFonts w:ascii="宋体" w:hAnsi="宋体"/>
          <w:b/>
          <w:color w:val="auto"/>
          <w:sz w:val="28"/>
          <w:highlight w:val="none"/>
        </w:rPr>
      </w:pPr>
    </w:p>
    <w:p>
      <w:pPr>
        <w:snapToGrid w:val="0"/>
        <w:spacing w:before="50" w:after="50" w:line="360" w:lineRule="auto"/>
        <w:rPr>
          <w:rFonts w:ascii="宋体" w:hAnsi="宋体"/>
          <w:b/>
          <w:color w:val="auto"/>
          <w:sz w:val="28"/>
          <w:highlight w:val="none"/>
        </w:rPr>
      </w:pPr>
    </w:p>
    <w:p>
      <w:pPr>
        <w:snapToGrid w:val="0"/>
        <w:spacing w:before="50" w:after="50" w:line="360" w:lineRule="auto"/>
        <w:rPr>
          <w:rFonts w:ascii="宋体" w:hAnsi="宋体"/>
          <w:b/>
          <w:color w:val="auto"/>
          <w:sz w:val="32"/>
          <w:szCs w:val="32"/>
          <w:highlight w:val="none"/>
        </w:rPr>
      </w:pPr>
      <w:r>
        <w:rPr>
          <w:rFonts w:hint="eastAsia" w:ascii="宋体" w:hAnsi="宋体"/>
          <w:b/>
          <w:color w:val="auto"/>
          <w:sz w:val="28"/>
          <w:highlight w:val="none"/>
        </w:rPr>
        <w:t>附件5：</w:t>
      </w:r>
    </w:p>
    <w:p>
      <w:pPr>
        <w:spacing w:line="500" w:lineRule="exact"/>
        <w:ind w:firstLine="1687" w:firstLineChars="700"/>
        <w:rPr>
          <w:rFonts w:ascii="宋体" w:hAnsi="宋体" w:cs="宋体"/>
          <w:b/>
          <w:color w:val="auto"/>
          <w:sz w:val="24"/>
          <w:highlight w:val="none"/>
        </w:rPr>
      </w:pPr>
      <w:r>
        <w:rPr>
          <w:rFonts w:hint="eastAsia" w:ascii="宋体" w:hAnsi="宋体" w:cs="宋体"/>
          <w:b/>
          <w:color w:val="auto"/>
          <w:sz w:val="24"/>
          <w:highlight w:val="none"/>
        </w:rPr>
        <w:t>项目负责人和团队组成人员基本情况表</w:t>
      </w:r>
    </w:p>
    <w:p>
      <w:pPr>
        <w:jc w:val="center"/>
        <w:rPr>
          <w:b/>
          <w:color w:val="auto"/>
          <w:highlight w:val="none"/>
        </w:rPr>
      </w:pPr>
    </w:p>
    <w:p>
      <w:pPr>
        <w:jc w:val="center"/>
        <w:rPr>
          <w:b/>
          <w:color w:val="auto"/>
          <w:highlight w:val="none"/>
        </w:rPr>
      </w:pPr>
    </w:p>
    <w:tbl>
      <w:tblPr>
        <w:tblStyle w:val="22"/>
        <w:tblW w:w="83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40"/>
        <w:gridCol w:w="1337"/>
        <w:gridCol w:w="1663"/>
        <w:gridCol w:w="20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trPr>
        <w:tc>
          <w:tcPr>
            <w:tcW w:w="1845" w:type="dxa"/>
            <w:tcBorders>
              <w:top w:val="single" w:color="auto" w:sz="12" w:space="0"/>
              <w:left w:val="single" w:color="auto" w:sz="12" w:space="0"/>
              <w:bottom w:val="single" w:color="auto" w:sz="6" w:space="0"/>
              <w:right w:val="single" w:color="auto" w:sz="6" w:space="0"/>
            </w:tcBorders>
            <w:vAlign w:val="center"/>
          </w:tcPr>
          <w:p>
            <w:pPr>
              <w:jc w:val="center"/>
              <w:rPr>
                <w:color w:val="auto"/>
                <w:sz w:val="24"/>
                <w:highlight w:val="none"/>
              </w:rPr>
            </w:pPr>
            <w:r>
              <w:rPr>
                <w:rFonts w:hint="eastAsia"/>
                <w:color w:val="auto"/>
                <w:sz w:val="24"/>
                <w:highlight w:val="none"/>
              </w:rPr>
              <w:t>人员安排</w:t>
            </w:r>
          </w:p>
        </w:tc>
        <w:tc>
          <w:tcPr>
            <w:tcW w:w="1440" w:type="dxa"/>
            <w:tcBorders>
              <w:top w:val="single" w:color="auto" w:sz="12" w:space="0"/>
              <w:left w:val="single" w:color="auto" w:sz="6" w:space="0"/>
              <w:bottom w:val="single" w:color="auto" w:sz="6" w:space="0"/>
              <w:right w:val="single" w:color="auto" w:sz="6" w:space="0"/>
            </w:tcBorders>
            <w:vAlign w:val="center"/>
          </w:tcPr>
          <w:p>
            <w:pPr>
              <w:jc w:val="center"/>
              <w:rPr>
                <w:color w:val="auto"/>
                <w:sz w:val="24"/>
                <w:highlight w:val="none"/>
              </w:rPr>
            </w:pPr>
            <w:r>
              <w:rPr>
                <w:rFonts w:hint="eastAsia"/>
                <w:color w:val="auto"/>
                <w:sz w:val="24"/>
                <w:highlight w:val="none"/>
              </w:rPr>
              <w:t>姓名</w:t>
            </w:r>
          </w:p>
        </w:tc>
        <w:tc>
          <w:tcPr>
            <w:tcW w:w="1337" w:type="dxa"/>
            <w:tcBorders>
              <w:top w:val="single" w:color="auto" w:sz="12" w:space="0"/>
              <w:left w:val="single" w:color="auto" w:sz="6" w:space="0"/>
              <w:bottom w:val="single" w:color="auto" w:sz="6" w:space="0"/>
              <w:right w:val="single" w:color="auto" w:sz="4" w:space="0"/>
            </w:tcBorders>
            <w:vAlign w:val="center"/>
          </w:tcPr>
          <w:p>
            <w:pPr>
              <w:jc w:val="center"/>
              <w:rPr>
                <w:color w:val="auto"/>
                <w:sz w:val="24"/>
                <w:highlight w:val="none"/>
              </w:rPr>
            </w:pPr>
            <w:r>
              <w:rPr>
                <w:rFonts w:hint="eastAsia"/>
                <w:color w:val="auto"/>
                <w:sz w:val="24"/>
                <w:highlight w:val="none"/>
              </w:rPr>
              <w:t>性别</w:t>
            </w:r>
          </w:p>
        </w:tc>
        <w:tc>
          <w:tcPr>
            <w:tcW w:w="1663" w:type="dxa"/>
            <w:tcBorders>
              <w:top w:val="single" w:color="auto" w:sz="12" w:space="0"/>
              <w:left w:val="single" w:color="auto" w:sz="4" w:space="0"/>
              <w:bottom w:val="single" w:color="auto" w:sz="6" w:space="0"/>
              <w:right w:val="single" w:color="auto" w:sz="4" w:space="0"/>
            </w:tcBorders>
            <w:vAlign w:val="center"/>
          </w:tcPr>
          <w:p>
            <w:pPr>
              <w:jc w:val="center"/>
              <w:rPr>
                <w:color w:val="auto"/>
                <w:sz w:val="24"/>
                <w:highlight w:val="none"/>
              </w:rPr>
            </w:pPr>
            <w:r>
              <w:rPr>
                <w:rFonts w:hint="eastAsia"/>
                <w:color w:val="auto"/>
                <w:sz w:val="24"/>
                <w:highlight w:val="none"/>
              </w:rPr>
              <w:t>所学专业</w:t>
            </w:r>
          </w:p>
        </w:tc>
        <w:tc>
          <w:tcPr>
            <w:tcW w:w="2040" w:type="dxa"/>
            <w:tcBorders>
              <w:top w:val="single" w:color="auto" w:sz="12" w:space="0"/>
              <w:left w:val="single" w:color="auto" w:sz="4" w:space="0"/>
              <w:bottom w:val="single" w:color="auto" w:sz="6" w:space="0"/>
              <w:right w:val="single" w:color="auto" w:sz="12" w:space="0"/>
            </w:tcBorders>
            <w:vAlign w:val="center"/>
          </w:tcPr>
          <w:p>
            <w:pPr>
              <w:jc w:val="center"/>
              <w:rPr>
                <w:color w:val="auto"/>
                <w:sz w:val="24"/>
                <w:highlight w:val="none"/>
              </w:rPr>
            </w:pPr>
            <w:r>
              <w:rPr>
                <w:rFonts w:hint="eastAsia"/>
                <w:color w:val="auto"/>
                <w:sz w:val="24"/>
                <w:highlight w:val="none"/>
              </w:rPr>
              <w:t>现任职务及职称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1845" w:type="dxa"/>
            <w:tcBorders>
              <w:top w:val="single" w:color="auto" w:sz="6" w:space="0"/>
              <w:left w:val="single" w:color="auto" w:sz="12" w:space="0"/>
              <w:bottom w:val="single" w:color="auto" w:sz="6" w:space="0"/>
              <w:right w:val="single" w:color="auto" w:sz="6" w:space="0"/>
            </w:tcBorders>
            <w:vAlign w:val="center"/>
          </w:tcPr>
          <w:p>
            <w:pPr>
              <w:rPr>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rPr>
                <w:color w:val="auto"/>
                <w:sz w:val="24"/>
                <w:highlight w:val="none"/>
              </w:rPr>
            </w:pPr>
          </w:p>
        </w:tc>
        <w:tc>
          <w:tcPr>
            <w:tcW w:w="1337" w:type="dxa"/>
            <w:tcBorders>
              <w:top w:val="single" w:color="auto" w:sz="6" w:space="0"/>
              <w:left w:val="single" w:color="auto" w:sz="6" w:space="0"/>
              <w:bottom w:val="single" w:color="auto" w:sz="6" w:space="0"/>
              <w:right w:val="single" w:color="auto" w:sz="4" w:space="0"/>
            </w:tcBorders>
            <w:vAlign w:val="center"/>
          </w:tcPr>
          <w:p>
            <w:pPr>
              <w:rPr>
                <w:color w:val="auto"/>
                <w:sz w:val="24"/>
                <w:highlight w:val="none"/>
              </w:rPr>
            </w:pPr>
          </w:p>
        </w:tc>
        <w:tc>
          <w:tcPr>
            <w:tcW w:w="1663" w:type="dxa"/>
            <w:tcBorders>
              <w:top w:val="single" w:color="auto" w:sz="6" w:space="0"/>
              <w:left w:val="single" w:color="auto" w:sz="4" w:space="0"/>
              <w:bottom w:val="single" w:color="auto" w:sz="6" w:space="0"/>
              <w:right w:val="single" w:color="auto" w:sz="4" w:space="0"/>
            </w:tcBorders>
            <w:vAlign w:val="center"/>
          </w:tcPr>
          <w:p>
            <w:pPr>
              <w:rPr>
                <w:color w:val="auto"/>
                <w:sz w:val="24"/>
                <w:highlight w:val="none"/>
              </w:rPr>
            </w:pPr>
          </w:p>
        </w:tc>
        <w:tc>
          <w:tcPr>
            <w:tcW w:w="2040" w:type="dxa"/>
            <w:tcBorders>
              <w:top w:val="single" w:color="auto" w:sz="6" w:space="0"/>
              <w:left w:val="single" w:color="auto" w:sz="4" w:space="0"/>
              <w:bottom w:val="single" w:color="auto" w:sz="6" w:space="0"/>
              <w:right w:val="single" w:color="auto" w:sz="12" w:space="0"/>
            </w:tcBorders>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845" w:type="dxa"/>
            <w:tcBorders>
              <w:top w:val="single" w:color="auto" w:sz="6" w:space="0"/>
              <w:left w:val="single" w:color="auto" w:sz="12" w:space="0"/>
              <w:bottom w:val="single" w:color="auto" w:sz="6" w:space="0"/>
              <w:right w:val="single" w:color="auto" w:sz="6" w:space="0"/>
            </w:tcBorders>
            <w:vAlign w:val="center"/>
          </w:tcPr>
          <w:p>
            <w:pPr>
              <w:rPr>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rPr>
                <w:color w:val="auto"/>
                <w:sz w:val="24"/>
                <w:highlight w:val="none"/>
              </w:rPr>
            </w:pPr>
          </w:p>
        </w:tc>
        <w:tc>
          <w:tcPr>
            <w:tcW w:w="1337" w:type="dxa"/>
            <w:tcBorders>
              <w:top w:val="single" w:color="auto" w:sz="6" w:space="0"/>
              <w:left w:val="single" w:color="auto" w:sz="6" w:space="0"/>
              <w:bottom w:val="single" w:color="auto" w:sz="6" w:space="0"/>
              <w:right w:val="single" w:color="auto" w:sz="4" w:space="0"/>
            </w:tcBorders>
            <w:vAlign w:val="center"/>
          </w:tcPr>
          <w:p>
            <w:pPr>
              <w:rPr>
                <w:color w:val="auto"/>
                <w:sz w:val="24"/>
                <w:highlight w:val="none"/>
              </w:rPr>
            </w:pPr>
          </w:p>
        </w:tc>
        <w:tc>
          <w:tcPr>
            <w:tcW w:w="1663" w:type="dxa"/>
            <w:tcBorders>
              <w:top w:val="single" w:color="auto" w:sz="6" w:space="0"/>
              <w:left w:val="single" w:color="auto" w:sz="4" w:space="0"/>
              <w:bottom w:val="single" w:color="auto" w:sz="6" w:space="0"/>
              <w:right w:val="single" w:color="auto" w:sz="4" w:space="0"/>
            </w:tcBorders>
            <w:vAlign w:val="center"/>
          </w:tcPr>
          <w:p>
            <w:pPr>
              <w:rPr>
                <w:color w:val="auto"/>
                <w:sz w:val="24"/>
                <w:highlight w:val="none"/>
              </w:rPr>
            </w:pPr>
          </w:p>
        </w:tc>
        <w:tc>
          <w:tcPr>
            <w:tcW w:w="2040" w:type="dxa"/>
            <w:tcBorders>
              <w:top w:val="single" w:color="auto" w:sz="6" w:space="0"/>
              <w:left w:val="single" w:color="auto" w:sz="4" w:space="0"/>
              <w:bottom w:val="single" w:color="auto" w:sz="6" w:space="0"/>
              <w:right w:val="single" w:color="auto" w:sz="12" w:space="0"/>
            </w:tcBorders>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845" w:type="dxa"/>
            <w:tcBorders>
              <w:top w:val="single" w:color="auto" w:sz="6" w:space="0"/>
              <w:left w:val="single" w:color="auto" w:sz="12" w:space="0"/>
              <w:bottom w:val="single" w:color="auto" w:sz="6" w:space="0"/>
              <w:right w:val="single" w:color="auto" w:sz="6" w:space="0"/>
            </w:tcBorders>
            <w:vAlign w:val="center"/>
          </w:tcPr>
          <w:p>
            <w:pPr>
              <w:rPr>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rPr>
                <w:color w:val="auto"/>
                <w:sz w:val="24"/>
                <w:highlight w:val="none"/>
              </w:rPr>
            </w:pPr>
          </w:p>
        </w:tc>
        <w:tc>
          <w:tcPr>
            <w:tcW w:w="1337" w:type="dxa"/>
            <w:tcBorders>
              <w:top w:val="single" w:color="auto" w:sz="6" w:space="0"/>
              <w:left w:val="single" w:color="auto" w:sz="6" w:space="0"/>
              <w:bottom w:val="single" w:color="auto" w:sz="6" w:space="0"/>
              <w:right w:val="single" w:color="auto" w:sz="4" w:space="0"/>
            </w:tcBorders>
            <w:vAlign w:val="center"/>
          </w:tcPr>
          <w:p>
            <w:pPr>
              <w:rPr>
                <w:color w:val="auto"/>
                <w:sz w:val="24"/>
                <w:highlight w:val="none"/>
              </w:rPr>
            </w:pPr>
          </w:p>
        </w:tc>
        <w:tc>
          <w:tcPr>
            <w:tcW w:w="1663" w:type="dxa"/>
            <w:tcBorders>
              <w:top w:val="single" w:color="auto" w:sz="6" w:space="0"/>
              <w:left w:val="single" w:color="auto" w:sz="4" w:space="0"/>
              <w:bottom w:val="single" w:color="auto" w:sz="6" w:space="0"/>
              <w:right w:val="single" w:color="auto" w:sz="4" w:space="0"/>
            </w:tcBorders>
            <w:vAlign w:val="center"/>
          </w:tcPr>
          <w:p>
            <w:pPr>
              <w:rPr>
                <w:color w:val="auto"/>
                <w:sz w:val="24"/>
                <w:highlight w:val="none"/>
              </w:rPr>
            </w:pPr>
          </w:p>
        </w:tc>
        <w:tc>
          <w:tcPr>
            <w:tcW w:w="2040" w:type="dxa"/>
            <w:tcBorders>
              <w:top w:val="single" w:color="auto" w:sz="6" w:space="0"/>
              <w:left w:val="single" w:color="auto" w:sz="4" w:space="0"/>
              <w:bottom w:val="single" w:color="auto" w:sz="6" w:space="0"/>
              <w:right w:val="single" w:color="auto" w:sz="12" w:space="0"/>
            </w:tcBorders>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845" w:type="dxa"/>
            <w:tcBorders>
              <w:top w:val="single" w:color="auto" w:sz="6" w:space="0"/>
              <w:left w:val="single" w:color="auto" w:sz="12" w:space="0"/>
              <w:bottom w:val="single" w:color="auto" w:sz="6" w:space="0"/>
              <w:right w:val="single" w:color="auto" w:sz="6" w:space="0"/>
            </w:tcBorders>
            <w:vAlign w:val="center"/>
          </w:tcPr>
          <w:p>
            <w:pPr>
              <w:rPr>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rPr>
                <w:color w:val="auto"/>
                <w:sz w:val="24"/>
                <w:highlight w:val="none"/>
              </w:rPr>
            </w:pPr>
          </w:p>
        </w:tc>
        <w:tc>
          <w:tcPr>
            <w:tcW w:w="1337" w:type="dxa"/>
            <w:tcBorders>
              <w:top w:val="single" w:color="auto" w:sz="6" w:space="0"/>
              <w:left w:val="single" w:color="auto" w:sz="6" w:space="0"/>
              <w:bottom w:val="single" w:color="auto" w:sz="6" w:space="0"/>
              <w:right w:val="single" w:color="auto" w:sz="4" w:space="0"/>
            </w:tcBorders>
            <w:vAlign w:val="center"/>
          </w:tcPr>
          <w:p>
            <w:pPr>
              <w:rPr>
                <w:color w:val="auto"/>
                <w:sz w:val="24"/>
                <w:highlight w:val="none"/>
              </w:rPr>
            </w:pPr>
          </w:p>
        </w:tc>
        <w:tc>
          <w:tcPr>
            <w:tcW w:w="1663" w:type="dxa"/>
            <w:tcBorders>
              <w:top w:val="single" w:color="auto" w:sz="6" w:space="0"/>
              <w:left w:val="single" w:color="auto" w:sz="4" w:space="0"/>
              <w:bottom w:val="single" w:color="auto" w:sz="6" w:space="0"/>
              <w:right w:val="single" w:color="auto" w:sz="4" w:space="0"/>
            </w:tcBorders>
            <w:vAlign w:val="center"/>
          </w:tcPr>
          <w:p>
            <w:pPr>
              <w:rPr>
                <w:color w:val="auto"/>
                <w:sz w:val="24"/>
                <w:highlight w:val="none"/>
              </w:rPr>
            </w:pPr>
          </w:p>
        </w:tc>
        <w:tc>
          <w:tcPr>
            <w:tcW w:w="2040" w:type="dxa"/>
            <w:tcBorders>
              <w:top w:val="single" w:color="auto" w:sz="6" w:space="0"/>
              <w:left w:val="single" w:color="auto" w:sz="4" w:space="0"/>
              <w:bottom w:val="single" w:color="auto" w:sz="6" w:space="0"/>
              <w:right w:val="single" w:color="auto" w:sz="12" w:space="0"/>
            </w:tcBorders>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845" w:type="dxa"/>
            <w:tcBorders>
              <w:top w:val="single" w:color="auto" w:sz="6" w:space="0"/>
              <w:left w:val="single" w:color="auto" w:sz="12" w:space="0"/>
              <w:bottom w:val="single" w:color="auto" w:sz="12" w:space="0"/>
              <w:right w:val="single" w:color="auto" w:sz="6" w:space="0"/>
            </w:tcBorders>
            <w:vAlign w:val="center"/>
          </w:tcPr>
          <w:p>
            <w:pPr>
              <w:rPr>
                <w:color w:val="auto"/>
                <w:sz w:val="24"/>
                <w:highlight w:val="none"/>
              </w:rPr>
            </w:pPr>
          </w:p>
        </w:tc>
        <w:tc>
          <w:tcPr>
            <w:tcW w:w="1440" w:type="dxa"/>
            <w:tcBorders>
              <w:top w:val="single" w:color="auto" w:sz="6" w:space="0"/>
              <w:left w:val="single" w:color="auto" w:sz="6" w:space="0"/>
              <w:bottom w:val="single" w:color="auto" w:sz="12" w:space="0"/>
              <w:right w:val="single" w:color="auto" w:sz="6" w:space="0"/>
            </w:tcBorders>
            <w:vAlign w:val="center"/>
          </w:tcPr>
          <w:p>
            <w:pPr>
              <w:rPr>
                <w:color w:val="auto"/>
                <w:sz w:val="24"/>
                <w:highlight w:val="none"/>
              </w:rPr>
            </w:pPr>
          </w:p>
        </w:tc>
        <w:tc>
          <w:tcPr>
            <w:tcW w:w="1337" w:type="dxa"/>
            <w:tcBorders>
              <w:top w:val="single" w:color="auto" w:sz="6" w:space="0"/>
              <w:left w:val="single" w:color="auto" w:sz="6" w:space="0"/>
              <w:bottom w:val="single" w:color="auto" w:sz="12" w:space="0"/>
              <w:right w:val="single" w:color="auto" w:sz="4" w:space="0"/>
            </w:tcBorders>
            <w:vAlign w:val="center"/>
          </w:tcPr>
          <w:p>
            <w:pPr>
              <w:rPr>
                <w:color w:val="auto"/>
                <w:sz w:val="24"/>
                <w:highlight w:val="none"/>
              </w:rPr>
            </w:pPr>
          </w:p>
        </w:tc>
        <w:tc>
          <w:tcPr>
            <w:tcW w:w="1663" w:type="dxa"/>
            <w:tcBorders>
              <w:top w:val="single" w:color="auto" w:sz="6" w:space="0"/>
              <w:left w:val="single" w:color="auto" w:sz="4" w:space="0"/>
              <w:bottom w:val="single" w:color="auto" w:sz="12" w:space="0"/>
              <w:right w:val="single" w:color="auto" w:sz="4" w:space="0"/>
            </w:tcBorders>
            <w:vAlign w:val="center"/>
          </w:tcPr>
          <w:p>
            <w:pPr>
              <w:rPr>
                <w:color w:val="auto"/>
                <w:sz w:val="24"/>
                <w:highlight w:val="none"/>
              </w:rPr>
            </w:pPr>
          </w:p>
        </w:tc>
        <w:tc>
          <w:tcPr>
            <w:tcW w:w="2040" w:type="dxa"/>
            <w:tcBorders>
              <w:top w:val="single" w:color="auto" w:sz="6" w:space="0"/>
              <w:left w:val="single" w:color="auto" w:sz="4" w:space="0"/>
              <w:bottom w:val="single" w:color="auto" w:sz="12" w:space="0"/>
              <w:right w:val="single" w:color="auto" w:sz="12" w:space="0"/>
            </w:tcBorders>
            <w:vAlign w:val="center"/>
          </w:tcPr>
          <w:p>
            <w:pPr>
              <w:rPr>
                <w:color w:val="auto"/>
                <w:sz w:val="24"/>
                <w:highlight w:val="none"/>
              </w:rPr>
            </w:pPr>
          </w:p>
        </w:tc>
      </w:tr>
    </w:tbl>
    <w:p>
      <w:pPr>
        <w:rPr>
          <w:bCs/>
          <w:color w:val="auto"/>
          <w:sz w:val="18"/>
          <w:highlight w:val="none"/>
        </w:rPr>
      </w:pPr>
    </w:p>
    <w:p>
      <w:pPr>
        <w:autoSpaceDE w:val="0"/>
        <w:autoSpaceDN w:val="0"/>
        <w:adjustRightInd w:val="0"/>
        <w:spacing w:before="156" w:beforeLines="50" w:line="360" w:lineRule="auto"/>
        <w:rPr>
          <w:rFonts w:ascii="宋体" w:hAnsi="宋体" w:cs="Arial"/>
          <w:color w:val="auto"/>
          <w:szCs w:val="21"/>
          <w:highlight w:val="none"/>
        </w:rPr>
      </w:pPr>
      <w:r>
        <w:rPr>
          <w:rFonts w:hint="eastAsia" w:ascii="宋体" w:hAnsi="宋体" w:cs="Arial"/>
          <w:color w:val="auto"/>
          <w:szCs w:val="21"/>
          <w:highlight w:val="none"/>
        </w:rPr>
        <w:t>注：供应商应根据磋商文件要求和采购项目的实际需要列出项目负责人和团队组成人员。</w:t>
      </w:r>
    </w:p>
    <w:p>
      <w:pPr>
        <w:spacing w:line="300" w:lineRule="exact"/>
        <w:rPr>
          <w:color w:val="auto"/>
          <w:highlight w:val="none"/>
        </w:rPr>
      </w:pPr>
    </w:p>
    <w:p>
      <w:pPr>
        <w:spacing w:line="400" w:lineRule="exact"/>
        <w:rPr>
          <w:rFonts w:ascii="宋体" w:hAnsi="宋体" w:cs="宋体"/>
          <w:b/>
          <w:color w:val="auto"/>
          <w:sz w:val="24"/>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adjustRightInd w:val="0"/>
        <w:snapToGrid w:val="0"/>
        <w:spacing w:line="324"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324"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pPr>
        <w:spacing w:line="500" w:lineRule="auto"/>
        <w:rPr>
          <w:rFonts w:ascii="宋体" w:hAnsi="宋体" w:cs="宋体"/>
          <w:b/>
          <w:color w:val="auto"/>
          <w:sz w:val="24"/>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360" w:lineRule="auto"/>
        <w:rPr>
          <w:rFonts w:ascii="宋体" w:hAnsi="宋体"/>
          <w:b/>
          <w:color w:val="auto"/>
          <w:sz w:val="28"/>
          <w:highlight w:val="none"/>
        </w:rPr>
      </w:pPr>
      <w:r>
        <w:rPr>
          <w:rFonts w:hint="eastAsia" w:ascii="宋体" w:hAnsi="宋体"/>
          <w:b/>
          <w:color w:val="auto"/>
          <w:sz w:val="28"/>
          <w:highlight w:val="none"/>
        </w:rPr>
        <w:t>附件</w:t>
      </w:r>
      <w:r>
        <w:rPr>
          <w:rFonts w:ascii="宋体" w:hAnsi="宋体"/>
          <w:b/>
          <w:color w:val="auto"/>
          <w:sz w:val="28"/>
          <w:highlight w:val="none"/>
        </w:rPr>
        <w:t>6</w:t>
      </w:r>
      <w:r>
        <w:rPr>
          <w:rFonts w:hint="eastAsia" w:ascii="宋体" w:hAnsi="宋体"/>
          <w:b/>
          <w:color w:val="auto"/>
          <w:sz w:val="28"/>
          <w:highlight w:val="none"/>
        </w:rPr>
        <w:t>：</w:t>
      </w:r>
    </w:p>
    <w:p>
      <w:pPr>
        <w:pStyle w:val="33"/>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项目类似业绩一览表</w:t>
      </w:r>
    </w:p>
    <w:tbl>
      <w:tblPr>
        <w:tblStyle w:val="22"/>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909"/>
        <w:gridCol w:w="1843"/>
        <w:gridCol w:w="21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vAlign w:val="center"/>
          </w:tcPr>
          <w:p>
            <w:pPr>
              <w:pStyle w:val="3"/>
              <w:tabs>
                <w:tab w:val="left" w:pos="8460"/>
                <w:tab w:val="left" w:pos="8640"/>
              </w:tabs>
              <w:ind w:right="25" w:rightChars="12"/>
              <w:jc w:val="center"/>
              <w:outlineLvl w:val="0"/>
              <w:rPr>
                <w:rFonts w:ascii="宋体" w:hAnsi="宋体" w:cs="宋体"/>
                <w:color w:val="auto"/>
                <w:highlight w:val="none"/>
              </w:rPr>
            </w:pPr>
            <w:r>
              <w:rPr>
                <w:rFonts w:hint="eastAsia" w:ascii="宋体" w:hAnsi="宋体" w:cs="宋体"/>
                <w:color w:val="auto"/>
                <w:highlight w:val="none"/>
              </w:rPr>
              <w:t>序号</w:t>
            </w:r>
          </w:p>
        </w:tc>
        <w:tc>
          <w:tcPr>
            <w:tcW w:w="1909" w:type="dxa"/>
            <w:vAlign w:val="center"/>
          </w:tcPr>
          <w:p>
            <w:pPr>
              <w:pStyle w:val="3"/>
              <w:tabs>
                <w:tab w:val="left" w:pos="8460"/>
                <w:tab w:val="left" w:pos="8640"/>
              </w:tabs>
              <w:ind w:right="25" w:rightChars="12"/>
              <w:jc w:val="center"/>
              <w:outlineLvl w:val="0"/>
              <w:rPr>
                <w:rFonts w:ascii="宋体" w:hAnsi="宋体" w:cs="宋体"/>
                <w:color w:val="auto"/>
                <w:highlight w:val="none"/>
              </w:rPr>
            </w:pPr>
            <w:r>
              <w:rPr>
                <w:rFonts w:hint="eastAsia" w:ascii="宋体" w:hAnsi="宋体" w:cs="宋体"/>
                <w:color w:val="auto"/>
                <w:highlight w:val="none"/>
              </w:rPr>
              <w:t>项目名称</w:t>
            </w:r>
          </w:p>
        </w:tc>
        <w:tc>
          <w:tcPr>
            <w:tcW w:w="1843" w:type="dxa"/>
            <w:vAlign w:val="center"/>
          </w:tcPr>
          <w:p>
            <w:pPr>
              <w:pStyle w:val="3"/>
              <w:tabs>
                <w:tab w:val="left" w:pos="8460"/>
                <w:tab w:val="left" w:pos="8640"/>
              </w:tabs>
              <w:ind w:right="25" w:rightChars="12"/>
              <w:jc w:val="center"/>
              <w:outlineLvl w:val="0"/>
              <w:rPr>
                <w:rFonts w:ascii="宋体" w:hAnsi="宋体" w:cs="宋体"/>
                <w:color w:val="auto"/>
                <w:highlight w:val="none"/>
              </w:rPr>
            </w:pPr>
            <w:r>
              <w:rPr>
                <w:rFonts w:hint="eastAsia" w:ascii="宋体" w:hAnsi="宋体" w:cs="宋体"/>
                <w:color w:val="auto"/>
                <w:highlight w:val="none"/>
              </w:rPr>
              <w:t>业主单位</w:t>
            </w:r>
          </w:p>
        </w:tc>
        <w:tc>
          <w:tcPr>
            <w:tcW w:w="2126" w:type="dxa"/>
            <w:vAlign w:val="center"/>
          </w:tcPr>
          <w:p>
            <w:pPr>
              <w:pStyle w:val="3"/>
              <w:tabs>
                <w:tab w:val="left" w:pos="8460"/>
                <w:tab w:val="left" w:pos="8640"/>
              </w:tabs>
              <w:ind w:right="25" w:rightChars="12"/>
              <w:jc w:val="center"/>
              <w:outlineLvl w:val="0"/>
              <w:rPr>
                <w:rFonts w:ascii="宋体" w:hAnsi="宋体" w:cs="宋体"/>
                <w:color w:val="auto"/>
                <w:highlight w:val="none"/>
              </w:rPr>
            </w:pPr>
            <w:r>
              <w:rPr>
                <w:rFonts w:hint="eastAsia" w:ascii="宋体" w:hAnsi="宋体" w:cs="宋体"/>
                <w:color w:val="auto"/>
                <w:highlight w:val="none"/>
              </w:rPr>
              <w:t>合同签订时间</w:t>
            </w:r>
          </w:p>
        </w:tc>
        <w:tc>
          <w:tcPr>
            <w:tcW w:w="1276" w:type="dxa"/>
            <w:vAlign w:val="center"/>
          </w:tcPr>
          <w:p>
            <w:pPr>
              <w:pStyle w:val="3"/>
              <w:tabs>
                <w:tab w:val="left" w:pos="8460"/>
                <w:tab w:val="left" w:pos="8640"/>
              </w:tabs>
              <w:ind w:right="25" w:rightChars="12"/>
              <w:jc w:val="center"/>
              <w:outlineLvl w:val="0"/>
              <w:rPr>
                <w:rFonts w:ascii="宋体" w:hAnsi="宋体" w:cs="宋体"/>
                <w:color w:val="auto"/>
                <w:highlight w:val="none"/>
              </w:rPr>
            </w:pPr>
            <w:r>
              <w:rPr>
                <w:rFonts w:hint="eastAsia" w:ascii="宋体" w:hAnsi="宋体" w:cs="宋体"/>
                <w:color w:val="auto"/>
                <w:highlight w:val="none"/>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1" w:type="dxa"/>
          </w:tcPr>
          <w:p>
            <w:pPr>
              <w:pStyle w:val="3"/>
              <w:tabs>
                <w:tab w:val="left" w:pos="8460"/>
                <w:tab w:val="left" w:pos="8640"/>
              </w:tabs>
              <w:ind w:right="25" w:rightChars="12"/>
              <w:jc w:val="center"/>
              <w:outlineLvl w:val="0"/>
              <w:rPr>
                <w:rFonts w:ascii="宋体" w:hAnsi="宋体" w:cs="宋体"/>
                <w:color w:val="auto"/>
                <w:highlight w:val="none"/>
              </w:rPr>
            </w:pPr>
          </w:p>
        </w:tc>
        <w:tc>
          <w:tcPr>
            <w:tcW w:w="1909" w:type="dxa"/>
          </w:tcPr>
          <w:p>
            <w:pPr>
              <w:pStyle w:val="3"/>
              <w:tabs>
                <w:tab w:val="left" w:pos="8460"/>
                <w:tab w:val="left" w:pos="8640"/>
              </w:tabs>
              <w:ind w:right="25" w:rightChars="12"/>
              <w:jc w:val="center"/>
              <w:outlineLvl w:val="0"/>
              <w:rPr>
                <w:rFonts w:ascii="宋体" w:hAnsi="宋体" w:cs="宋体"/>
                <w:color w:val="auto"/>
                <w:highlight w:val="none"/>
              </w:rPr>
            </w:pPr>
          </w:p>
        </w:tc>
        <w:tc>
          <w:tcPr>
            <w:tcW w:w="1843" w:type="dxa"/>
          </w:tcPr>
          <w:p>
            <w:pPr>
              <w:pStyle w:val="3"/>
              <w:tabs>
                <w:tab w:val="left" w:pos="8460"/>
                <w:tab w:val="left" w:pos="8640"/>
              </w:tabs>
              <w:ind w:right="25" w:rightChars="12"/>
              <w:jc w:val="center"/>
              <w:outlineLvl w:val="0"/>
              <w:rPr>
                <w:rFonts w:ascii="宋体" w:hAnsi="宋体" w:cs="宋体"/>
                <w:color w:val="auto"/>
                <w:highlight w:val="none"/>
              </w:rPr>
            </w:pPr>
          </w:p>
        </w:tc>
        <w:tc>
          <w:tcPr>
            <w:tcW w:w="2126" w:type="dxa"/>
          </w:tcPr>
          <w:p>
            <w:pPr>
              <w:pStyle w:val="3"/>
              <w:tabs>
                <w:tab w:val="left" w:pos="8460"/>
                <w:tab w:val="left" w:pos="8640"/>
              </w:tabs>
              <w:ind w:right="25" w:rightChars="12"/>
              <w:jc w:val="center"/>
              <w:outlineLvl w:val="0"/>
              <w:rPr>
                <w:rFonts w:ascii="宋体" w:hAnsi="宋体" w:cs="宋体"/>
                <w:color w:val="auto"/>
                <w:highlight w:val="none"/>
              </w:rPr>
            </w:pPr>
          </w:p>
        </w:tc>
        <w:tc>
          <w:tcPr>
            <w:tcW w:w="1276" w:type="dxa"/>
          </w:tcPr>
          <w:p>
            <w:pPr>
              <w:pStyle w:val="3"/>
              <w:tabs>
                <w:tab w:val="left" w:pos="8460"/>
                <w:tab w:val="left" w:pos="8640"/>
              </w:tabs>
              <w:ind w:right="25" w:rightChars="12"/>
              <w:jc w:val="center"/>
              <w:outlineLvl w:val="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3"/>
              <w:tabs>
                <w:tab w:val="left" w:pos="8460"/>
                <w:tab w:val="left" w:pos="8640"/>
              </w:tabs>
              <w:ind w:right="25" w:rightChars="12"/>
              <w:jc w:val="center"/>
              <w:outlineLvl w:val="0"/>
              <w:rPr>
                <w:rFonts w:ascii="宋体" w:hAnsi="宋体" w:cs="宋体"/>
                <w:color w:val="auto"/>
                <w:highlight w:val="none"/>
              </w:rPr>
            </w:pPr>
          </w:p>
        </w:tc>
        <w:tc>
          <w:tcPr>
            <w:tcW w:w="1909" w:type="dxa"/>
          </w:tcPr>
          <w:p>
            <w:pPr>
              <w:pStyle w:val="3"/>
              <w:tabs>
                <w:tab w:val="left" w:pos="8460"/>
                <w:tab w:val="left" w:pos="8640"/>
              </w:tabs>
              <w:ind w:right="25" w:rightChars="12"/>
              <w:jc w:val="center"/>
              <w:outlineLvl w:val="0"/>
              <w:rPr>
                <w:rFonts w:ascii="宋体" w:hAnsi="宋体" w:cs="宋体"/>
                <w:color w:val="auto"/>
                <w:highlight w:val="none"/>
              </w:rPr>
            </w:pPr>
          </w:p>
        </w:tc>
        <w:tc>
          <w:tcPr>
            <w:tcW w:w="1843" w:type="dxa"/>
          </w:tcPr>
          <w:p>
            <w:pPr>
              <w:pStyle w:val="3"/>
              <w:tabs>
                <w:tab w:val="left" w:pos="8460"/>
                <w:tab w:val="left" w:pos="8640"/>
              </w:tabs>
              <w:ind w:right="25" w:rightChars="12"/>
              <w:jc w:val="center"/>
              <w:outlineLvl w:val="0"/>
              <w:rPr>
                <w:rFonts w:ascii="宋体" w:hAnsi="宋体" w:cs="宋体"/>
                <w:color w:val="auto"/>
                <w:highlight w:val="none"/>
              </w:rPr>
            </w:pPr>
          </w:p>
        </w:tc>
        <w:tc>
          <w:tcPr>
            <w:tcW w:w="2126" w:type="dxa"/>
          </w:tcPr>
          <w:p>
            <w:pPr>
              <w:pStyle w:val="3"/>
              <w:tabs>
                <w:tab w:val="left" w:pos="8460"/>
                <w:tab w:val="left" w:pos="8640"/>
              </w:tabs>
              <w:ind w:right="25" w:rightChars="12"/>
              <w:jc w:val="center"/>
              <w:outlineLvl w:val="0"/>
              <w:rPr>
                <w:rFonts w:ascii="宋体" w:hAnsi="宋体" w:cs="宋体"/>
                <w:color w:val="auto"/>
                <w:highlight w:val="none"/>
              </w:rPr>
            </w:pPr>
          </w:p>
        </w:tc>
        <w:tc>
          <w:tcPr>
            <w:tcW w:w="1276" w:type="dxa"/>
          </w:tcPr>
          <w:p>
            <w:pPr>
              <w:pStyle w:val="3"/>
              <w:tabs>
                <w:tab w:val="left" w:pos="8460"/>
                <w:tab w:val="left" w:pos="8640"/>
              </w:tabs>
              <w:ind w:right="25" w:rightChars="12"/>
              <w:jc w:val="center"/>
              <w:outlineLvl w:val="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3"/>
              <w:tabs>
                <w:tab w:val="left" w:pos="8460"/>
                <w:tab w:val="left" w:pos="8640"/>
              </w:tabs>
              <w:ind w:right="25" w:rightChars="12"/>
              <w:jc w:val="center"/>
              <w:outlineLvl w:val="0"/>
              <w:rPr>
                <w:rFonts w:ascii="宋体" w:hAnsi="宋体" w:cs="宋体"/>
                <w:color w:val="auto"/>
                <w:highlight w:val="none"/>
              </w:rPr>
            </w:pPr>
          </w:p>
        </w:tc>
        <w:tc>
          <w:tcPr>
            <w:tcW w:w="1909" w:type="dxa"/>
          </w:tcPr>
          <w:p>
            <w:pPr>
              <w:pStyle w:val="3"/>
              <w:tabs>
                <w:tab w:val="left" w:pos="8460"/>
                <w:tab w:val="left" w:pos="8640"/>
              </w:tabs>
              <w:ind w:right="25" w:rightChars="12"/>
              <w:jc w:val="center"/>
              <w:outlineLvl w:val="0"/>
              <w:rPr>
                <w:rFonts w:ascii="宋体" w:hAnsi="宋体" w:cs="宋体"/>
                <w:color w:val="auto"/>
                <w:highlight w:val="none"/>
              </w:rPr>
            </w:pPr>
          </w:p>
        </w:tc>
        <w:tc>
          <w:tcPr>
            <w:tcW w:w="1843" w:type="dxa"/>
          </w:tcPr>
          <w:p>
            <w:pPr>
              <w:pStyle w:val="3"/>
              <w:tabs>
                <w:tab w:val="left" w:pos="8460"/>
                <w:tab w:val="left" w:pos="8640"/>
              </w:tabs>
              <w:ind w:right="25" w:rightChars="12"/>
              <w:jc w:val="center"/>
              <w:outlineLvl w:val="0"/>
              <w:rPr>
                <w:rFonts w:ascii="宋体" w:hAnsi="宋体" w:cs="宋体"/>
                <w:color w:val="auto"/>
                <w:highlight w:val="none"/>
              </w:rPr>
            </w:pPr>
          </w:p>
        </w:tc>
        <w:tc>
          <w:tcPr>
            <w:tcW w:w="2126" w:type="dxa"/>
          </w:tcPr>
          <w:p>
            <w:pPr>
              <w:pStyle w:val="3"/>
              <w:tabs>
                <w:tab w:val="left" w:pos="8460"/>
                <w:tab w:val="left" w:pos="8640"/>
              </w:tabs>
              <w:ind w:right="25" w:rightChars="12"/>
              <w:jc w:val="center"/>
              <w:outlineLvl w:val="0"/>
              <w:rPr>
                <w:rFonts w:ascii="宋体" w:hAnsi="宋体" w:cs="宋体"/>
                <w:color w:val="auto"/>
                <w:highlight w:val="none"/>
              </w:rPr>
            </w:pPr>
          </w:p>
        </w:tc>
        <w:tc>
          <w:tcPr>
            <w:tcW w:w="1276" w:type="dxa"/>
          </w:tcPr>
          <w:p>
            <w:pPr>
              <w:pStyle w:val="3"/>
              <w:tabs>
                <w:tab w:val="left" w:pos="8460"/>
                <w:tab w:val="left" w:pos="8640"/>
              </w:tabs>
              <w:ind w:right="25" w:rightChars="12"/>
              <w:jc w:val="center"/>
              <w:outlineLvl w:val="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1" w:type="dxa"/>
          </w:tcPr>
          <w:p>
            <w:pPr>
              <w:pStyle w:val="3"/>
              <w:tabs>
                <w:tab w:val="left" w:pos="8460"/>
                <w:tab w:val="left" w:pos="8640"/>
              </w:tabs>
              <w:ind w:right="25" w:rightChars="12"/>
              <w:jc w:val="center"/>
              <w:outlineLvl w:val="0"/>
              <w:rPr>
                <w:rFonts w:ascii="宋体" w:hAnsi="宋体" w:cs="宋体"/>
                <w:color w:val="auto"/>
                <w:highlight w:val="none"/>
              </w:rPr>
            </w:pPr>
          </w:p>
        </w:tc>
        <w:tc>
          <w:tcPr>
            <w:tcW w:w="1909" w:type="dxa"/>
          </w:tcPr>
          <w:p>
            <w:pPr>
              <w:pStyle w:val="3"/>
              <w:tabs>
                <w:tab w:val="left" w:pos="8460"/>
                <w:tab w:val="left" w:pos="8640"/>
              </w:tabs>
              <w:ind w:right="25" w:rightChars="12"/>
              <w:jc w:val="center"/>
              <w:outlineLvl w:val="0"/>
              <w:rPr>
                <w:rFonts w:ascii="宋体" w:hAnsi="宋体" w:cs="宋体"/>
                <w:color w:val="auto"/>
                <w:highlight w:val="none"/>
              </w:rPr>
            </w:pPr>
          </w:p>
        </w:tc>
        <w:tc>
          <w:tcPr>
            <w:tcW w:w="1843" w:type="dxa"/>
          </w:tcPr>
          <w:p>
            <w:pPr>
              <w:pStyle w:val="3"/>
              <w:tabs>
                <w:tab w:val="left" w:pos="8460"/>
                <w:tab w:val="left" w:pos="8640"/>
              </w:tabs>
              <w:ind w:right="25" w:rightChars="12"/>
              <w:jc w:val="center"/>
              <w:outlineLvl w:val="0"/>
              <w:rPr>
                <w:rFonts w:ascii="宋体" w:hAnsi="宋体" w:cs="宋体"/>
                <w:color w:val="auto"/>
                <w:highlight w:val="none"/>
              </w:rPr>
            </w:pPr>
          </w:p>
        </w:tc>
        <w:tc>
          <w:tcPr>
            <w:tcW w:w="2126" w:type="dxa"/>
          </w:tcPr>
          <w:p>
            <w:pPr>
              <w:pStyle w:val="3"/>
              <w:tabs>
                <w:tab w:val="left" w:pos="8460"/>
                <w:tab w:val="left" w:pos="8640"/>
              </w:tabs>
              <w:ind w:right="25" w:rightChars="12"/>
              <w:jc w:val="center"/>
              <w:outlineLvl w:val="0"/>
              <w:rPr>
                <w:rFonts w:ascii="宋体" w:hAnsi="宋体" w:cs="宋体"/>
                <w:color w:val="auto"/>
                <w:highlight w:val="none"/>
              </w:rPr>
            </w:pPr>
          </w:p>
        </w:tc>
        <w:tc>
          <w:tcPr>
            <w:tcW w:w="1276" w:type="dxa"/>
          </w:tcPr>
          <w:p>
            <w:pPr>
              <w:pStyle w:val="3"/>
              <w:tabs>
                <w:tab w:val="left" w:pos="8460"/>
                <w:tab w:val="left" w:pos="8640"/>
              </w:tabs>
              <w:ind w:right="25" w:rightChars="12"/>
              <w:jc w:val="center"/>
              <w:outlineLvl w:val="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3"/>
              <w:tabs>
                <w:tab w:val="left" w:pos="8460"/>
                <w:tab w:val="left" w:pos="8640"/>
              </w:tabs>
              <w:ind w:right="25" w:rightChars="12"/>
              <w:jc w:val="center"/>
              <w:outlineLvl w:val="0"/>
              <w:rPr>
                <w:rFonts w:ascii="宋体" w:hAnsi="宋体" w:cs="宋体"/>
                <w:color w:val="auto"/>
                <w:highlight w:val="none"/>
              </w:rPr>
            </w:pPr>
          </w:p>
        </w:tc>
        <w:tc>
          <w:tcPr>
            <w:tcW w:w="1909" w:type="dxa"/>
          </w:tcPr>
          <w:p>
            <w:pPr>
              <w:pStyle w:val="3"/>
              <w:tabs>
                <w:tab w:val="left" w:pos="8460"/>
                <w:tab w:val="left" w:pos="8640"/>
              </w:tabs>
              <w:ind w:right="25" w:rightChars="12"/>
              <w:jc w:val="center"/>
              <w:outlineLvl w:val="0"/>
              <w:rPr>
                <w:rFonts w:ascii="宋体" w:hAnsi="宋体" w:cs="宋体"/>
                <w:color w:val="auto"/>
                <w:highlight w:val="none"/>
              </w:rPr>
            </w:pPr>
          </w:p>
        </w:tc>
        <w:tc>
          <w:tcPr>
            <w:tcW w:w="1843" w:type="dxa"/>
          </w:tcPr>
          <w:p>
            <w:pPr>
              <w:pStyle w:val="3"/>
              <w:tabs>
                <w:tab w:val="left" w:pos="8460"/>
                <w:tab w:val="left" w:pos="8640"/>
              </w:tabs>
              <w:ind w:right="25" w:rightChars="12"/>
              <w:jc w:val="center"/>
              <w:outlineLvl w:val="0"/>
              <w:rPr>
                <w:rFonts w:ascii="宋体" w:hAnsi="宋体" w:cs="宋体"/>
                <w:color w:val="auto"/>
                <w:highlight w:val="none"/>
              </w:rPr>
            </w:pPr>
          </w:p>
        </w:tc>
        <w:tc>
          <w:tcPr>
            <w:tcW w:w="2126" w:type="dxa"/>
          </w:tcPr>
          <w:p>
            <w:pPr>
              <w:pStyle w:val="3"/>
              <w:tabs>
                <w:tab w:val="left" w:pos="8460"/>
                <w:tab w:val="left" w:pos="8640"/>
              </w:tabs>
              <w:ind w:right="25" w:rightChars="12"/>
              <w:jc w:val="center"/>
              <w:outlineLvl w:val="0"/>
              <w:rPr>
                <w:rFonts w:ascii="宋体" w:hAnsi="宋体" w:cs="宋体"/>
                <w:color w:val="auto"/>
                <w:highlight w:val="none"/>
              </w:rPr>
            </w:pPr>
          </w:p>
        </w:tc>
        <w:tc>
          <w:tcPr>
            <w:tcW w:w="1276" w:type="dxa"/>
          </w:tcPr>
          <w:p>
            <w:pPr>
              <w:pStyle w:val="3"/>
              <w:tabs>
                <w:tab w:val="left" w:pos="8460"/>
                <w:tab w:val="left" w:pos="8640"/>
              </w:tabs>
              <w:ind w:right="25" w:rightChars="12"/>
              <w:jc w:val="center"/>
              <w:outlineLvl w:val="0"/>
              <w:rPr>
                <w:rFonts w:ascii="宋体" w:hAnsi="宋体" w:cs="宋体"/>
                <w:color w:val="auto"/>
                <w:highlight w:val="none"/>
              </w:rPr>
            </w:pPr>
          </w:p>
        </w:tc>
      </w:tr>
    </w:tbl>
    <w:p>
      <w:pPr>
        <w:pStyle w:val="30"/>
        <w:tabs>
          <w:tab w:val="left" w:pos="1050"/>
        </w:tabs>
        <w:spacing w:line="360" w:lineRule="auto"/>
        <w:rPr>
          <w:rFonts w:ascii="宋体" w:hAnsi="宋体"/>
          <w:color w:val="auto"/>
          <w:szCs w:val="21"/>
          <w:highlight w:val="none"/>
        </w:rPr>
      </w:pPr>
      <w:r>
        <w:rPr>
          <w:rFonts w:hint="eastAsia" w:ascii="宋体" w:hAnsi="宋体"/>
          <w:b/>
          <w:color w:val="auto"/>
          <w:szCs w:val="21"/>
          <w:highlight w:val="none"/>
        </w:rPr>
        <w:t>要求：</w:t>
      </w:r>
    </w:p>
    <w:p>
      <w:pPr>
        <w:pStyle w:val="9"/>
        <w:snapToGrid w:val="0"/>
        <w:spacing w:line="360" w:lineRule="auto"/>
        <w:ind w:firstLine="400" w:firstLineChars="200"/>
        <w:rPr>
          <w:rFonts w:ascii="Times New Roman" w:hAnsi="Times New Roman" w:eastAsia="宋体" w:cs="Times New Roman"/>
          <w:color w:val="auto"/>
          <w:sz w:val="21"/>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业绩证明应提供证明材料（合同</w:t>
      </w:r>
      <w:r>
        <w:rPr>
          <w:rFonts w:hint="eastAsia" w:ascii="宋体" w:hAnsi="宋体"/>
          <w:color w:val="auto"/>
          <w:szCs w:val="21"/>
          <w:highlight w:val="none"/>
        </w:rPr>
        <w:t>复印件可只提供首页、含金额页、盖章页并加盖谈判供应商公章</w:t>
      </w:r>
      <w:r>
        <w:rPr>
          <w:rFonts w:ascii="宋体" w:hAnsi="宋体"/>
          <w:color w:val="auto"/>
          <w:szCs w:val="21"/>
          <w:highlight w:val="none"/>
        </w:rPr>
        <w:t>）；</w:t>
      </w:r>
      <w:r>
        <w:rPr>
          <w:rFonts w:hint="eastAsia" w:ascii="Times New Roman" w:hAnsi="Times New Roman" w:eastAsia="宋体" w:cs="Times New Roman"/>
          <w:color w:val="auto"/>
          <w:sz w:val="21"/>
          <w:szCs w:val="21"/>
          <w:highlight w:val="none"/>
        </w:rPr>
        <w:t>证明资料附此表后。至少提供一个业绩。</w:t>
      </w:r>
    </w:p>
    <w:p>
      <w:pPr>
        <w:spacing w:line="360" w:lineRule="auto"/>
        <w:ind w:firstLine="424" w:firstLineChars="202"/>
        <w:jc w:val="left"/>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.谈判供应商</w:t>
      </w:r>
      <w:r>
        <w:rPr>
          <w:rFonts w:ascii="宋体" w:hAnsi="宋体" w:cs="Arial"/>
          <w:color w:val="auto"/>
          <w:szCs w:val="21"/>
          <w:highlight w:val="none"/>
        </w:rPr>
        <w:t>可按此表格式复制</w:t>
      </w:r>
      <w:r>
        <w:rPr>
          <w:rFonts w:hint="eastAsia" w:ascii="宋体" w:hAnsi="宋体" w:cs="Arial"/>
          <w:color w:val="auto"/>
          <w:szCs w:val="21"/>
          <w:highlight w:val="none"/>
        </w:rPr>
        <w:t>。</w:t>
      </w:r>
    </w:p>
    <w:p>
      <w:pPr>
        <w:pStyle w:val="30"/>
        <w:tabs>
          <w:tab w:val="left" w:pos="1050"/>
        </w:tabs>
        <w:spacing w:line="360" w:lineRule="auto"/>
        <w:ind w:firstLine="424" w:firstLineChars="202"/>
        <w:rPr>
          <w:rFonts w:ascii="宋体" w:hAnsi="宋体"/>
          <w:color w:val="auto"/>
          <w:szCs w:val="21"/>
          <w:highlight w:val="none"/>
        </w:rPr>
      </w:pPr>
    </w:p>
    <w:p>
      <w:pPr>
        <w:pStyle w:val="30"/>
        <w:tabs>
          <w:tab w:val="left" w:pos="1050"/>
        </w:tabs>
        <w:spacing w:line="360" w:lineRule="auto"/>
        <w:ind w:firstLine="720" w:firstLineChars="300"/>
        <w:rPr>
          <w:rFonts w:ascii="仿宋_GB2312" w:hAnsi="宋体" w:eastAsia="仿宋_GB2312"/>
          <w:color w:val="auto"/>
          <w:sz w:val="24"/>
          <w:highlight w:val="none"/>
        </w:rPr>
      </w:pPr>
    </w:p>
    <w:p>
      <w:pPr>
        <w:pStyle w:val="30"/>
        <w:tabs>
          <w:tab w:val="left" w:pos="1050"/>
        </w:tabs>
        <w:spacing w:line="360" w:lineRule="auto"/>
        <w:ind w:firstLine="720" w:firstLineChars="300"/>
        <w:rPr>
          <w:rFonts w:ascii="仿宋_GB2312" w:hAnsi="宋体" w:eastAsia="仿宋_GB2312"/>
          <w:color w:val="auto"/>
          <w:sz w:val="24"/>
          <w:highlight w:val="none"/>
        </w:rPr>
      </w:pPr>
    </w:p>
    <w:p>
      <w:pPr>
        <w:pStyle w:val="30"/>
        <w:tabs>
          <w:tab w:val="left" w:pos="1050"/>
        </w:tabs>
        <w:spacing w:line="360" w:lineRule="auto"/>
        <w:ind w:firstLine="720" w:firstLineChars="300"/>
        <w:rPr>
          <w:rFonts w:ascii="仿宋_GB2312" w:hAnsi="宋体" w:eastAsia="仿宋_GB2312"/>
          <w:color w:val="auto"/>
          <w:sz w:val="24"/>
          <w:highlight w:val="none"/>
        </w:rPr>
      </w:pPr>
    </w:p>
    <w:p>
      <w:pPr>
        <w:adjustRightInd w:val="0"/>
        <w:snapToGrid w:val="0"/>
        <w:spacing w:line="360"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w:t>
      </w:r>
    </w:p>
    <w:p>
      <w:pPr>
        <w:adjustRightInd w:val="0"/>
        <w:snapToGrid w:val="0"/>
        <w:spacing w:line="360" w:lineRule="auto"/>
        <w:ind w:firstLine="4080" w:firstLineChars="170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法定代表人或授权委托人(签字)：</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val="zh-CN"/>
        </w:rPr>
        <w:t xml:space="preserve"> 日期：年  月   日</w:t>
      </w:r>
    </w:p>
    <w:p>
      <w:pPr>
        <w:rPr>
          <w:rFonts w:ascii="仿宋_GB2312" w:hAnsi="仿宋_GB2312" w:eastAsia="仿宋_GB2312" w:cs="仿宋_GB2312"/>
          <w:color w:val="auto"/>
          <w:sz w:val="24"/>
          <w:highlight w:val="none"/>
          <w:shd w:val="clear" w:color="FFFFFF" w:fill="D9D9D9"/>
        </w:rPr>
      </w:pPr>
      <w:r>
        <w:rPr>
          <w:rFonts w:ascii="仿宋_GB2312" w:hAnsi="仿宋_GB2312" w:eastAsia="仿宋_GB2312" w:cs="仿宋_GB2312"/>
          <w:color w:val="auto"/>
          <w:sz w:val="24"/>
          <w:highlight w:val="none"/>
          <w:shd w:val="clear" w:color="FFFFFF" w:fill="D9D9D9"/>
        </w:rPr>
        <w:br w:type="page"/>
      </w:r>
    </w:p>
    <w:p>
      <w:pPr>
        <w:rPr>
          <w:color w:val="auto"/>
          <w:highlight w:val="none"/>
        </w:rPr>
      </w:pPr>
      <w:r>
        <w:rPr>
          <w:rFonts w:hint="eastAsia" w:ascii="宋体" w:hAnsi="宋体"/>
          <w:b/>
          <w:color w:val="auto"/>
          <w:sz w:val="28"/>
          <w:highlight w:val="none"/>
        </w:rPr>
        <w:t>附件</w:t>
      </w:r>
      <w:r>
        <w:rPr>
          <w:rFonts w:ascii="宋体" w:hAnsi="宋体"/>
          <w:b/>
          <w:color w:val="auto"/>
          <w:sz w:val="28"/>
          <w:highlight w:val="none"/>
        </w:rPr>
        <w:t>7</w:t>
      </w:r>
      <w:r>
        <w:rPr>
          <w:rFonts w:hint="eastAsia"/>
          <w:color w:val="auto"/>
          <w:highlight w:val="none"/>
        </w:rPr>
        <w:t>：</w:t>
      </w:r>
    </w:p>
    <w:p>
      <w:pPr>
        <w:pStyle w:val="3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相关证书一览表</w:t>
      </w:r>
    </w:p>
    <w:p>
      <w:pPr>
        <w:pStyle w:val="30"/>
        <w:spacing w:line="360" w:lineRule="auto"/>
        <w:jc w:val="center"/>
        <w:rPr>
          <w:rFonts w:ascii="宋体" w:hAnsi="宋体" w:cs="Arial"/>
          <w:color w:val="auto"/>
          <w:sz w:val="28"/>
          <w:szCs w:val="28"/>
          <w:highlight w:val="none"/>
        </w:rPr>
      </w:pPr>
    </w:p>
    <w:tbl>
      <w:tblPr>
        <w:tblStyle w:val="22"/>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67" w:type="dxa"/>
            <w:tcBorders>
              <w:top w:val="single" w:color="auto" w:sz="4" w:space="0"/>
              <w:left w:val="single" w:color="auto" w:sz="4" w:space="0"/>
              <w:bottom w:val="single" w:color="auto" w:sz="4" w:space="0"/>
            </w:tcBorders>
          </w:tcPr>
          <w:p>
            <w:pPr>
              <w:pStyle w:val="30"/>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证书名称</w:t>
            </w:r>
          </w:p>
        </w:tc>
        <w:tc>
          <w:tcPr>
            <w:tcW w:w="2258" w:type="dxa"/>
            <w:tcBorders>
              <w:top w:val="single" w:color="auto" w:sz="4" w:space="0"/>
              <w:bottom w:val="single" w:color="auto" w:sz="4" w:space="0"/>
            </w:tcBorders>
          </w:tcPr>
          <w:p>
            <w:pPr>
              <w:pStyle w:val="30"/>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发证单位</w:t>
            </w:r>
          </w:p>
        </w:tc>
        <w:tc>
          <w:tcPr>
            <w:tcW w:w="2260" w:type="dxa"/>
            <w:tcBorders>
              <w:top w:val="single" w:color="auto" w:sz="4" w:space="0"/>
              <w:bottom w:val="single" w:color="auto" w:sz="4" w:space="0"/>
            </w:tcBorders>
          </w:tcPr>
          <w:p>
            <w:pPr>
              <w:pStyle w:val="30"/>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证书等级</w:t>
            </w:r>
          </w:p>
        </w:tc>
        <w:tc>
          <w:tcPr>
            <w:tcW w:w="2047" w:type="dxa"/>
            <w:tcBorders>
              <w:top w:val="single" w:color="auto" w:sz="4" w:space="0"/>
              <w:bottom w:val="single" w:color="auto" w:sz="4" w:space="0"/>
              <w:right w:val="single" w:color="auto" w:sz="4" w:space="0"/>
            </w:tcBorders>
          </w:tcPr>
          <w:p>
            <w:pPr>
              <w:pStyle w:val="30"/>
              <w:spacing w:line="360" w:lineRule="auto"/>
              <w:jc w:val="center"/>
              <w:rPr>
                <w:rFonts w:ascii="宋体" w:hAnsi="宋体" w:cs="Arial"/>
                <w:b/>
                <w:bCs/>
                <w:color w:val="auto"/>
                <w:sz w:val="24"/>
                <w:highlight w:val="none"/>
              </w:rPr>
            </w:pPr>
            <w:r>
              <w:rPr>
                <w:rFonts w:hint="eastAsia" w:ascii="宋体" w:hAnsi="宋体" w:cs="Arial"/>
                <w:b/>
                <w:bCs/>
                <w:color w:val="auto"/>
                <w:sz w:val="24"/>
                <w:highlight w:val="none"/>
              </w:rPr>
              <w:t>证书有效期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tcBorders>
          </w:tcPr>
          <w:p>
            <w:pPr>
              <w:pStyle w:val="30"/>
              <w:spacing w:line="360" w:lineRule="auto"/>
              <w:jc w:val="center"/>
              <w:rPr>
                <w:rFonts w:ascii="宋体" w:hAnsi="宋体" w:cs="Arial"/>
                <w:color w:val="auto"/>
                <w:szCs w:val="21"/>
                <w:highlight w:val="none"/>
              </w:rPr>
            </w:pPr>
          </w:p>
        </w:tc>
        <w:tc>
          <w:tcPr>
            <w:tcW w:w="2258" w:type="dxa"/>
            <w:tcBorders>
              <w:top w:val="single" w:color="auto" w:sz="4" w:space="0"/>
            </w:tcBorders>
          </w:tcPr>
          <w:p>
            <w:pPr>
              <w:pStyle w:val="30"/>
              <w:spacing w:line="360" w:lineRule="auto"/>
              <w:jc w:val="center"/>
              <w:rPr>
                <w:rFonts w:ascii="宋体" w:hAnsi="宋体" w:cs="Arial"/>
                <w:color w:val="auto"/>
                <w:szCs w:val="21"/>
                <w:highlight w:val="none"/>
              </w:rPr>
            </w:pPr>
          </w:p>
        </w:tc>
        <w:tc>
          <w:tcPr>
            <w:tcW w:w="2260" w:type="dxa"/>
            <w:tcBorders>
              <w:top w:val="single" w:color="auto" w:sz="4" w:space="0"/>
            </w:tcBorders>
          </w:tcPr>
          <w:p>
            <w:pPr>
              <w:pStyle w:val="30"/>
              <w:spacing w:line="360" w:lineRule="auto"/>
              <w:jc w:val="center"/>
              <w:rPr>
                <w:rFonts w:ascii="宋体" w:hAnsi="宋体" w:cs="Arial"/>
                <w:color w:val="auto"/>
                <w:szCs w:val="21"/>
                <w:highlight w:val="none"/>
              </w:rPr>
            </w:pPr>
          </w:p>
        </w:tc>
        <w:tc>
          <w:tcPr>
            <w:tcW w:w="2047" w:type="dxa"/>
            <w:tcBorders>
              <w:top w:val="single" w:color="auto" w:sz="4" w:space="0"/>
              <w:right w:val="single" w:color="auto" w:sz="4" w:space="0"/>
            </w:tcBorders>
          </w:tcPr>
          <w:p>
            <w:pPr>
              <w:pStyle w:val="3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pPr>
              <w:pStyle w:val="30"/>
              <w:spacing w:line="360" w:lineRule="auto"/>
              <w:jc w:val="center"/>
              <w:rPr>
                <w:rFonts w:ascii="宋体" w:hAnsi="宋体" w:cs="Arial"/>
                <w:color w:val="auto"/>
                <w:szCs w:val="21"/>
                <w:highlight w:val="none"/>
              </w:rPr>
            </w:pPr>
          </w:p>
        </w:tc>
        <w:tc>
          <w:tcPr>
            <w:tcW w:w="2258" w:type="dxa"/>
          </w:tcPr>
          <w:p>
            <w:pPr>
              <w:pStyle w:val="30"/>
              <w:spacing w:line="360" w:lineRule="auto"/>
              <w:jc w:val="center"/>
              <w:rPr>
                <w:rFonts w:ascii="宋体" w:hAnsi="宋体" w:cs="Arial"/>
                <w:color w:val="auto"/>
                <w:szCs w:val="21"/>
                <w:highlight w:val="none"/>
              </w:rPr>
            </w:pPr>
          </w:p>
        </w:tc>
        <w:tc>
          <w:tcPr>
            <w:tcW w:w="2260" w:type="dxa"/>
          </w:tcPr>
          <w:p>
            <w:pPr>
              <w:pStyle w:val="30"/>
              <w:spacing w:line="360" w:lineRule="auto"/>
              <w:jc w:val="center"/>
              <w:rPr>
                <w:rFonts w:ascii="宋体" w:hAnsi="宋体" w:cs="Arial"/>
                <w:color w:val="auto"/>
                <w:szCs w:val="21"/>
                <w:highlight w:val="none"/>
              </w:rPr>
            </w:pPr>
          </w:p>
        </w:tc>
        <w:tc>
          <w:tcPr>
            <w:tcW w:w="2047" w:type="dxa"/>
            <w:tcBorders>
              <w:right w:val="single" w:color="auto" w:sz="4" w:space="0"/>
            </w:tcBorders>
          </w:tcPr>
          <w:p>
            <w:pPr>
              <w:pStyle w:val="3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pPr>
              <w:pStyle w:val="30"/>
              <w:spacing w:line="360" w:lineRule="auto"/>
              <w:jc w:val="center"/>
              <w:rPr>
                <w:rFonts w:ascii="宋体" w:hAnsi="宋体" w:cs="Arial"/>
                <w:color w:val="auto"/>
                <w:szCs w:val="21"/>
                <w:highlight w:val="none"/>
              </w:rPr>
            </w:pPr>
          </w:p>
        </w:tc>
        <w:tc>
          <w:tcPr>
            <w:tcW w:w="2258" w:type="dxa"/>
          </w:tcPr>
          <w:p>
            <w:pPr>
              <w:pStyle w:val="30"/>
              <w:spacing w:line="360" w:lineRule="auto"/>
              <w:jc w:val="center"/>
              <w:rPr>
                <w:rFonts w:ascii="宋体" w:hAnsi="宋体" w:cs="Arial"/>
                <w:color w:val="auto"/>
                <w:szCs w:val="21"/>
                <w:highlight w:val="none"/>
              </w:rPr>
            </w:pPr>
          </w:p>
        </w:tc>
        <w:tc>
          <w:tcPr>
            <w:tcW w:w="2260" w:type="dxa"/>
          </w:tcPr>
          <w:p>
            <w:pPr>
              <w:pStyle w:val="30"/>
              <w:spacing w:line="360" w:lineRule="auto"/>
              <w:jc w:val="center"/>
              <w:rPr>
                <w:rFonts w:ascii="宋体" w:hAnsi="宋体" w:cs="Arial"/>
                <w:color w:val="auto"/>
                <w:szCs w:val="21"/>
                <w:highlight w:val="none"/>
              </w:rPr>
            </w:pPr>
          </w:p>
        </w:tc>
        <w:tc>
          <w:tcPr>
            <w:tcW w:w="2047" w:type="dxa"/>
            <w:tcBorders>
              <w:right w:val="single" w:color="auto" w:sz="4" w:space="0"/>
            </w:tcBorders>
          </w:tcPr>
          <w:p>
            <w:pPr>
              <w:pStyle w:val="3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pPr>
              <w:pStyle w:val="30"/>
              <w:spacing w:line="360" w:lineRule="auto"/>
              <w:jc w:val="center"/>
              <w:rPr>
                <w:rFonts w:ascii="宋体" w:hAnsi="宋体" w:cs="Arial"/>
                <w:color w:val="auto"/>
                <w:szCs w:val="21"/>
                <w:highlight w:val="none"/>
              </w:rPr>
            </w:pPr>
          </w:p>
        </w:tc>
        <w:tc>
          <w:tcPr>
            <w:tcW w:w="2258" w:type="dxa"/>
          </w:tcPr>
          <w:p>
            <w:pPr>
              <w:pStyle w:val="30"/>
              <w:spacing w:line="360" w:lineRule="auto"/>
              <w:jc w:val="center"/>
              <w:rPr>
                <w:rFonts w:ascii="宋体" w:hAnsi="宋体" w:cs="Arial"/>
                <w:color w:val="auto"/>
                <w:szCs w:val="21"/>
                <w:highlight w:val="none"/>
              </w:rPr>
            </w:pPr>
          </w:p>
        </w:tc>
        <w:tc>
          <w:tcPr>
            <w:tcW w:w="2260" w:type="dxa"/>
          </w:tcPr>
          <w:p>
            <w:pPr>
              <w:pStyle w:val="30"/>
              <w:spacing w:line="360" w:lineRule="auto"/>
              <w:jc w:val="center"/>
              <w:rPr>
                <w:rFonts w:ascii="宋体" w:hAnsi="宋体" w:cs="Arial"/>
                <w:color w:val="auto"/>
                <w:szCs w:val="21"/>
                <w:highlight w:val="none"/>
              </w:rPr>
            </w:pPr>
          </w:p>
        </w:tc>
        <w:tc>
          <w:tcPr>
            <w:tcW w:w="2047" w:type="dxa"/>
            <w:tcBorders>
              <w:right w:val="single" w:color="auto" w:sz="4" w:space="0"/>
            </w:tcBorders>
          </w:tcPr>
          <w:p>
            <w:pPr>
              <w:pStyle w:val="3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pPr>
              <w:pStyle w:val="30"/>
              <w:spacing w:line="360" w:lineRule="auto"/>
              <w:jc w:val="center"/>
              <w:rPr>
                <w:rFonts w:ascii="宋体" w:hAnsi="宋体" w:cs="Arial"/>
                <w:color w:val="auto"/>
                <w:szCs w:val="21"/>
                <w:highlight w:val="none"/>
              </w:rPr>
            </w:pPr>
          </w:p>
        </w:tc>
        <w:tc>
          <w:tcPr>
            <w:tcW w:w="2258" w:type="dxa"/>
          </w:tcPr>
          <w:p>
            <w:pPr>
              <w:pStyle w:val="30"/>
              <w:spacing w:line="360" w:lineRule="auto"/>
              <w:jc w:val="center"/>
              <w:rPr>
                <w:rFonts w:ascii="宋体" w:hAnsi="宋体" w:cs="Arial"/>
                <w:color w:val="auto"/>
                <w:szCs w:val="21"/>
                <w:highlight w:val="none"/>
              </w:rPr>
            </w:pPr>
          </w:p>
        </w:tc>
        <w:tc>
          <w:tcPr>
            <w:tcW w:w="2260" w:type="dxa"/>
          </w:tcPr>
          <w:p>
            <w:pPr>
              <w:pStyle w:val="30"/>
              <w:spacing w:line="360" w:lineRule="auto"/>
              <w:jc w:val="center"/>
              <w:rPr>
                <w:rFonts w:ascii="宋体" w:hAnsi="宋体" w:cs="Arial"/>
                <w:color w:val="auto"/>
                <w:szCs w:val="21"/>
                <w:highlight w:val="none"/>
              </w:rPr>
            </w:pPr>
          </w:p>
        </w:tc>
        <w:tc>
          <w:tcPr>
            <w:tcW w:w="2047" w:type="dxa"/>
            <w:tcBorders>
              <w:right w:val="single" w:color="auto" w:sz="4" w:space="0"/>
            </w:tcBorders>
          </w:tcPr>
          <w:p>
            <w:pPr>
              <w:pStyle w:val="3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pPr>
              <w:pStyle w:val="30"/>
              <w:spacing w:line="360" w:lineRule="auto"/>
              <w:jc w:val="center"/>
              <w:rPr>
                <w:rFonts w:ascii="宋体" w:hAnsi="宋体" w:cs="Arial"/>
                <w:color w:val="auto"/>
                <w:szCs w:val="21"/>
                <w:highlight w:val="none"/>
              </w:rPr>
            </w:pPr>
          </w:p>
        </w:tc>
        <w:tc>
          <w:tcPr>
            <w:tcW w:w="2258" w:type="dxa"/>
          </w:tcPr>
          <w:p>
            <w:pPr>
              <w:pStyle w:val="30"/>
              <w:spacing w:line="360" w:lineRule="auto"/>
              <w:jc w:val="center"/>
              <w:rPr>
                <w:rFonts w:ascii="宋体" w:hAnsi="宋体" w:cs="Arial"/>
                <w:color w:val="auto"/>
                <w:szCs w:val="21"/>
                <w:highlight w:val="none"/>
              </w:rPr>
            </w:pPr>
          </w:p>
        </w:tc>
        <w:tc>
          <w:tcPr>
            <w:tcW w:w="2260" w:type="dxa"/>
          </w:tcPr>
          <w:p>
            <w:pPr>
              <w:pStyle w:val="30"/>
              <w:spacing w:line="360" w:lineRule="auto"/>
              <w:jc w:val="center"/>
              <w:rPr>
                <w:rFonts w:ascii="宋体" w:hAnsi="宋体" w:cs="Arial"/>
                <w:color w:val="auto"/>
                <w:szCs w:val="21"/>
                <w:highlight w:val="none"/>
              </w:rPr>
            </w:pPr>
          </w:p>
        </w:tc>
        <w:tc>
          <w:tcPr>
            <w:tcW w:w="2047" w:type="dxa"/>
            <w:tcBorders>
              <w:right w:val="single" w:color="auto" w:sz="4" w:space="0"/>
            </w:tcBorders>
          </w:tcPr>
          <w:p>
            <w:pPr>
              <w:pStyle w:val="30"/>
              <w:spacing w:line="360" w:lineRule="auto"/>
              <w:jc w:val="center"/>
              <w:rPr>
                <w:rFonts w:ascii="宋体" w:hAnsi="宋体" w:cs="Arial"/>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bottom w:val="single" w:color="auto" w:sz="4" w:space="0"/>
            </w:tcBorders>
          </w:tcPr>
          <w:p>
            <w:pPr>
              <w:pStyle w:val="30"/>
              <w:spacing w:line="360" w:lineRule="auto"/>
              <w:jc w:val="center"/>
              <w:rPr>
                <w:rFonts w:ascii="宋体" w:hAnsi="宋体" w:cs="Arial"/>
                <w:color w:val="auto"/>
                <w:szCs w:val="21"/>
                <w:highlight w:val="none"/>
              </w:rPr>
            </w:pPr>
          </w:p>
        </w:tc>
        <w:tc>
          <w:tcPr>
            <w:tcW w:w="2258" w:type="dxa"/>
            <w:tcBorders>
              <w:bottom w:val="single" w:color="auto" w:sz="4" w:space="0"/>
            </w:tcBorders>
          </w:tcPr>
          <w:p>
            <w:pPr>
              <w:pStyle w:val="30"/>
              <w:spacing w:line="360" w:lineRule="auto"/>
              <w:jc w:val="center"/>
              <w:rPr>
                <w:rFonts w:ascii="宋体" w:hAnsi="宋体" w:cs="Arial"/>
                <w:color w:val="auto"/>
                <w:szCs w:val="21"/>
                <w:highlight w:val="none"/>
              </w:rPr>
            </w:pPr>
          </w:p>
        </w:tc>
        <w:tc>
          <w:tcPr>
            <w:tcW w:w="2260" w:type="dxa"/>
            <w:tcBorders>
              <w:bottom w:val="single" w:color="auto" w:sz="4" w:space="0"/>
            </w:tcBorders>
          </w:tcPr>
          <w:p>
            <w:pPr>
              <w:pStyle w:val="30"/>
              <w:spacing w:line="360" w:lineRule="auto"/>
              <w:jc w:val="center"/>
              <w:rPr>
                <w:rFonts w:ascii="宋体" w:hAnsi="宋体" w:cs="Arial"/>
                <w:color w:val="auto"/>
                <w:szCs w:val="21"/>
                <w:highlight w:val="none"/>
              </w:rPr>
            </w:pPr>
          </w:p>
        </w:tc>
        <w:tc>
          <w:tcPr>
            <w:tcW w:w="2047" w:type="dxa"/>
            <w:tcBorders>
              <w:bottom w:val="single" w:color="auto" w:sz="4" w:space="0"/>
              <w:right w:val="single" w:color="auto" w:sz="4" w:space="0"/>
            </w:tcBorders>
          </w:tcPr>
          <w:p>
            <w:pPr>
              <w:pStyle w:val="30"/>
              <w:spacing w:line="360" w:lineRule="auto"/>
              <w:jc w:val="center"/>
              <w:rPr>
                <w:rFonts w:ascii="宋体" w:hAnsi="宋体" w:cs="Arial"/>
                <w:color w:val="auto"/>
                <w:szCs w:val="21"/>
                <w:highlight w:val="none"/>
              </w:rPr>
            </w:pPr>
          </w:p>
        </w:tc>
      </w:tr>
    </w:tbl>
    <w:p>
      <w:pPr>
        <w:pStyle w:val="30"/>
        <w:tabs>
          <w:tab w:val="left" w:pos="1050"/>
        </w:tabs>
        <w:spacing w:line="360" w:lineRule="auto"/>
        <w:rPr>
          <w:rFonts w:ascii="仿宋_GB2312" w:hAnsi="宋体" w:eastAsia="仿宋_GB2312"/>
          <w:color w:val="auto"/>
          <w:sz w:val="24"/>
          <w:highlight w:val="none"/>
        </w:rPr>
      </w:pPr>
    </w:p>
    <w:p>
      <w:pPr>
        <w:pStyle w:val="30"/>
        <w:tabs>
          <w:tab w:val="left" w:pos="1050"/>
        </w:tabs>
        <w:spacing w:line="360" w:lineRule="auto"/>
        <w:rPr>
          <w:rFonts w:ascii="宋体" w:hAnsi="宋体"/>
          <w:color w:val="auto"/>
          <w:szCs w:val="21"/>
          <w:highlight w:val="none"/>
        </w:rPr>
      </w:pPr>
      <w:r>
        <w:rPr>
          <w:rFonts w:hint="eastAsia" w:ascii="宋体" w:hAnsi="宋体"/>
          <w:b/>
          <w:color w:val="auto"/>
          <w:szCs w:val="21"/>
          <w:highlight w:val="none"/>
        </w:rPr>
        <w:t>要求：</w:t>
      </w:r>
    </w:p>
    <w:p>
      <w:pPr>
        <w:pStyle w:val="30"/>
        <w:tabs>
          <w:tab w:val="left" w:pos="1050"/>
        </w:tabs>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1.填写投标人获得资质、认证或企业信誉证书；</w:t>
      </w:r>
    </w:p>
    <w:p>
      <w:pPr>
        <w:pStyle w:val="30"/>
        <w:tabs>
          <w:tab w:val="left" w:pos="1050"/>
        </w:tabs>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2.附所列证书复印件或其他证明材料。</w:t>
      </w:r>
    </w:p>
    <w:p>
      <w:pPr>
        <w:rPr>
          <w:color w:val="auto"/>
          <w:highlight w:val="none"/>
        </w:rPr>
      </w:pPr>
    </w:p>
    <w:p>
      <w:pPr>
        <w:pStyle w:val="3"/>
        <w:rPr>
          <w:color w:val="auto"/>
          <w:highlight w:val="none"/>
        </w:rPr>
      </w:pPr>
    </w:p>
    <w:p>
      <w:pPr>
        <w:adjustRightInd w:val="0"/>
        <w:snapToGrid w:val="0"/>
        <w:spacing w:line="324"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324"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pPr>
        <w:rPr>
          <w:color w:val="auto"/>
          <w:sz w:val="30"/>
          <w:szCs w:val="30"/>
          <w:highlight w:val="none"/>
        </w:rPr>
      </w:pPr>
      <w:r>
        <w:rPr>
          <w:rFonts w:hint="eastAsia"/>
          <w:color w:val="auto"/>
          <w:sz w:val="30"/>
          <w:szCs w:val="30"/>
          <w:highlight w:val="none"/>
        </w:rPr>
        <w:br w:type="page"/>
      </w:r>
    </w:p>
    <w:p>
      <w:pPr>
        <w:ind w:firstLine="2730" w:firstLineChars="1300"/>
        <w:rPr>
          <w:color w:val="auto"/>
          <w:highlight w:val="none"/>
        </w:rPr>
      </w:pPr>
    </w:p>
    <w:p>
      <w:pPr>
        <w:spacing w:line="360" w:lineRule="auto"/>
        <w:rPr>
          <w:rFonts w:ascii="宋体" w:hAnsi="宋体"/>
          <w:b/>
          <w:color w:val="auto"/>
          <w:sz w:val="28"/>
          <w:highlight w:val="none"/>
        </w:rPr>
      </w:pPr>
      <w:r>
        <w:rPr>
          <w:rFonts w:hint="eastAsia" w:ascii="宋体" w:hAnsi="宋体"/>
          <w:b/>
          <w:color w:val="auto"/>
          <w:sz w:val="28"/>
          <w:highlight w:val="none"/>
        </w:rPr>
        <w:t>附件8：</w:t>
      </w:r>
    </w:p>
    <w:p>
      <w:pPr>
        <w:spacing w:line="360" w:lineRule="atLeast"/>
        <w:ind w:left="480"/>
        <w:jc w:val="center"/>
        <w:rPr>
          <w:rFonts w:ascii="宋体" w:hAnsi="宋体"/>
          <w:b/>
          <w:color w:val="auto"/>
          <w:sz w:val="32"/>
          <w:szCs w:val="32"/>
          <w:highlight w:val="none"/>
        </w:rPr>
      </w:pPr>
      <w:r>
        <w:rPr>
          <w:rFonts w:hint="eastAsia" w:ascii="宋体" w:hAnsi="宋体"/>
          <w:b/>
          <w:color w:val="auto"/>
          <w:sz w:val="32"/>
          <w:szCs w:val="32"/>
          <w:highlight w:val="none"/>
        </w:rPr>
        <w:t>首次报价一览表</w:t>
      </w:r>
    </w:p>
    <w:p>
      <w:pPr>
        <w:spacing w:line="360" w:lineRule="atLeast"/>
        <w:ind w:left="480"/>
        <w:rPr>
          <w:rFonts w:ascii="宋体" w:hAnsi="宋体"/>
          <w:b/>
          <w:color w:val="auto"/>
          <w:sz w:val="30"/>
          <w:highlight w:val="none"/>
        </w:rPr>
      </w:pPr>
    </w:p>
    <w:p>
      <w:pPr>
        <w:jc w:val="center"/>
        <w:rPr>
          <w:rFonts w:ascii="宋体" w:hAnsi="宋体"/>
          <w:color w:val="auto"/>
          <w:highlight w:val="none"/>
        </w:rPr>
      </w:pPr>
    </w:p>
    <w:p>
      <w:pPr>
        <w:pStyle w:val="11"/>
        <w:spacing w:line="320" w:lineRule="exact"/>
        <w:rPr>
          <w:rFonts w:hAnsi="宋体"/>
          <w:b/>
          <w:color w:val="auto"/>
          <w:sz w:val="24"/>
          <w:highlight w:val="none"/>
          <w:u w:val="single"/>
        </w:rPr>
      </w:pPr>
      <w:r>
        <w:rPr>
          <w:rFonts w:hAnsi="宋体"/>
          <w:b/>
          <w:color w:val="auto"/>
          <w:sz w:val="24"/>
          <w:highlight w:val="none"/>
        </w:rPr>
        <w:t>项目编号：</w:t>
      </w:r>
    </w:p>
    <w:p>
      <w:pPr>
        <w:pStyle w:val="38"/>
        <w:spacing w:line="360" w:lineRule="auto"/>
        <w:ind w:right="480" w:firstLine="241" w:firstLineChars="100"/>
        <w:jc w:val="left"/>
        <w:rPr>
          <w:rFonts w:hAnsi="宋体"/>
          <w:color w:val="auto"/>
          <w:sz w:val="24"/>
          <w:highlight w:val="none"/>
        </w:rPr>
      </w:pPr>
      <w:r>
        <w:rPr>
          <w:rFonts w:hAnsi="宋体"/>
          <w:b/>
          <w:color w:val="auto"/>
          <w:sz w:val="24"/>
          <w:highlight w:val="none"/>
        </w:rPr>
        <w:t>项目名称：</w:t>
      </w:r>
      <w:r>
        <w:rPr>
          <w:rFonts w:hint="eastAsia" w:ascii="宋体" w:hAnsi="宋体"/>
          <w:color w:val="auto"/>
          <w:sz w:val="24"/>
          <w:highlight w:val="none"/>
        </w:rPr>
        <w:t xml:space="preserve">                [货币单位：人民币元]</w:t>
      </w:r>
    </w:p>
    <w:tbl>
      <w:tblPr>
        <w:tblStyle w:val="22"/>
        <w:tblW w:w="867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总报价(元)</w:t>
            </w:r>
          </w:p>
        </w:tc>
        <w:tc>
          <w:tcPr>
            <w:tcW w:w="1349"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大写</w:t>
            </w:r>
          </w:p>
        </w:tc>
        <w:tc>
          <w:tcPr>
            <w:tcW w:w="4629"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450" w:lineRule="exact"/>
              <w:jc w:val="center"/>
              <w:textAlignment w:val="bottom"/>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vAlign w:val="center"/>
          </w:tcPr>
          <w:p>
            <w:pPr>
              <w:rPr>
                <w:rFonts w:ascii="宋体" w:hAnsi="宋体"/>
                <w:color w:val="auto"/>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小写</w:t>
            </w:r>
          </w:p>
        </w:tc>
        <w:tc>
          <w:tcPr>
            <w:tcW w:w="462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50" w:lineRule="exact"/>
              <w:jc w:val="center"/>
              <w:textAlignment w:val="bottom"/>
              <w:rPr>
                <w:rFonts w:ascii="宋体" w:hAnsi="宋体"/>
                <w:color w:val="auto"/>
                <w:sz w:val="24"/>
                <w:highlight w:val="none"/>
              </w:rPr>
            </w:pPr>
          </w:p>
        </w:tc>
      </w:tr>
    </w:tbl>
    <w:p>
      <w:pPr>
        <w:spacing w:line="360" w:lineRule="auto"/>
        <w:rPr>
          <w:rFonts w:ascii="宋体" w:hAnsi="宋体"/>
          <w:b/>
          <w:color w:val="auto"/>
          <w:szCs w:val="21"/>
          <w:highlight w:val="none"/>
        </w:rPr>
      </w:pPr>
      <w:r>
        <w:rPr>
          <w:rFonts w:hint="eastAsia" w:ascii="宋体" w:hAnsi="宋体"/>
          <w:b/>
          <w:color w:val="auto"/>
          <w:szCs w:val="21"/>
          <w:highlight w:val="none"/>
        </w:rPr>
        <w:t>填报说明：</w:t>
      </w:r>
    </w:p>
    <w:p>
      <w:pPr>
        <w:pStyle w:val="7"/>
        <w:spacing w:line="360" w:lineRule="auto"/>
        <w:ind w:firstLineChars="200"/>
        <w:rPr>
          <w:rFonts w:ascii="宋体" w:hAnsi="宋体"/>
          <w:color w:val="auto"/>
          <w:kern w:val="0"/>
          <w:szCs w:val="21"/>
          <w:highlight w:val="none"/>
        </w:rPr>
      </w:pPr>
      <w:r>
        <w:rPr>
          <w:rFonts w:hint="eastAsia" w:ascii="宋体" w:hAnsi="宋体"/>
          <w:color w:val="auto"/>
          <w:kern w:val="0"/>
          <w:szCs w:val="21"/>
          <w:highlight w:val="none"/>
        </w:rPr>
        <w:t>1.总价包干，该费用包含本项目所产生的一切费用。</w:t>
      </w:r>
    </w:p>
    <w:p>
      <w:pPr>
        <w:spacing w:line="360" w:lineRule="auto"/>
        <w:ind w:firstLine="420" w:firstLineChars="200"/>
        <w:rPr>
          <w:rFonts w:ascii="宋体" w:hAnsi="宋体"/>
          <w:b/>
          <w:i/>
          <w:color w:val="auto"/>
          <w:szCs w:val="21"/>
          <w:highlight w:val="none"/>
          <w:u w:val="single"/>
        </w:rPr>
      </w:pPr>
      <w:r>
        <w:rPr>
          <w:rFonts w:hint="eastAsia" w:ascii="宋体" w:hAnsi="宋体"/>
          <w:color w:val="auto"/>
          <w:kern w:val="0"/>
          <w:szCs w:val="21"/>
          <w:highlight w:val="none"/>
        </w:rPr>
        <w:t>2.报价一经涂改，应在涂改处加盖单位公章，或者由法定代表人或全权代表签字或盖章，否则作无效响应处理。</w:t>
      </w:r>
    </w:p>
    <w:p>
      <w:pPr>
        <w:spacing w:line="320" w:lineRule="exact"/>
        <w:ind w:left="420"/>
        <w:rPr>
          <w:rFonts w:ascii="宋体" w:hAnsi="宋体"/>
          <w:color w:val="auto"/>
          <w:sz w:val="24"/>
          <w:highlight w:val="none"/>
        </w:rPr>
      </w:pPr>
    </w:p>
    <w:p>
      <w:pPr>
        <w:adjustRightInd w:val="0"/>
        <w:snapToGrid w:val="0"/>
        <w:spacing w:line="324"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324"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w:t>
      </w:r>
    </w:p>
    <w:p>
      <w:pPr>
        <w:adjustRightInd w:val="0"/>
        <w:snapToGrid w:val="0"/>
        <w:spacing w:line="324"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pPr>
        <w:rPr>
          <w:rFonts w:ascii="宋体" w:hAnsi="宋体"/>
          <w:color w:val="auto"/>
          <w:sz w:val="24"/>
          <w:highlight w:val="none"/>
        </w:rPr>
      </w:pPr>
      <w:r>
        <w:rPr>
          <w:rFonts w:ascii="宋体" w:hAnsi="宋体"/>
          <w:color w:val="auto"/>
          <w:sz w:val="24"/>
          <w:highlight w:val="none"/>
        </w:rPr>
        <w:br w:type="page"/>
      </w:r>
    </w:p>
    <w:p>
      <w:pPr>
        <w:pStyle w:val="8"/>
        <w:rPr>
          <w:color w:val="auto"/>
          <w:highlight w:val="none"/>
        </w:rPr>
      </w:pPr>
    </w:p>
    <w:p>
      <w:pPr>
        <w:spacing w:line="360" w:lineRule="atLeast"/>
        <w:ind w:left="480"/>
        <w:rPr>
          <w:rFonts w:ascii="宋体" w:hAnsi="宋体"/>
          <w:b/>
          <w:color w:val="auto"/>
          <w:sz w:val="32"/>
          <w:szCs w:val="32"/>
          <w:highlight w:val="none"/>
        </w:rPr>
      </w:pPr>
      <w:r>
        <w:rPr>
          <w:rFonts w:hint="eastAsia" w:ascii="宋体" w:hAnsi="宋体"/>
          <w:b/>
          <w:color w:val="auto"/>
          <w:sz w:val="32"/>
          <w:szCs w:val="32"/>
          <w:highlight w:val="none"/>
        </w:rPr>
        <w:t>附：最终报价一览表 （提供格式 ）</w:t>
      </w:r>
    </w:p>
    <w:p>
      <w:pPr>
        <w:spacing w:line="360" w:lineRule="atLeast"/>
        <w:ind w:left="480"/>
        <w:rPr>
          <w:rFonts w:ascii="宋体" w:hAnsi="宋体"/>
          <w:b/>
          <w:color w:val="auto"/>
          <w:sz w:val="30"/>
          <w:highlight w:val="none"/>
        </w:rPr>
      </w:pPr>
    </w:p>
    <w:p>
      <w:pPr>
        <w:jc w:val="center"/>
        <w:rPr>
          <w:rFonts w:ascii="宋体" w:hAnsi="宋体"/>
          <w:color w:val="auto"/>
          <w:highlight w:val="none"/>
        </w:rPr>
      </w:pPr>
    </w:p>
    <w:p>
      <w:pPr>
        <w:pStyle w:val="11"/>
        <w:spacing w:line="320" w:lineRule="exact"/>
        <w:rPr>
          <w:rFonts w:hAnsi="宋体"/>
          <w:b/>
          <w:color w:val="auto"/>
          <w:sz w:val="24"/>
          <w:highlight w:val="none"/>
          <w:u w:val="single"/>
        </w:rPr>
      </w:pPr>
      <w:r>
        <w:rPr>
          <w:rFonts w:hAnsi="宋体"/>
          <w:b/>
          <w:color w:val="auto"/>
          <w:sz w:val="24"/>
          <w:highlight w:val="none"/>
        </w:rPr>
        <w:t>项目编号：</w:t>
      </w:r>
    </w:p>
    <w:p>
      <w:pPr>
        <w:pStyle w:val="38"/>
        <w:spacing w:line="360" w:lineRule="auto"/>
        <w:ind w:right="480"/>
        <w:jc w:val="left"/>
        <w:rPr>
          <w:rFonts w:hAnsi="宋体"/>
          <w:color w:val="auto"/>
          <w:sz w:val="24"/>
          <w:highlight w:val="none"/>
        </w:rPr>
      </w:pPr>
      <w:r>
        <w:rPr>
          <w:rFonts w:hAnsi="宋体"/>
          <w:b/>
          <w:color w:val="auto"/>
          <w:sz w:val="24"/>
          <w:highlight w:val="none"/>
        </w:rPr>
        <w:t>项目名称：</w:t>
      </w:r>
      <w:r>
        <w:rPr>
          <w:rFonts w:hint="eastAsia" w:ascii="宋体" w:hAnsi="宋体"/>
          <w:color w:val="auto"/>
          <w:sz w:val="24"/>
          <w:highlight w:val="none"/>
        </w:rPr>
        <w:t xml:space="preserve">                            [货币单位：人民币元]</w:t>
      </w:r>
    </w:p>
    <w:tbl>
      <w:tblPr>
        <w:tblStyle w:val="22"/>
        <w:tblW w:w="867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总报价(元)</w:t>
            </w:r>
          </w:p>
        </w:tc>
        <w:tc>
          <w:tcPr>
            <w:tcW w:w="1349"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大写</w:t>
            </w:r>
          </w:p>
        </w:tc>
        <w:tc>
          <w:tcPr>
            <w:tcW w:w="4629"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450" w:lineRule="exact"/>
              <w:jc w:val="center"/>
              <w:textAlignment w:val="bottom"/>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vAlign w:val="center"/>
          </w:tcPr>
          <w:p>
            <w:pPr>
              <w:rPr>
                <w:rFonts w:ascii="宋体" w:hAnsi="宋体"/>
                <w:color w:val="auto"/>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olor w:val="auto"/>
                <w:sz w:val="24"/>
                <w:highlight w:val="none"/>
              </w:rPr>
            </w:pPr>
            <w:r>
              <w:rPr>
                <w:rFonts w:hint="eastAsia" w:ascii="宋体" w:hAnsi="宋体"/>
                <w:color w:val="auto"/>
                <w:sz w:val="24"/>
                <w:highlight w:val="none"/>
              </w:rPr>
              <w:t>小写</w:t>
            </w:r>
          </w:p>
        </w:tc>
        <w:tc>
          <w:tcPr>
            <w:tcW w:w="462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50" w:lineRule="exact"/>
              <w:jc w:val="center"/>
              <w:textAlignment w:val="bottom"/>
              <w:rPr>
                <w:rFonts w:ascii="宋体" w:hAnsi="宋体"/>
                <w:color w:val="auto"/>
                <w:sz w:val="24"/>
                <w:highlight w:val="none"/>
              </w:rPr>
            </w:pPr>
          </w:p>
        </w:tc>
      </w:tr>
    </w:tbl>
    <w:p>
      <w:pPr>
        <w:spacing w:line="360" w:lineRule="auto"/>
        <w:rPr>
          <w:rFonts w:ascii="宋体" w:hAnsi="宋体"/>
          <w:b/>
          <w:color w:val="auto"/>
          <w:szCs w:val="21"/>
          <w:highlight w:val="none"/>
        </w:rPr>
      </w:pPr>
      <w:r>
        <w:rPr>
          <w:rFonts w:hint="eastAsia" w:ascii="宋体" w:hAnsi="宋体"/>
          <w:b/>
          <w:color w:val="auto"/>
          <w:szCs w:val="21"/>
          <w:highlight w:val="none"/>
        </w:rPr>
        <w:t>填报说明：</w:t>
      </w:r>
    </w:p>
    <w:p>
      <w:pPr>
        <w:pStyle w:val="7"/>
        <w:spacing w:line="360" w:lineRule="auto"/>
        <w:ind w:firstLineChars="200"/>
        <w:rPr>
          <w:rFonts w:ascii="宋体" w:hAnsi="宋体"/>
          <w:color w:val="auto"/>
          <w:kern w:val="0"/>
          <w:szCs w:val="21"/>
          <w:highlight w:val="none"/>
        </w:rPr>
      </w:pPr>
      <w:r>
        <w:rPr>
          <w:rFonts w:hint="eastAsia" w:ascii="宋体" w:hAnsi="宋体"/>
          <w:color w:val="auto"/>
          <w:kern w:val="0"/>
          <w:szCs w:val="21"/>
          <w:highlight w:val="none"/>
        </w:rPr>
        <w:t>1总价包干，该费用包含本项目所产生的一切费用。</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b/>
          <w:bCs/>
          <w:color w:val="auto"/>
          <w:kern w:val="0"/>
          <w:szCs w:val="21"/>
          <w:highlight w:val="none"/>
        </w:rPr>
        <w:t>.最终报价不能超过首次报价。</w:t>
      </w:r>
    </w:p>
    <w:p>
      <w:pPr>
        <w:spacing w:line="360" w:lineRule="auto"/>
        <w:ind w:firstLine="420" w:firstLineChars="200"/>
        <w:rPr>
          <w:rFonts w:ascii="宋体" w:hAnsi="宋体"/>
          <w:b/>
          <w:i/>
          <w:color w:val="auto"/>
          <w:szCs w:val="21"/>
          <w:highlight w:val="none"/>
          <w:u w:val="single"/>
        </w:rPr>
      </w:pPr>
      <w:r>
        <w:rPr>
          <w:rFonts w:hint="eastAsia" w:ascii="宋体" w:hAnsi="宋体"/>
          <w:color w:val="auto"/>
          <w:kern w:val="0"/>
          <w:szCs w:val="21"/>
          <w:highlight w:val="none"/>
        </w:rPr>
        <w:t>3.报价一经涂改，应在涂改处加盖单位公章，或者由法定代表人或全权代表签字或盖章，否则作无效响应处理。</w:t>
      </w:r>
    </w:p>
    <w:p>
      <w:pPr>
        <w:spacing w:line="320" w:lineRule="exact"/>
        <w:ind w:left="420"/>
        <w:rPr>
          <w:rFonts w:ascii="宋体" w:hAnsi="宋体"/>
          <w:color w:val="auto"/>
          <w:sz w:val="24"/>
          <w:highlight w:val="none"/>
        </w:rPr>
      </w:pPr>
    </w:p>
    <w:p>
      <w:pPr>
        <w:spacing w:line="360" w:lineRule="auto"/>
        <w:ind w:left="420"/>
        <w:rPr>
          <w:rFonts w:ascii="宋体" w:hAnsi="宋体"/>
          <w:color w:val="auto"/>
          <w:sz w:val="24"/>
          <w:highlight w:val="none"/>
        </w:rPr>
      </w:pPr>
    </w:p>
    <w:p>
      <w:pPr>
        <w:adjustRightInd w:val="0"/>
        <w:snapToGrid w:val="0"/>
        <w:spacing w:line="600"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供应商名称(公章)：</w:t>
      </w:r>
    </w:p>
    <w:p>
      <w:pPr>
        <w:adjustRightInd w:val="0"/>
        <w:snapToGrid w:val="0"/>
        <w:spacing w:line="60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w:t>
      </w:r>
    </w:p>
    <w:p>
      <w:pPr>
        <w:adjustRightInd w:val="0"/>
        <w:snapToGrid w:val="0"/>
        <w:spacing w:line="600"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pPr>
        <w:spacing w:line="600" w:lineRule="auto"/>
        <w:ind w:firstLine="435"/>
        <w:rPr>
          <w:rFonts w:ascii="宋体" w:hAnsi="宋体"/>
          <w:color w:val="auto"/>
          <w:sz w:val="24"/>
          <w:highlight w:val="none"/>
        </w:rPr>
      </w:pPr>
    </w:p>
    <w:p>
      <w:pPr>
        <w:spacing w:line="320" w:lineRule="exact"/>
        <w:ind w:firstLine="435"/>
        <w:rPr>
          <w:rFonts w:ascii="宋体" w:hAnsi="宋体"/>
          <w:color w:val="auto"/>
          <w:sz w:val="24"/>
          <w:highlight w:val="none"/>
        </w:rPr>
      </w:pPr>
    </w:p>
    <w:p>
      <w:pPr>
        <w:spacing w:line="360" w:lineRule="auto"/>
        <w:ind w:firstLine="435"/>
        <w:rPr>
          <w:color w:val="auto"/>
          <w:highlight w:val="none"/>
        </w:rPr>
      </w:pPr>
    </w:p>
    <w:p>
      <w:pPr>
        <w:spacing w:line="360" w:lineRule="auto"/>
        <w:ind w:firstLine="435"/>
        <w:rPr>
          <w:color w:val="auto"/>
          <w:highlight w:val="none"/>
        </w:rPr>
      </w:pPr>
      <w:r>
        <w:rPr>
          <w:rFonts w:hint="eastAsia"/>
          <w:color w:val="auto"/>
          <w:highlight w:val="none"/>
        </w:rPr>
        <w:t>注：投标人自行准备。</w:t>
      </w:r>
    </w:p>
    <w:sectPr>
      <w:headerReference r:id="rId3" w:type="default"/>
      <w:footerReference r:id="rId4" w:type="default"/>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3" o:spid="_x0000_s3073" o:spt="202" type="#_x0000_t202" style="position:absolute;left:0pt;margin-top:0pt;height:10.35pt;width:8.7pt;mso-position-horizontal:center;mso-position-horizontal-relative:margin;mso-wrap-style:none;z-index:251660288;mso-width-relative:page;mso-height-relative:page;" filled="f" stroked="f" coordsize="21600,21600" o:gfxdata="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twpz0QAAAAMBAAAPAAAAAAAAAAEAIAAA&#10;ACIAAABkcnMvZG93bnJldi54bWxQSwECFAAUAAAACACHTuJAjV8JMRMCAAAFBAAADgAAAAAAAAAB&#10;ACAAAAAgAQAAZHJzL2Uyb0RvYy54bWxQSwUGAAAAAAYABgBZAQAApQU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atLeast"/>
      <w:rPr>
        <w:b/>
        <w:color w:val="808080"/>
        <w:sz w:val="10"/>
        <w:u w:val="single"/>
      </w:rPr>
    </w:pPr>
    <w:r>
      <w:rPr>
        <w:rFonts w:hint="eastAsia"/>
        <w:b/>
        <w:i/>
        <w:color w:val="808080"/>
        <w:kern w:val="0"/>
        <w:sz w:val="18"/>
        <w:u w:val="single"/>
      </w:rPr>
      <w:t xml:space="preserve">三门县采购谈判采购文件                                                           </w:t>
    </w:r>
    <w:r>
      <w:rPr>
        <w:rFonts w:hint="eastAsia"/>
        <w:b/>
        <w:i/>
        <w:color w:val="808080"/>
        <w:spacing w:val="-20"/>
        <w:kern w:val="0"/>
        <w:sz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F8CB5E"/>
    <w:multiLevelType w:val="singleLevel"/>
    <w:tmpl w:val="89F8CB5E"/>
    <w:lvl w:ilvl="0" w:tentative="0">
      <w:start w:val="1"/>
      <w:numFmt w:val="decimal"/>
      <w:pStyle w:val="6"/>
      <w:lvlText w:val="%1."/>
      <w:lvlJc w:val="left"/>
      <w:pPr>
        <w:tabs>
          <w:tab w:val="left" w:pos="360"/>
        </w:tabs>
        <w:ind w:left="360" w:hanging="360"/>
      </w:pPr>
    </w:lvl>
  </w:abstractNum>
  <w:abstractNum w:abstractNumId="1">
    <w:nsid w:val="AAF7B2CA"/>
    <w:multiLevelType w:val="singleLevel"/>
    <w:tmpl w:val="AAF7B2CA"/>
    <w:lvl w:ilvl="0" w:tentative="0">
      <w:start w:val="1"/>
      <w:numFmt w:val="decimal"/>
      <w:suff w:val="nothing"/>
      <w:lvlText w:val="%1、"/>
      <w:lvlJc w:val="left"/>
    </w:lvl>
  </w:abstractNum>
  <w:abstractNum w:abstractNumId="2">
    <w:nsid w:val="40C0B4A3"/>
    <w:multiLevelType w:val="singleLevel"/>
    <w:tmpl w:val="40C0B4A3"/>
    <w:lvl w:ilvl="0" w:tentative="0">
      <w:start w:val="3"/>
      <w:numFmt w:val="chineseCounting"/>
      <w:suff w:val="space"/>
      <w:lvlText w:val="第%1章"/>
      <w:lvlJc w:val="left"/>
      <w:rPr>
        <w:rFonts w:hint="eastAsia"/>
      </w:rPr>
    </w:lvl>
  </w:abstractNum>
  <w:abstractNum w:abstractNumId="3">
    <w:nsid w:val="58FEADBB"/>
    <w:multiLevelType w:val="singleLevel"/>
    <w:tmpl w:val="58FEADBB"/>
    <w:lvl w:ilvl="0" w:tentative="0">
      <w:start w:val="1"/>
      <w:numFmt w:val="chineseCounting"/>
      <w:suff w:val="nothing"/>
      <w:lvlText w:val="%1、"/>
      <w:lvlJc w:val="left"/>
      <w:pPr>
        <w:ind w:left="0" w:firstLine="420"/>
      </w:pPr>
      <w:rPr>
        <w:rFonts w:hint="eastAsia"/>
      </w:rPr>
    </w:lvl>
  </w:abstractNum>
  <w:abstractNum w:abstractNumId="4">
    <w:nsid w:val="6A3B3DE3"/>
    <w:multiLevelType w:val="singleLevel"/>
    <w:tmpl w:val="6A3B3DE3"/>
    <w:lvl w:ilvl="0" w:tentative="0">
      <w:start w:val="15"/>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AE4D64"/>
    <w:rsid w:val="00074F42"/>
    <w:rsid w:val="00097C6E"/>
    <w:rsid w:val="000E7913"/>
    <w:rsid w:val="001149A3"/>
    <w:rsid w:val="00183952"/>
    <w:rsid w:val="001913B5"/>
    <w:rsid w:val="001A5831"/>
    <w:rsid w:val="001C650F"/>
    <w:rsid w:val="001D2968"/>
    <w:rsid w:val="00210E6E"/>
    <w:rsid w:val="00251CE4"/>
    <w:rsid w:val="00272AD3"/>
    <w:rsid w:val="00273926"/>
    <w:rsid w:val="00277154"/>
    <w:rsid w:val="00282F6E"/>
    <w:rsid w:val="002B3D08"/>
    <w:rsid w:val="003103E8"/>
    <w:rsid w:val="003E7C4B"/>
    <w:rsid w:val="003F604A"/>
    <w:rsid w:val="00401658"/>
    <w:rsid w:val="0052419F"/>
    <w:rsid w:val="00644660"/>
    <w:rsid w:val="006C4DCA"/>
    <w:rsid w:val="006D6DBD"/>
    <w:rsid w:val="00762E3A"/>
    <w:rsid w:val="007C4812"/>
    <w:rsid w:val="00810128"/>
    <w:rsid w:val="00861854"/>
    <w:rsid w:val="00872702"/>
    <w:rsid w:val="0089349D"/>
    <w:rsid w:val="008D0BBE"/>
    <w:rsid w:val="008F4530"/>
    <w:rsid w:val="00907303"/>
    <w:rsid w:val="00994268"/>
    <w:rsid w:val="00995B44"/>
    <w:rsid w:val="009D3D12"/>
    <w:rsid w:val="009F261C"/>
    <w:rsid w:val="00AA514C"/>
    <w:rsid w:val="00B436B3"/>
    <w:rsid w:val="00B70DB2"/>
    <w:rsid w:val="00B93B6E"/>
    <w:rsid w:val="00BB00AA"/>
    <w:rsid w:val="00BE1DF2"/>
    <w:rsid w:val="00BF673A"/>
    <w:rsid w:val="00C01752"/>
    <w:rsid w:val="00C06901"/>
    <w:rsid w:val="00C44CAC"/>
    <w:rsid w:val="00C852D5"/>
    <w:rsid w:val="00C93215"/>
    <w:rsid w:val="00CC14E8"/>
    <w:rsid w:val="00CC441E"/>
    <w:rsid w:val="00CC48A5"/>
    <w:rsid w:val="00CF5758"/>
    <w:rsid w:val="00CF5DF8"/>
    <w:rsid w:val="00D17C36"/>
    <w:rsid w:val="00DA6E6E"/>
    <w:rsid w:val="00DB6517"/>
    <w:rsid w:val="00DE1E24"/>
    <w:rsid w:val="00E84345"/>
    <w:rsid w:val="00EA0E26"/>
    <w:rsid w:val="00ED7E40"/>
    <w:rsid w:val="01036065"/>
    <w:rsid w:val="013214DF"/>
    <w:rsid w:val="01391CBA"/>
    <w:rsid w:val="013C0A09"/>
    <w:rsid w:val="014F757B"/>
    <w:rsid w:val="01525DC0"/>
    <w:rsid w:val="01574618"/>
    <w:rsid w:val="019B3539"/>
    <w:rsid w:val="01B56407"/>
    <w:rsid w:val="01D1016F"/>
    <w:rsid w:val="01D52FD6"/>
    <w:rsid w:val="01EB07B6"/>
    <w:rsid w:val="01FE3E4A"/>
    <w:rsid w:val="01FF43AC"/>
    <w:rsid w:val="01FF483A"/>
    <w:rsid w:val="02115BA0"/>
    <w:rsid w:val="02184DBF"/>
    <w:rsid w:val="02545635"/>
    <w:rsid w:val="025E75BC"/>
    <w:rsid w:val="026C617C"/>
    <w:rsid w:val="026C7AE0"/>
    <w:rsid w:val="027F5F79"/>
    <w:rsid w:val="02B16EEE"/>
    <w:rsid w:val="02CC05CE"/>
    <w:rsid w:val="02E84015"/>
    <w:rsid w:val="02F3632D"/>
    <w:rsid w:val="03222884"/>
    <w:rsid w:val="032D5DFC"/>
    <w:rsid w:val="033458EA"/>
    <w:rsid w:val="0340308E"/>
    <w:rsid w:val="034C394F"/>
    <w:rsid w:val="03585770"/>
    <w:rsid w:val="035B314B"/>
    <w:rsid w:val="037B1431"/>
    <w:rsid w:val="03B747B0"/>
    <w:rsid w:val="03F239B5"/>
    <w:rsid w:val="03F93545"/>
    <w:rsid w:val="04162F3B"/>
    <w:rsid w:val="046B647B"/>
    <w:rsid w:val="04704588"/>
    <w:rsid w:val="04A5517D"/>
    <w:rsid w:val="04BC5437"/>
    <w:rsid w:val="050A4167"/>
    <w:rsid w:val="051A3DDA"/>
    <w:rsid w:val="051E329A"/>
    <w:rsid w:val="0529494D"/>
    <w:rsid w:val="054B72D6"/>
    <w:rsid w:val="05586FA9"/>
    <w:rsid w:val="05633FD3"/>
    <w:rsid w:val="057534E3"/>
    <w:rsid w:val="05771429"/>
    <w:rsid w:val="057B4DB9"/>
    <w:rsid w:val="058C0D50"/>
    <w:rsid w:val="05BA41E2"/>
    <w:rsid w:val="05EA7F01"/>
    <w:rsid w:val="061237B5"/>
    <w:rsid w:val="06412498"/>
    <w:rsid w:val="0683551A"/>
    <w:rsid w:val="06A1761D"/>
    <w:rsid w:val="06A76A12"/>
    <w:rsid w:val="06AD0125"/>
    <w:rsid w:val="06B937DB"/>
    <w:rsid w:val="06CB7AB3"/>
    <w:rsid w:val="06CE791C"/>
    <w:rsid w:val="06D7708A"/>
    <w:rsid w:val="06DE785A"/>
    <w:rsid w:val="06FB17DA"/>
    <w:rsid w:val="07270C68"/>
    <w:rsid w:val="0730592D"/>
    <w:rsid w:val="074E5348"/>
    <w:rsid w:val="076030E6"/>
    <w:rsid w:val="07703B11"/>
    <w:rsid w:val="078C69A8"/>
    <w:rsid w:val="07985999"/>
    <w:rsid w:val="07B23CBD"/>
    <w:rsid w:val="07D26599"/>
    <w:rsid w:val="0802110B"/>
    <w:rsid w:val="08167075"/>
    <w:rsid w:val="08254E14"/>
    <w:rsid w:val="082551BF"/>
    <w:rsid w:val="08360076"/>
    <w:rsid w:val="084610F9"/>
    <w:rsid w:val="087B5974"/>
    <w:rsid w:val="087C0F16"/>
    <w:rsid w:val="088534D5"/>
    <w:rsid w:val="08AA1E9B"/>
    <w:rsid w:val="08AE54D9"/>
    <w:rsid w:val="08AF0F11"/>
    <w:rsid w:val="08AF4DCF"/>
    <w:rsid w:val="08B13ECF"/>
    <w:rsid w:val="08BC3567"/>
    <w:rsid w:val="08D541C1"/>
    <w:rsid w:val="08F44139"/>
    <w:rsid w:val="090541F3"/>
    <w:rsid w:val="0933305D"/>
    <w:rsid w:val="0942383E"/>
    <w:rsid w:val="09495DCF"/>
    <w:rsid w:val="095A3EE5"/>
    <w:rsid w:val="097350C6"/>
    <w:rsid w:val="09AD106C"/>
    <w:rsid w:val="09B15E5C"/>
    <w:rsid w:val="09BA6230"/>
    <w:rsid w:val="09BF49CD"/>
    <w:rsid w:val="09CD15D0"/>
    <w:rsid w:val="0A1B29BB"/>
    <w:rsid w:val="0A324E01"/>
    <w:rsid w:val="0A4B7067"/>
    <w:rsid w:val="0A4B77FD"/>
    <w:rsid w:val="0A5D35C4"/>
    <w:rsid w:val="0A613D93"/>
    <w:rsid w:val="0A6A3B86"/>
    <w:rsid w:val="0A7476B3"/>
    <w:rsid w:val="0A7571CC"/>
    <w:rsid w:val="0ABA361B"/>
    <w:rsid w:val="0ADC11B1"/>
    <w:rsid w:val="0AED386C"/>
    <w:rsid w:val="0AF748BC"/>
    <w:rsid w:val="0AF94694"/>
    <w:rsid w:val="0AFC78CA"/>
    <w:rsid w:val="0B2C1EC3"/>
    <w:rsid w:val="0B303030"/>
    <w:rsid w:val="0B914948"/>
    <w:rsid w:val="0BAD388F"/>
    <w:rsid w:val="0BBB027E"/>
    <w:rsid w:val="0BC83484"/>
    <w:rsid w:val="0BD7150A"/>
    <w:rsid w:val="0BE35B49"/>
    <w:rsid w:val="0C0A033C"/>
    <w:rsid w:val="0C172381"/>
    <w:rsid w:val="0C2E1201"/>
    <w:rsid w:val="0C3C3623"/>
    <w:rsid w:val="0C3F607C"/>
    <w:rsid w:val="0C4E2F8C"/>
    <w:rsid w:val="0C58211D"/>
    <w:rsid w:val="0C7C0BB5"/>
    <w:rsid w:val="0CA37CC2"/>
    <w:rsid w:val="0CBB5201"/>
    <w:rsid w:val="0CC23AB8"/>
    <w:rsid w:val="0CCB6AC6"/>
    <w:rsid w:val="0CCC40ED"/>
    <w:rsid w:val="0CDA6704"/>
    <w:rsid w:val="0D1E5098"/>
    <w:rsid w:val="0D5A5E7A"/>
    <w:rsid w:val="0D5D4087"/>
    <w:rsid w:val="0D676AAD"/>
    <w:rsid w:val="0D7A440B"/>
    <w:rsid w:val="0D8431E3"/>
    <w:rsid w:val="0D876E4F"/>
    <w:rsid w:val="0D8C170F"/>
    <w:rsid w:val="0D8E4A18"/>
    <w:rsid w:val="0DA81BD7"/>
    <w:rsid w:val="0DB16AB2"/>
    <w:rsid w:val="0DC77350"/>
    <w:rsid w:val="0DDA257D"/>
    <w:rsid w:val="0DE92020"/>
    <w:rsid w:val="0DF413B5"/>
    <w:rsid w:val="0DFB1017"/>
    <w:rsid w:val="0DFF1591"/>
    <w:rsid w:val="0DFF205C"/>
    <w:rsid w:val="0E1019EA"/>
    <w:rsid w:val="0ED02B9A"/>
    <w:rsid w:val="0EE63F93"/>
    <w:rsid w:val="0EF339B4"/>
    <w:rsid w:val="0F027559"/>
    <w:rsid w:val="0F22009C"/>
    <w:rsid w:val="0F252A4B"/>
    <w:rsid w:val="0F4134DC"/>
    <w:rsid w:val="0F476A95"/>
    <w:rsid w:val="0F5C6D86"/>
    <w:rsid w:val="0F5F6370"/>
    <w:rsid w:val="0F7A3245"/>
    <w:rsid w:val="0F8F0D59"/>
    <w:rsid w:val="0FA50039"/>
    <w:rsid w:val="0FB15FFA"/>
    <w:rsid w:val="0FBE3FC1"/>
    <w:rsid w:val="0FCC5C6D"/>
    <w:rsid w:val="0FE4190C"/>
    <w:rsid w:val="100119EE"/>
    <w:rsid w:val="101127EF"/>
    <w:rsid w:val="1024455B"/>
    <w:rsid w:val="102C4235"/>
    <w:rsid w:val="105966DA"/>
    <w:rsid w:val="10676F5F"/>
    <w:rsid w:val="106D0F6E"/>
    <w:rsid w:val="10713A13"/>
    <w:rsid w:val="107B7EE8"/>
    <w:rsid w:val="10910E09"/>
    <w:rsid w:val="10914685"/>
    <w:rsid w:val="10A04852"/>
    <w:rsid w:val="10AA58FA"/>
    <w:rsid w:val="10BA39A7"/>
    <w:rsid w:val="10D947B1"/>
    <w:rsid w:val="10E2374A"/>
    <w:rsid w:val="11082E10"/>
    <w:rsid w:val="11362F00"/>
    <w:rsid w:val="11397047"/>
    <w:rsid w:val="1145567D"/>
    <w:rsid w:val="11456063"/>
    <w:rsid w:val="115327F4"/>
    <w:rsid w:val="1155443C"/>
    <w:rsid w:val="11794674"/>
    <w:rsid w:val="1196758E"/>
    <w:rsid w:val="11987060"/>
    <w:rsid w:val="11A36EF9"/>
    <w:rsid w:val="11A541B3"/>
    <w:rsid w:val="11B2040F"/>
    <w:rsid w:val="11C70EE4"/>
    <w:rsid w:val="11D23397"/>
    <w:rsid w:val="11DD1F8F"/>
    <w:rsid w:val="120253D5"/>
    <w:rsid w:val="12041361"/>
    <w:rsid w:val="121051ED"/>
    <w:rsid w:val="1223470A"/>
    <w:rsid w:val="124413D6"/>
    <w:rsid w:val="124B5455"/>
    <w:rsid w:val="1255603E"/>
    <w:rsid w:val="12722582"/>
    <w:rsid w:val="12742D6C"/>
    <w:rsid w:val="127739E2"/>
    <w:rsid w:val="128A4759"/>
    <w:rsid w:val="12913497"/>
    <w:rsid w:val="129B4ED7"/>
    <w:rsid w:val="12C652B9"/>
    <w:rsid w:val="12C72A17"/>
    <w:rsid w:val="12DB6428"/>
    <w:rsid w:val="12F102BD"/>
    <w:rsid w:val="130D06BF"/>
    <w:rsid w:val="130D17F7"/>
    <w:rsid w:val="1310193B"/>
    <w:rsid w:val="134D1AEA"/>
    <w:rsid w:val="1355697C"/>
    <w:rsid w:val="135A7A10"/>
    <w:rsid w:val="13614383"/>
    <w:rsid w:val="136B20D0"/>
    <w:rsid w:val="137342B3"/>
    <w:rsid w:val="137D6D3F"/>
    <w:rsid w:val="138B12B5"/>
    <w:rsid w:val="13BB6257"/>
    <w:rsid w:val="13BF36D9"/>
    <w:rsid w:val="13C95656"/>
    <w:rsid w:val="13E33F47"/>
    <w:rsid w:val="14067033"/>
    <w:rsid w:val="14950DA5"/>
    <w:rsid w:val="14BA3972"/>
    <w:rsid w:val="14CC39AA"/>
    <w:rsid w:val="14F27488"/>
    <w:rsid w:val="14FC31D4"/>
    <w:rsid w:val="151364D1"/>
    <w:rsid w:val="151A28C4"/>
    <w:rsid w:val="151D37B8"/>
    <w:rsid w:val="151E2B9C"/>
    <w:rsid w:val="152C44F1"/>
    <w:rsid w:val="152E7175"/>
    <w:rsid w:val="15392488"/>
    <w:rsid w:val="154230D9"/>
    <w:rsid w:val="15544772"/>
    <w:rsid w:val="15733F45"/>
    <w:rsid w:val="1578738B"/>
    <w:rsid w:val="157967E7"/>
    <w:rsid w:val="159F1C43"/>
    <w:rsid w:val="15A42C21"/>
    <w:rsid w:val="15E676E2"/>
    <w:rsid w:val="15E725EE"/>
    <w:rsid w:val="15EF09FE"/>
    <w:rsid w:val="16087697"/>
    <w:rsid w:val="160B2FEC"/>
    <w:rsid w:val="160D399F"/>
    <w:rsid w:val="16261599"/>
    <w:rsid w:val="16307CB6"/>
    <w:rsid w:val="163358C0"/>
    <w:rsid w:val="163D79DB"/>
    <w:rsid w:val="1677051D"/>
    <w:rsid w:val="168420F4"/>
    <w:rsid w:val="16D13F34"/>
    <w:rsid w:val="17016D54"/>
    <w:rsid w:val="17065F32"/>
    <w:rsid w:val="170E6ACE"/>
    <w:rsid w:val="1712032D"/>
    <w:rsid w:val="1718715C"/>
    <w:rsid w:val="1727538E"/>
    <w:rsid w:val="17353138"/>
    <w:rsid w:val="17487C59"/>
    <w:rsid w:val="175F5393"/>
    <w:rsid w:val="176E6589"/>
    <w:rsid w:val="177B5793"/>
    <w:rsid w:val="177C2EEE"/>
    <w:rsid w:val="179614C4"/>
    <w:rsid w:val="18013413"/>
    <w:rsid w:val="180A2A78"/>
    <w:rsid w:val="181000CB"/>
    <w:rsid w:val="18157DBF"/>
    <w:rsid w:val="182A4CCB"/>
    <w:rsid w:val="1834516C"/>
    <w:rsid w:val="184E0373"/>
    <w:rsid w:val="18793B0E"/>
    <w:rsid w:val="18801614"/>
    <w:rsid w:val="188831C0"/>
    <w:rsid w:val="18884545"/>
    <w:rsid w:val="188F79AD"/>
    <w:rsid w:val="18AD1314"/>
    <w:rsid w:val="18E02C8F"/>
    <w:rsid w:val="19012FE9"/>
    <w:rsid w:val="19113DF0"/>
    <w:rsid w:val="19134A90"/>
    <w:rsid w:val="191A230B"/>
    <w:rsid w:val="191F543B"/>
    <w:rsid w:val="192B53F5"/>
    <w:rsid w:val="193F35D6"/>
    <w:rsid w:val="194850F5"/>
    <w:rsid w:val="194D79BA"/>
    <w:rsid w:val="196C675D"/>
    <w:rsid w:val="19727D31"/>
    <w:rsid w:val="1978558C"/>
    <w:rsid w:val="19816099"/>
    <w:rsid w:val="198C4A98"/>
    <w:rsid w:val="19AD200F"/>
    <w:rsid w:val="19AD39A3"/>
    <w:rsid w:val="19B9221A"/>
    <w:rsid w:val="19BC4F24"/>
    <w:rsid w:val="19D92463"/>
    <w:rsid w:val="1A105ED9"/>
    <w:rsid w:val="1A401EAE"/>
    <w:rsid w:val="1A490242"/>
    <w:rsid w:val="1A537836"/>
    <w:rsid w:val="1A5451C4"/>
    <w:rsid w:val="1A590F64"/>
    <w:rsid w:val="1A710506"/>
    <w:rsid w:val="1A7D0845"/>
    <w:rsid w:val="1A7F1D7E"/>
    <w:rsid w:val="1A993B9B"/>
    <w:rsid w:val="1AA52903"/>
    <w:rsid w:val="1AB24D72"/>
    <w:rsid w:val="1AC144F3"/>
    <w:rsid w:val="1AC800EE"/>
    <w:rsid w:val="1ADA520C"/>
    <w:rsid w:val="1AE57863"/>
    <w:rsid w:val="1AF65AC0"/>
    <w:rsid w:val="1B4632DB"/>
    <w:rsid w:val="1B4A3310"/>
    <w:rsid w:val="1B527F6D"/>
    <w:rsid w:val="1B6B3610"/>
    <w:rsid w:val="1B7A21A1"/>
    <w:rsid w:val="1B7E6CC9"/>
    <w:rsid w:val="1B9F55C1"/>
    <w:rsid w:val="1BB414A5"/>
    <w:rsid w:val="1C0348EE"/>
    <w:rsid w:val="1C096AA1"/>
    <w:rsid w:val="1C3F3841"/>
    <w:rsid w:val="1C6529C3"/>
    <w:rsid w:val="1CA00461"/>
    <w:rsid w:val="1CAA1E96"/>
    <w:rsid w:val="1CE53A93"/>
    <w:rsid w:val="1D204054"/>
    <w:rsid w:val="1D2D27A4"/>
    <w:rsid w:val="1D2D7963"/>
    <w:rsid w:val="1D2F1C19"/>
    <w:rsid w:val="1D5B3D41"/>
    <w:rsid w:val="1D5F63C5"/>
    <w:rsid w:val="1D63664D"/>
    <w:rsid w:val="1D6D4A66"/>
    <w:rsid w:val="1D74683B"/>
    <w:rsid w:val="1D8217DA"/>
    <w:rsid w:val="1DB96ED0"/>
    <w:rsid w:val="1DDB214F"/>
    <w:rsid w:val="1E204FCB"/>
    <w:rsid w:val="1E2672E9"/>
    <w:rsid w:val="1E4045E4"/>
    <w:rsid w:val="1E534367"/>
    <w:rsid w:val="1E844D84"/>
    <w:rsid w:val="1E8E78D4"/>
    <w:rsid w:val="1E9171B2"/>
    <w:rsid w:val="1E944A12"/>
    <w:rsid w:val="1E967B61"/>
    <w:rsid w:val="1E9E7D61"/>
    <w:rsid w:val="1EA36697"/>
    <w:rsid w:val="1EA83EC1"/>
    <w:rsid w:val="1EB16915"/>
    <w:rsid w:val="1ED96113"/>
    <w:rsid w:val="1EDF02EC"/>
    <w:rsid w:val="1EE31994"/>
    <w:rsid w:val="1EF57C82"/>
    <w:rsid w:val="1EFC2D62"/>
    <w:rsid w:val="1EFE4483"/>
    <w:rsid w:val="1F0C5D3F"/>
    <w:rsid w:val="1F0D4FE5"/>
    <w:rsid w:val="1F0D76B7"/>
    <w:rsid w:val="1F216A4B"/>
    <w:rsid w:val="1F7B7C84"/>
    <w:rsid w:val="1FAA7B63"/>
    <w:rsid w:val="1FC76106"/>
    <w:rsid w:val="1FCE2681"/>
    <w:rsid w:val="1FFB17B7"/>
    <w:rsid w:val="20523790"/>
    <w:rsid w:val="20532F76"/>
    <w:rsid w:val="2054207F"/>
    <w:rsid w:val="2057572E"/>
    <w:rsid w:val="205D2247"/>
    <w:rsid w:val="2073324F"/>
    <w:rsid w:val="209B63CC"/>
    <w:rsid w:val="20AE4D64"/>
    <w:rsid w:val="20B0387C"/>
    <w:rsid w:val="20CD132A"/>
    <w:rsid w:val="20D02B87"/>
    <w:rsid w:val="20E90844"/>
    <w:rsid w:val="211A703C"/>
    <w:rsid w:val="21216BE9"/>
    <w:rsid w:val="2138208C"/>
    <w:rsid w:val="2158633A"/>
    <w:rsid w:val="217B0D6F"/>
    <w:rsid w:val="219F5453"/>
    <w:rsid w:val="21B21E49"/>
    <w:rsid w:val="21C60676"/>
    <w:rsid w:val="21C709C8"/>
    <w:rsid w:val="22037796"/>
    <w:rsid w:val="22493A3A"/>
    <w:rsid w:val="225770F7"/>
    <w:rsid w:val="22610BC9"/>
    <w:rsid w:val="226D042D"/>
    <w:rsid w:val="22864965"/>
    <w:rsid w:val="22971D30"/>
    <w:rsid w:val="22BF67AD"/>
    <w:rsid w:val="22D43A1F"/>
    <w:rsid w:val="22F17E49"/>
    <w:rsid w:val="22FA1E99"/>
    <w:rsid w:val="234179D0"/>
    <w:rsid w:val="23482DA4"/>
    <w:rsid w:val="234A015E"/>
    <w:rsid w:val="234B6118"/>
    <w:rsid w:val="236E0A95"/>
    <w:rsid w:val="238250E6"/>
    <w:rsid w:val="238B0807"/>
    <w:rsid w:val="239D0DD9"/>
    <w:rsid w:val="23A51BEB"/>
    <w:rsid w:val="23AB5863"/>
    <w:rsid w:val="23CF5AA5"/>
    <w:rsid w:val="23E04680"/>
    <w:rsid w:val="23E4530E"/>
    <w:rsid w:val="241002C5"/>
    <w:rsid w:val="243D2D11"/>
    <w:rsid w:val="24414364"/>
    <w:rsid w:val="244478F4"/>
    <w:rsid w:val="24A04C31"/>
    <w:rsid w:val="24A54C22"/>
    <w:rsid w:val="24CA4591"/>
    <w:rsid w:val="24CC27D7"/>
    <w:rsid w:val="24CD41C9"/>
    <w:rsid w:val="24CE61E9"/>
    <w:rsid w:val="24DC6AE9"/>
    <w:rsid w:val="24E215B7"/>
    <w:rsid w:val="25072AF0"/>
    <w:rsid w:val="250B1BD5"/>
    <w:rsid w:val="251034CB"/>
    <w:rsid w:val="253F6203"/>
    <w:rsid w:val="259629BB"/>
    <w:rsid w:val="25A44134"/>
    <w:rsid w:val="25D17245"/>
    <w:rsid w:val="25D66A40"/>
    <w:rsid w:val="25E40D22"/>
    <w:rsid w:val="25E41B55"/>
    <w:rsid w:val="25E817E2"/>
    <w:rsid w:val="25F41C9B"/>
    <w:rsid w:val="26143691"/>
    <w:rsid w:val="261672E9"/>
    <w:rsid w:val="261F6F1D"/>
    <w:rsid w:val="262C684B"/>
    <w:rsid w:val="264B6F29"/>
    <w:rsid w:val="266D685D"/>
    <w:rsid w:val="267F3779"/>
    <w:rsid w:val="268559B2"/>
    <w:rsid w:val="269F6C33"/>
    <w:rsid w:val="26AA0A8B"/>
    <w:rsid w:val="26D201B9"/>
    <w:rsid w:val="26EB511C"/>
    <w:rsid w:val="26F378B3"/>
    <w:rsid w:val="26F872F6"/>
    <w:rsid w:val="26FC4C6B"/>
    <w:rsid w:val="271571F6"/>
    <w:rsid w:val="27434CEE"/>
    <w:rsid w:val="275D7C18"/>
    <w:rsid w:val="275E5211"/>
    <w:rsid w:val="276A0DD8"/>
    <w:rsid w:val="277352C1"/>
    <w:rsid w:val="27761DAE"/>
    <w:rsid w:val="27881A66"/>
    <w:rsid w:val="27CB1721"/>
    <w:rsid w:val="27D13FD1"/>
    <w:rsid w:val="27F9665F"/>
    <w:rsid w:val="282B79AB"/>
    <w:rsid w:val="282D2F84"/>
    <w:rsid w:val="28320275"/>
    <w:rsid w:val="2857604E"/>
    <w:rsid w:val="28AA3100"/>
    <w:rsid w:val="28DB59C4"/>
    <w:rsid w:val="28EC52FA"/>
    <w:rsid w:val="28FA12E7"/>
    <w:rsid w:val="28FF4391"/>
    <w:rsid w:val="2908634A"/>
    <w:rsid w:val="290C527E"/>
    <w:rsid w:val="290E3619"/>
    <w:rsid w:val="290F1CEF"/>
    <w:rsid w:val="29162CEA"/>
    <w:rsid w:val="29200857"/>
    <w:rsid w:val="292A6F0D"/>
    <w:rsid w:val="29B544CB"/>
    <w:rsid w:val="29DA230C"/>
    <w:rsid w:val="29FA7B85"/>
    <w:rsid w:val="29FC11DE"/>
    <w:rsid w:val="2A0E0C0E"/>
    <w:rsid w:val="2A1625CC"/>
    <w:rsid w:val="2A176E5A"/>
    <w:rsid w:val="2A1848E3"/>
    <w:rsid w:val="2A1B3243"/>
    <w:rsid w:val="2A1D741D"/>
    <w:rsid w:val="2A3569EE"/>
    <w:rsid w:val="2A5D0BE6"/>
    <w:rsid w:val="2A5E77DF"/>
    <w:rsid w:val="2A63507D"/>
    <w:rsid w:val="2A6E4C53"/>
    <w:rsid w:val="2A7C33D9"/>
    <w:rsid w:val="2AAD1589"/>
    <w:rsid w:val="2AB4646D"/>
    <w:rsid w:val="2AF12EA2"/>
    <w:rsid w:val="2B3714C9"/>
    <w:rsid w:val="2B502411"/>
    <w:rsid w:val="2B5342DB"/>
    <w:rsid w:val="2B6F39F7"/>
    <w:rsid w:val="2B7B25FE"/>
    <w:rsid w:val="2B817EA8"/>
    <w:rsid w:val="2B9217BC"/>
    <w:rsid w:val="2BA26D5D"/>
    <w:rsid w:val="2BB63684"/>
    <w:rsid w:val="2BC53A0F"/>
    <w:rsid w:val="2BC713E7"/>
    <w:rsid w:val="2BC82BD4"/>
    <w:rsid w:val="2BDB08D4"/>
    <w:rsid w:val="2BE2483F"/>
    <w:rsid w:val="2BF728D6"/>
    <w:rsid w:val="2C29646F"/>
    <w:rsid w:val="2C3D0323"/>
    <w:rsid w:val="2C476165"/>
    <w:rsid w:val="2C535314"/>
    <w:rsid w:val="2C573936"/>
    <w:rsid w:val="2C8B3F86"/>
    <w:rsid w:val="2CD15DB7"/>
    <w:rsid w:val="2CF70B02"/>
    <w:rsid w:val="2D085222"/>
    <w:rsid w:val="2D12425D"/>
    <w:rsid w:val="2D320BAE"/>
    <w:rsid w:val="2D4F7AED"/>
    <w:rsid w:val="2D6773AD"/>
    <w:rsid w:val="2D7938A2"/>
    <w:rsid w:val="2D8E78C4"/>
    <w:rsid w:val="2DAA57E8"/>
    <w:rsid w:val="2DB2741E"/>
    <w:rsid w:val="2DBB56A8"/>
    <w:rsid w:val="2DCC5EF1"/>
    <w:rsid w:val="2DCD23D9"/>
    <w:rsid w:val="2DD87CE1"/>
    <w:rsid w:val="2DE665E8"/>
    <w:rsid w:val="2DFA1068"/>
    <w:rsid w:val="2E1540EB"/>
    <w:rsid w:val="2E3A4791"/>
    <w:rsid w:val="2E4024E3"/>
    <w:rsid w:val="2E4245CE"/>
    <w:rsid w:val="2E524B68"/>
    <w:rsid w:val="2E5F2766"/>
    <w:rsid w:val="2E6A11BB"/>
    <w:rsid w:val="2E7E23D4"/>
    <w:rsid w:val="2EA72C85"/>
    <w:rsid w:val="2ECA6EDD"/>
    <w:rsid w:val="2EFB3535"/>
    <w:rsid w:val="2F067FB6"/>
    <w:rsid w:val="2F18005F"/>
    <w:rsid w:val="2F3E2B5F"/>
    <w:rsid w:val="2F4D5B32"/>
    <w:rsid w:val="2F6E1521"/>
    <w:rsid w:val="2F7F7991"/>
    <w:rsid w:val="2F842669"/>
    <w:rsid w:val="2FA571C0"/>
    <w:rsid w:val="2FAC34A4"/>
    <w:rsid w:val="2FCC2CB4"/>
    <w:rsid w:val="2FD359F9"/>
    <w:rsid w:val="2FD815FA"/>
    <w:rsid w:val="2FDE20ED"/>
    <w:rsid w:val="2FDF3176"/>
    <w:rsid w:val="2FE8509F"/>
    <w:rsid w:val="302608A9"/>
    <w:rsid w:val="302D4EEC"/>
    <w:rsid w:val="305A5C53"/>
    <w:rsid w:val="306D05DD"/>
    <w:rsid w:val="308D68FE"/>
    <w:rsid w:val="308F4219"/>
    <w:rsid w:val="309D1744"/>
    <w:rsid w:val="30A6037F"/>
    <w:rsid w:val="30CD5C6E"/>
    <w:rsid w:val="30D92FB5"/>
    <w:rsid w:val="30DC3AAA"/>
    <w:rsid w:val="30E638F4"/>
    <w:rsid w:val="31050DA7"/>
    <w:rsid w:val="3118715C"/>
    <w:rsid w:val="3132397F"/>
    <w:rsid w:val="314362E6"/>
    <w:rsid w:val="31490769"/>
    <w:rsid w:val="316073F8"/>
    <w:rsid w:val="317333D4"/>
    <w:rsid w:val="317F3A60"/>
    <w:rsid w:val="31843EC5"/>
    <w:rsid w:val="31942B43"/>
    <w:rsid w:val="31B71D2B"/>
    <w:rsid w:val="31B92D32"/>
    <w:rsid w:val="31CD42F5"/>
    <w:rsid w:val="31E4281A"/>
    <w:rsid w:val="3201601A"/>
    <w:rsid w:val="325D0058"/>
    <w:rsid w:val="32786A08"/>
    <w:rsid w:val="32A00C08"/>
    <w:rsid w:val="32A33346"/>
    <w:rsid w:val="32A36583"/>
    <w:rsid w:val="32A8398C"/>
    <w:rsid w:val="32AA2013"/>
    <w:rsid w:val="32B05191"/>
    <w:rsid w:val="32B956B3"/>
    <w:rsid w:val="32F37509"/>
    <w:rsid w:val="33121362"/>
    <w:rsid w:val="33171E4C"/>
    <w:rsid w:val="333464B6"/>
    <w:rsid w:val="33497065"/>
    <w:rsid w:val="34054907"/>
    <w:rsid w:val="341D5A2C"/>
    <w:rsid w:val="343E71D5"/>
    <w:rsid w:val="3495488C"/>
    <w:rsid w:val="34980A2D"/>
    <w:rsid w:val="34AC0058"/>
    <w:rsid w:val="34B2409D"/>
    <w:rsid w:val="34BB18E5"/>
    <w:rsid w:val="34CC7F76"/>
    <w:rsid w:val="34D522BB"/>
    <w:rsid w:val="34E1188F"/>
    <w:rsid w:val="34F85729"/>
    <w:rsid w:val="34FC6565"/>
    <w:rsid w:val="35181ABF"/>
    <w:rsid w:val="352B07AB"/>
    <w:rsid w:val="35342C15"/>
    <w:rsid w:val="35802873"/>
    <w:rsid w:val="35B00FE9"/>
    <w:rsid w:val="35B13736"/>
    <w:rsid w:val="35BE3871"/>
    <w:rsid w:val="35E049E2"/>
    <w:rsid w:val="35E72589"/>
    <w:rsid w:val="36085E5F"/>
    <w:rsid w:val="363A0D8F"/>
    <w:rsid w:val="365242E8"/>
    <w:rsid w:val="36530294"/>
    <w:rsid w:val="367554E4"/>
    <w:rsid w:val="3675759B"/>
    <w:rsid w:val="36774107"/>
    <w:rsid w:val="367F49EB"/>
    <w:rsid w:val="368E16FE"/>
    <w:rsid w:val="36A823AB"/>
    <w:rsid w:val="36B3497D"/>
    <w:rsid w:val="36CD0039"/>
    <w:rsid w:val="36D84FC6"/>
    <w:rsid w:val="36EE0FCB"/>
    <w:rsid w:val="36EE3B5D"/>
    <w:rsid w:val="36F51E14"/>
    <w:rsid w:val="36F75029"/>
    <w:rsid w:val="371B6F58"/>
    <w:rsid w:val="372D2A3F"/>
    <w:rsid w:val="374057AF"/>
    <w:rsid w:val="377B1BD4"/>
    <w:rsid w:val="3787094A"/>
    <w:rsid w:val="37A479AF"/>
    <w:rsid w:val="37D42C4B"/>
    <w:rsid w:val="37E95D88"/>
    <w:rsid w:val="37EA2FF6"/>
    <w:rsid w:val="37F7395B"/>
    <w:rsid w:val="380D162F"/>
    <w:rsid w:val="38545275"/>
    <w:rsid w:val="385B543D"/>
    <w:rsid w:val="38616F1D"/>
    <w:rsid w:val="387326EF"/>
    <w:rsid w:val="387E3227"/>
    <w:rsid w:val="388A0916"/>
    <w:rsid w:val="388A7B22"/>
    <w:rsid w:val="38DB655D"/>
    <w:rsid w:val="38DF1841"/>
    <w:rsid w:val="38DF32A5"/>
    <w:rsid w:val="39287FFA"/>
    <w:rsid w:val="39300F8C"/>
    <w:rsid w:val="393128D6"/>
    <w:rsid w:val="394903CE"/>
    <w:rsid w:val="395A795B"/>
    <w:rsid w:val="39763F29"/>
    <w:rsid w:val="39A0641B"/>
    <w:rsid w:val="39A0766B"/>
    <w:rsid w:val="39A7373C"/>
    <w:rsid w:val="39AA02FF"/>
    <w:rsid w:val="39D833EA"/>
    <w:rsid w:val="39DF3D44"/>
    <w:rsid w:val="39E27D0F"/>
    <w:rsid w:val="3A284BB1"/>
    <w:rsid w:val="3A4469DF"/>
    <w:rsid w:val="3A596CEF"/>
    <w:rsid w:val="3A8E028C"/>
    <w:rsid w:val="3A923363"/>
    <w:rsid w:val="3AB63CA9"/>
    <w:rsid w:val="3ADF3FF2"/>
    <w:rsid w:val="3AFD149F"/>
    <w:rsid w:val="3B035435"/>
    <w:rsid w:val="3B1C0B6E"/>
    <w:rsid w:val="3B6E4699"/>
    <w:rsid w:val="3B787F08"/>
    <w:rsid w:val="3BAD24B6"/>
    <w:rsid w:val="3BC563A0"/>
    <w:rsid w:val="3BF61194"/>
    <w:rsid w:val="3BF82ECA"/>
    <w:rsid w:val="3BFC5556"/>
    <w:rsid w:val="3C13650D"/>
    <w:rsid w:val="3C157F81"/>
    <w:rsid w:val="3C267FBF"/>
    <w:rsid w:val="3C4313CD"/>
    <w:rsid w:val="3C457228"/>
    <w:rsid w:val="3C553232"/>
    <w:rsid w:val="3C626DC3"/>
    <w:rsid w:val="3C641E8A"/>
    <w:rsid w:val="3C6E4C5A"/>
    <w:rsid w:val="3C810591"/>
    <w:rsid w:val="3C882E95"/>
    <w:rsid w:val="3C8D09FD"/>
    <w:rsid w:val="3CBC0D93"/>
    <w:rsid w:val="3CBE1805"/>
    <w:rsid w:val="3CD03524"/>
    <w:rsid w:val="3CD7465F"/>
    <w:rsid w:val="3CDA268D"/>
    <w:rsid w:val="3D33446E"/>
    <w:rsid w:val="3D3B6BA9"/>
    <w:rsid w:val="3D4165BD"/>
    <w:rsid w:val="3DAF507D"/>
    <w:rsid w:val="3DB4724B"/>
    <w:rsid w:val="3DBC1D77"/>
    <w:rsid w:val="3DCD026A"/>
    <w:rsid w:val="3DF40EA3"/>
    <w:rsid w:val="3E051F47"/>
    <w:rsid w:val="3E124C9C"/>
    <w:rsid w:val="3E2A1172"/>
    <w:rsid w:val="3E2E6FCE"/>
    <w:rsid w:val="3E414E5B"/>
    <w:rsid w:val="3E5A54F8"/>
    <w:rsid w:val="3E76638E"/>
    <w:rsid w:val="3E907E59"/>
    <w:rsid w:val="3E920795"/>
    <w:rsid w:val="3EA01626"/>
    <w:rsid w:val="3EA832D5"/>
    <w:rsid w:val="3EBD3A5A"/>
    <w:rsid w:val="3ED67395"/>
    <w:rsid w:val="3EF02CD3"/>
    <w:rsid w:val="3EF054AF"/>
    <w:rsid w:val="3EF17592"/>
    <w:rsid w:val="3F414D6B"/>
    <w:rsid w:val="3F5643FD"/>
    <w:rsid w:val="3F5E1219"/>
    <w:rsid w:val="3F634577"/>
    <w:rsid w:val="3F8B3ED6"/>
    <w:rsid w:val="3F957496"/>
    <w:rsid w:val="3F963DE8"/>
    <w:rsid w:val="3FA371A3"/>
    <w:rsid w:val="3FAB016F"/>
    <w:rsid w:val="3FB12DDB"/>
    <w:rsid w:val="3FB73B45"/>
    <w:rsid w:val="3FD13BE4"/>
    <w:rsid w:val="3FD279CF"/>
    <w:rsid w:val="3FD74F15"/>
    <w:rsid w:val="3FD846AB"/>
    <w:rsid w:val="3FDC7D23"/>
    <w:rsid w:val="3FE7116A"/>
    <w:rsid w:val="3FFE7AEE"/>
    <w:rsid w:val="40207594"/>
    <w:rsid w:val="40476412"/>
    <w:rsid w:val="405D5E55"/>
    <w:rsid w:val="406934E1"/>
    <w:rsid w:val="407F2305"/>
    <w:rsid w:val="40A62923"/>
    <w:rsid w:val="40BC4331"/>
    <w:rsid w:val="40BE6480"/>
    <w:rsid w:val="40D818A0"/>
    <w:rsid w:val="41035892"/>
    <w:rsid w:val="412B2413"/>
    <w:rsid w:val="41355108"/>
    <w:rsid w:val="41671FE2"/>
    <w:rsid w:val="41734954"/>
    <w:rsid w:val="417F5459"/>
    <w:rsid w:val="41841FD4"/>
    <w:rsid w:val="418E3DAC"/>
    <w:rsid w:val="41CD0576"/>
    <w:rsid w:val="41E05464"/>
    <w:rsid w:val="41F16518"/>
    <w:rsid w:val="41F51B19"/>
    <w:rsid w:val="42011FE9"/>
    <w:rsid w:val="421123DE"/>
    <w:rsid w:val="42344A5E"/>
    <w:rsid w:val="424D2825"/>
    <w:rsid w:val="42695A41"/>
    <w:rsid w:val="4280293F"/>
    <w:rsid w:val="42AB4175"/>
    <w:rsid w:val="42BD3BD4"/>
    <w:rsid w:val="42C31092"/>
    <w:rsid w:val="42D60210"/>
    <w:rsid w:val="42E77D57"/>
    <w:rsid w:val="42EE5405"/>
    <w:rsid w:val="42F63C4A"/>
    <w:rsid w:val="42F77DB2"/>
    <w:rsid w:val="431E145C"/>
    <w:rsid w:val="43384169"/>
    <w:rsid w:val="43403D6C"/>
    <w:rsid w:val="436C1C65"/>
    <w:rsid w:val="437D5066"/>
    <w:rsid w:val="438039FD"/>
    <w:rsid w:val="438B0E00"/>
    <w:rsid w:val="43B85B78"/>
    <w:rsid w:val="43CE0D67"/>
    <w:rsid w:val="43CF01CF"/>
    <w:rsid w:val="43D446A6"/>
    <w:rsid w:val="43DB1B48"/>
    <w:rsid w:val="44182BFA"/>
    <w:rsid w:val="442456F7"/>
    <w:rsid w:val="442D1123"/>
    <w:rsid w:val="446706C3"/>
    <w:rsid w:val="446A0812"/>
    <w:rsid w:val="44904AAE"/>
    <w:rsid w:val="449562C2"/>
    <w:rsid w:val="44985191"/>
    <w:rsid w:val="449B251C"/>
    <w:rsid w:val="44BC11EE"/>
    <w:rsid w:val="44C6570C"/>
    <w:rsid w:val="44D26AF6"/>
    <w:rsid w:val="44E71C3C"/>
    <w:rsid w:val="450370F6"/>
    <w:rsid w:val="4517058D"/>
    <w:rsid w:val="451B5B55"/>
    <w:rsid w:val="45225C85"/>
    <w:rsid w:val="45271423"/>
    <w:rsid w:val="45437585"/>
    <w:rsid w:val="454B48C7"/>
    <w:rsid w:val="457101E5"/>
    <w:rsid w:val="457C4B03"/>
    <w:rsid w:val="458953C0"/>
    <w:rsid w:val="45A66D61"/>
    <w:rsid w:val="45B116A0"/>
    <w:rsid w:val="45B87682"/>
    <w:rsid w:val="46114441"/>
    <w:rsid w:val="463F58BE"/>
    <w:rsid w:val="464252A2"/>
    <w:rsid w:val="467D46CC"/>
    <w:rsid w:val="46A91993"/>
    <w:rsid w:val="46DC7AF7"/>
    <w:rsid w:val="46F8012D"/>
    <w:rsid w:val="470A0087"/>
    <w:rsid w:val="470A6DED"/>
    <w:rsid w:val="47140325"/>
    <w:rsid w:val="47231E1D"/>
    <w:rsid w:val="47397233"/>
    <w:rsid w:val="473A3E1E"/>
    <w:rsid w:val="474A6DAC"/>
    <w:rsid w:val="476F5C78"/>
    <w:rsid w:val="479A7F26"/>
    <w:rsid w:val="47D1197C"/>
    <w:rsid w:val="47E37809"/>
    <w:rsid w:val="47E75158"/>
    <w:rsid w:val="481B0AC6"/>
    <w:rsid w:val="481C6D19"/>
    <w:rsid w:val="482A0FCF"/>
    <w:rsid w:val="48751362"/>
    <w:rsid w:val="48824EC6"/>
    <w:rsid w:val="48860D1B"/>
    <w:rsid w:val="48A35DF0"/>
    <w:rsid w:val="48F20D92"/>
    <w:rsid w:val="491356AD"/>
    <w:rsid w:val="491A4E4F"/>
    <w:rsid w:val="49281852"/>
    <w:rsid w:val="49490C64"/>
    <w:rsid w:val="49525154"/>
    <w:rsid w:val="4953507E"/>
    <w:rsid w:val="49545A1F"/>
    <w:rsid w:val="49555633"/>
    <w:rsid w:val="495734D1"/>
    <w:rsid w:val="495856EB"/>
    <w:rsid w:val="495A134D"/>
    <w:rsid w:val="496C1189"/>
    <w:rsid w:val="497E4B1E"/>
    <w:rsid w:val="49802AE3"/>
    <w:rsid w:val="49811E6F"/>
    <w:rsid w:val="49905C68"/>
    <w:rsid w:val="49CF1885"/>
    <w:rsid w:val="49E410CB"/>
    <w:rsid w:val="49ED2C7B"/>
    <w:rsid w:val="4A072498"/>
    <w:rsid w:val="4A337672"/>
    <w:rsid w:val="4A89083C"/>
    <w:rsid w:val="4A90137A"/>
    <w:rsid w:val="4AC2068B"/>
    <w:rsid w:val="4AD43CD9"/>
    <w:rsid w:val="4ADA6682"/>
    <w:rsid w:val="4AF237BA"/>
    <w:rsid w:val="4AFC6848"/>
    <w:rsid w:val="4AFE50CA"/>
    <w:rsid w:val="4B0D7F6D"/>
    <w:rsid w:val="4B2C15A5"/>
    <w:rsid w:val="4B4474ED"/>
    <w:rsid w:val="4B474D59"/>
    <w:rsid w:val="4B7B71B2"/>
    <w:rsid w:val="4B872035"/>
    <w:rsid w:val="4B9313E6"/>
    <w:rsid w:val="4B9A31A5"/>
    <w:rsid w:val="4B9A5E6A"/>
    <w:rsid w:val="4BA530AF"/>
    <w:rsid w:val="4BA87148"/>
    <w:rsid w:val="4BAD60A9"/>
    <w:rsid w:val="4BB3411B"/>
    <w:rsid w:val="4BBC1BE9"/>
    <w:rsid w:val="4BCA593E"/>
    <w:rsid w:val="4BF7554D"/>
    <w:rsid w:val="4C10646F"/>
    <w:rsid w:val="4C1A363A"/>
    <w:rsid w:val="4C1E41E4"/>
    <w:rsid w:val="4C470158"/>
    <w:rsid w:val="4C575324"/>
    <w:rsid w:val="4C7858F3"/>
    <w:rsid w:val="4C7C2FBD"/>
    <w:rsid w:val="4C8058EF"/>
    <w:rsid w:val="4C954D37"/>
    <w:rsid w:val="4C9E5C6B"/>
    <w:rsid w:val="4CA7723E"/>
    <w:rsid w:val="4CC77FFC"/>
    <w:rsid w:val="4CDD757B"/>
    <w:rsid w:val="4CE066F0"/>
    <w:rsid w:val="4CF11A34"/>
    <w:rsid w:val="4CF86292"/>
    <w:rsid w:val="4CF92886"/>
    <w:rsid w:val="4D0C441F"/>
    <w:rsid w:val="4D244F58"/>
    <w:rsid w:val="4D330398"/>
    <w:rsid w:val="4D402BD4"/>
    <w:rsid w:val="4D7F3CAE"/>
    <w:rsid w:val="4D81203C"/>
    <w:rsid w:val="4DA54844"/>
    <w:rsid w:val="4DCF6871"/>
    <w:rsid w:val="4DD014A6"/>
    <w:rsid w:val="4DE446E2"/>
    <w:rsid w:val="4DE51079"/>
    <w:rsid w:val="4DE85357"/>
    <w:rsid w:val="4E0A5734"/>
    <w:rsid w:val="4E215A12"/>
    <w:rsid w:val="4E6069E3"/>
    <w:rsid w:val="4E6C725A"/>
    <w:rsid w:val="4E7749FB"/>
    <w:rsid w:val="4E781808"/>
    <w:rsid w:val="4E7C2DA4"/>
    <w:rsid w:val="4E9118CB"/>
    <w:rsid w:val="4EA506D4"/>
    <w:rsid w:val="4EA670B2"/>
    <w:rsid w:val="4EB570D6"/>
    <w:rsid w:val="4EC70A40"/>
    <w:rsid w:val="4EF72C94"/>
    <w:rsid w:val="4F296101"/>
    <w:rsid w:val="4F305E49"/>
    <w:rsid w:val="4F487C7B"/>
    <w:rsid w:val="4F6E7F05"/>
    <w:rsid w:val="4F7B5EE9"/>
    <w:rsid w:val="4F8A3674"/>
    <w:rsid w:val="4F96686A"/>
    <w:rsid w:val="4F975519"/>
    <w:rsid w:val="4FA87474"/>
    <w:rsid w:val="4FB16637"/>
    <w:rsid w:val="4FDB3FC3"/>
    <w:rsid w:val="4FE3400D"/>
    <w:rsid w:val="501430FD"/>
    <w:rsid w:val="501B0CF8"/>
    <w:rsid w:val="50223669"/>
    <w:rsid w:val="5035107D"/>
    <w:rsid w:val="50404C75"/>
    <w:rsid w:val="505823DF"/>
    <w:rsid w:val="50590586"/>
    <w:rsid w:val="50614067"/>
    <w:rsid w:val="50725F81"/>
    <w:rsid w:val="50AB0883"/>
    <w:rsid w:val="50AF0DF3"/>
    <w:rsid w:val="50B02E5E"/>
    <w:rsid w:val="50C21A6F"/>
    <w:rsid w:val="50D26409"/>
    <w:rsid w:val="50DA577A"/>
    <w:rsid w:val="50E22DD7"/>
    <w:rsid w:val="50E929C7"/>
    <w:rsid w:val="50FA7B50"/>
    <w:rsid w:val="510A0470"/>
    <w:rsid w:val="511D0EE3"/>
    <w:rsid w:val="51351856"/>
    <w:rsid w:val="513649B3"/>
    <w:rsid w:val="513B0679"/>
    <w:rsid w:val="514F4B41"/>
    <w:rsid w:val="5162088E"/>
    <w:rsid w:val="51872117"/>
    <w:rsid w:val="51D43E2C"/>
    <w:rsid w:val="51E75C4A"/>
    <w:rsid w:val="51E848FB"/>
    <w:rsid w:val="51ED7B9B"/>
    <w:rsid w:val="51FB3F99"/>
    <w:rsid w:val="521D5DC8"/>
    <w:rsid w:val="52210B95"/>
    <w:rsid w:val="52297D26"/>
    <w:rsid w:val="52334072"/>
    <w:rsid w:val="523D4FDC"/>
    <w:rsid w:val="525B0CA5"/>
    <w:rsid w:val="52801B73"/>
    <w:rsid w:val="529977B1"/>
    <w:rsid w:val="52AB591A"/>
    <w:rsid w:val="52C01AEB"/>
    <w:rsid w:val="52D567CE"/>
    <w:rsid w:val="52DA401E"/>
    <w:rsid w:val="52DE67BC"/>
    <w:rsid w:val="5309169A"/>
    <w:rsid w:val="53124216"/>
    <w:rsid w:val="5318172F"/>
    <w:rsid w:val="531D0413"/>
    <w:rsid w:val="53492E20"/>
    <w:rsid w:val="53496FFE"/>
    <w:rsid w:val="53655F60"/>
    <w:rsid w:val="53A106A3"/>
    <w:rsid w:val="53A96A2F"/>
    <w:rsid w:val="53B911F9"/>
    <w:rsid w:val="53CF59EF"/>
    <w:rsid w:val="53F7723D"/>
    <w:rsid w:val="53F9730C"/>
    <w:rsid w:val="53FD785E"/>
    <w:rsid w:val="5422243B"/>
    <w:rsid w:val="54374074"/>
    <w:rsid w:val="54424CCD"/>
    <w:rsid w:val="54465FC9"/>
    <w:rsid w:val="545B2AD6"/>
    <w:rsid w:val="54694354"/>
    <w:rsid w:val="546B1B9A"/>
    <w:rsid w:val="54C354AA"/>
    <w:rsid w:val="54D03D98"/>
    <w:rsid w:val="54D25B0D"/>
    <w:rsid w:val="550D1B0B"/>
    <w:rsid w:val="556C41FB"/>
    <w:rsid w:val="556E78AD"/>
    <w:rsid w:val="558C104B"/>
    <w:rsid w:val="55BD4A50"/>
    <w:rsid w:val="55C66E9A"/>
    <w:rsid w:val="55CF0C66"/>
    <w:rsid w:val="55DD6580"/>
    <w:rsid w:val="55F66274"/>
    <w:rsid w:val="562C0CB8"/>
    <w:rsid w:val="563567D0"/>
    <w:rsid w:val="56590074"/>
    <w:rsid w:val="5660136B"/>
    <w:rsid w:val="56784F2E"/>
    <w:rsid w:val="568323E0"/>
    <w:rsid w:val="569F0276"/>
    <w:rsid w:val="56BE7921"/>
    <w:rsid w:val="56BF31FE"/>
    <w:rsid w:val="56CF4F98"/>
    <w:rsid w:val="56E62127"/>
    <w:rsid w:val="56EC7614"/>
    <w:rsid w:val="56FF7C44"/>
    <w:rsid w:val="57283AF3"/>
    <w:rsid w:val="57303F8B"/>
    <w:rsid w:val="57343D5F"/>
    <w:rsid w:val="57410CC1"/>
    <w:rsid w:val="57463BF9"/>
    <w:rsid w:val="574B33AE"/>
    <w:rsid w:val="575B5025"/>
    <w:rsid w:val="57627E43"/>
    <w:rsid w:val="57756FDC"/>
    <w:rsid w:val="57761236"/>
    <w:rsid w:val="577F1F0C"/>
    <w:rsid w:val="57852006"/>
    <w:rsid w:val="57A5737E"/>
    <w:rsid w:val="57BE418F"/>
    <w:rsid w:val="57E37C5F"/>
    <w:rsid w:val="57EB5B3D"/>
    <w:rsid w:val="57ED327A"/>
    <w:rsid w:val="58375678"/>
    <w:rsid w:val="583852E9"/>
    <w:rsid w:val="58396983"/>
    <w:rsid w:val="58797196"/>
    <w:rsid w:val="589B20E7"/>
    <w:rsid w:val="58A87941"/>
    <w:rsid w:val="58D10D32"/>
    <w:rsid w:val="58EB5264"/>
    <w:rsid w:val="58F722C8"/>
    <w:rsid w:val="58F7528F"/>
    <w:rsid w:val="593302A8"/>
    <w:rsid w:val="593C3BD6"/>
    <w:rsid w:val="597D5BEC"/>
    <w:rsid w:val="59845F72"/>
    <w:rsid w:val="59966557"/>
    <w:rsid w:val="59A31323"/>
    <w:rsid w:val="59C93469"/>
    <w:rsid w:val="59DB4D16"/>
    <w:rsid w:val="59E22C08"/>
    <w:rsid w:val="59EF2D2D"/>
    <w:rsid w:val="59F65B70"/>
    <w:rsid w:val="5A253572"/>
    <w:rsid w:val="5A3B500C"/>
    <w:rsid w:val="5A571569"/>
    <w:rsid w:val="5A66184A"/>
    <w:rsid w:val="5A670851"/>
    <w:rsid w:val="5A7D54A8"/>
    <w:rsid w:val="5A822520"/>
    <w:rsid w:val="5A8E721C"/>
    <w:rsid w:val="5A935547"/>
    <w:rsid w:val="5A9A7CF3"/>
    <w:rsid w:val="5AA52841"/>
    <w:rsid w:val="5AA73366"/>
    <w:rsid w:val="5ADE4216"/>
    <w:rsid w:val="5AF73408"/>
    <w:rsid w:val="5B115285"/>
    <w:rsid w:val="5B194B7D"/>
    <w:rsid w:val="5B224091"/>
    <w:rsid w:val="5B5E1DE7"/>
    <w:rsid w:val="5B7644D9"/>
    <w:rsid w:val="5B85528C"/>
    <w:rsid w:val="5BA57A39"/>
    <w:rsid w:val="5BAA721A"/>
    <w:rsid w:val="5BC3729A"/>
    <w:rsid w:val="5BDF7700"/>
    <w:rsid w:val="5BE00234"/>
    <w:rsid w:val="5BE40467"/>
    <w:rsid w:val="5BF963C6"/>
    <w:rsid w:val="5C0927D4"/>
    <w:rsid w:val="5C0A7F4B"/>
    <w:rsid w:val="5C3E0182"/>
    <w:rsid w:val="5C4363FE"/>
    <w:rsid w:val="5C5A5D5F"/>
    <w:rsid w:val="5C631661"/>
    <w:rsid w:val="5C6F662A"/>
    <w:rsid w:val="5C8311ED"/>
    <w:rsid w:val="5C8F1E71"/>
    <w:rsid w:val="5CA46825"/>
    <w:rsid w:val="5CA57360"/>
    <w:rsid w:val="5CB519B3"/>
    <w:rsid w:val="5CB83B68"/>
    <w:rsid w:val="5CC753A5"/>
    <w:rsid w:val="5CF526AD"/>
    <w:rsid w:val="5D534826"/>
    <w:rsid w:val="5D6648D9"/>
    <w:rsid w:val="5D855D1C"/>
    <w:rsid w:val="5D925872"/>
    <w:rsid w:val="5D93430A"/>
    <w:rsid w:val="5D9C2B73"/>
    <w:rsid w:val="5DB63C93"/>
    <w:rsid w:val="5DDA5A28"/>
    <w:rsid w:val="5DE51216"/>
    <w:rsid w:val="5E041844"/>
    <w:rsid w:val="5E11093B"/>
    <w:rsid w:val="5E7B225D"/>
    <w:rsid w:val="5ED42A92"/>
    <w:rsid w:val="5ED81CB2"/>
    <w:rsid w:val="5EF303F4"/>
    <w:rsid w:val="5F053373"/>
    <w:rsid w:val="5F1A23BD"/>
    <w:rsid w:val="5F234E10"/>
    <w:rsid w:val="5F257F36"/>
    <w:rsid w:val="5F4B4213"/>
    <w:rsid w:val="5F675642"/>
    <w:rsid w:val="5F67741C"/>
    <w:rsid w:val="5FA30DD6"/>
    <w:rsid w:val="5FA8755D"/>
    <w:rsid w:val="5FBF6BDA"/>
    <w:rsid w:val="5FF17AC1"/>
    <w:rsid w:val="5FFA3C16"/>
    <w:rsid w:val="60024AD2"/>
    <w:rsid w:val="602E709D"/>
    <w:rsid w:val="60475AA8"/>
    <w:rsid w:val="604E560C"/>
    <w:rsid w:val="606B11D6"/>
    <w:rsid w:val="60D402BB"/>
    <w:rsid w:val="60EA5F34"/>
    <w:rsid w:val="610E5D80"/>
    <w:rsid w:val="611560BF"/>
    <w:rsid w:val="6122546D"/>
    <w:rsid w:val="612B0003"/>
    <w:rsid w:val="612B537B"/>
    <w:rsid w:val="61453F40"/>
    <w:rsid w:val="614B335F"/>
    <w:rsid w:val="615450A1"/>
    <w:rsid w:val="61566196"/>
    <w:rsid w:val="61932D18"/>
    <w:rsid w:val="61B5444A"/>
    <w:rsid w:val="61B92657"/>
    <w:rsid w:val="61C3366F"/>
    <w:rsid w:val="61D949C5"/>
    <w:rsid w:val="61E908DF"/>
    <w:rsid w:val="61F87530"/>
    <w:rsid w:val="62051491"/>
    <w:rsid w:val="62193732"/>
    <w:rsid w:val="623532B2"/>
    <w:rsid w:val="625B28DF"/>
    <w:rsid w:val="6266346F"/>
    <w:rsid w:val="62B87EB2"/>
    <w:rsid w:val="62BF1E14"/>
    <w:rsid w:val="62E26AAE"/>
    <w:rsid w:val="62F421E1"/>
    <w:rsid w:val="631065BB"/>
    <w:rsid w:val="63115982"/>
    <w:rsid w:val="632E0755"/>
    <w:rsid w:val="6330576E"/>
    <w:rsid w:val="6348015C"/>
    <w:rsid w:val="63552B6B"/>
    <w:rsid w:val="63643498"/>
    <w:rsid w:val="637F2D1A"/>
    <w:rsid w:val="638E2DB3"/>
    <w:rsid w:val="638F36EE"/>
    <w:rsid w:val="63901F4D"/>
    <w:rsid w:val="63960810"/>
    <w:rsid w:val="63AF27A8"/>
    <w:rsid w:val="63B34D5F"/>
    <w:rsid w:val="63C918B7"/>
    <w:rsid w:val="63EA70FA"/>
    <w:rsid w:val="63EB3DF4"/>
    <w:rsid w:val="63F03A35"/>
    <w:rsid w:val="640D12F1"/>
    <w:rsid w:val="64133552"/>
    <w:rsid w:val="641767A0"/>
    <w:rsid w:val="6417786C"/>
    <w:rsid w:val="64342BDC"/>
    <w:rsid w:val="64367190"/>
    <w:rsid w:val="643C535D"/>
    <w:rsid w:val="6451021A"/>
    <w:rsid w:val="64750495"/>
    <w:rsid w:val="649677B5"/>
    <w:rsid w:val="64A84A1A"/>
    <w:rsid w:val="64B54B60"/>
    <w:rsid w:val="64D00D34"/>
    <w:rsid w:val="64E84CE8"/>
    <w:rsid w:val="64F25EE1"/>
    <w:rsid w:val="64FB7776"/>
    <w:rsid w:val="65047DE8"/>
    <w:rsid w:val="6543065F"/>
    <w:rsid w:val="658D4F5E"/>
    <w:rsid w:val="659C79BF"/>
    <w:rsid w:val="65A43F32"/>
    <w:rsid w:val="65A55A22"/>
    <w:rsid w:val="65A81A55"/>
    <w:rsid w:val="65E202AA"/>
    <w:rsid w:val="65EE63E9"/>
    <w:rsid w:val="65F073B7"/>
    <w:rsid w:val="65FB19D3"/>
    <w:rsid w:val="660E01CF"/>
    <w:rsid w:val="661D3B82"/>
    <w:rsid w:val="66255D8B"/>
    <w:rsid w:val="66487A9B"/>
    <w:rsid w:val="66534FCC"/>
    <w:rsid w:val="66863CCE"/>
    <w:rsid w:val="669B50CD"/>
    <w:rsid w:val="66A46AF6"/>
    <w:rsid w:val="66AE0B57"/>
    <w:rsid w:val="66BD7F2F"/>
    <w:rsid w:val="66C11D69"/>
    <w:rsid w:val="66C178A1"/>
    <w:rsid w:val="66CD45D2"/>
    <w:rsid w:val="66CE12C2"/>
    <w:rsid w:val="66DE2DA5"/>
    <w:rsid w:val="66E66DEF"/>
    <w:rsid w:val="66E9022F"/>
    <w:rsid w:val="66EA2816"/>
    <w:rsid w:val="6716765A"/>
    <w:rsid w:val="67573040"/>
    <w:rsid w:val="676D6AC2"/>
    <w:rsid w:val="6772728E"/>
    <w:rsid w:val="677E0166"/>
    <w:rsid w:val="678F07A4"/>
    <w:rsid w:val="6795699A"/>
    <w:rsid w:val="67A816E9"/>
    <w:rsid w:val="67AE4BC9"/>
    <w:rsid w:val="67CD2C91"/>
    <w:rsid w:val="67D416D2"/>
    <w:rsid w:val="67D97B4F"/>
    <w:rsid w:val="67E23030"/>
    <w:rsid w:val="67EB7E54"/>
    <w:rsid w:val="67ED314E"/>
    <w:rsid w:val="68017844"/>
    <w:rsid w:val="683C5C98"/>
    <w:rsid w:val="6850707B"/>
    <w:rsid w:val="685978E7"/>
    <w:rsid w:val="685D4D63"/>
    <w:rsid w:val="685E7F2A"/>
    <w:rsid w:val="68646B16"/>
    <w:rsid w:val="686D34BE"/>
    <w:rsid w:val="68974FA6"/>
    <w:rsid w:val="68AA6F93"/>
    <w:rsid w:val="68AE74D7"/>
    <w:rsid w:val="68C8510C"/>
    <w:rsid w:val="68D16748"/>
    <w:rsid w:val="68FA675C"/>
    <w:rsid w:val="6915059F"/>
    <w:rsid w:val="691D5D8B"/>
    <w:rsid w:val="69222900"/>
    <w:rsid w:val="692B02BE"/>
    <w:rsid w:val="692D1D9D"/>
    <w:rsid w:val="69624550"/>
    <w:rsid w:val="696743F4"/>
    <w:rsid w:val="697B69F4"/>
    <w:rsid w:val="69981207"/>
    <w:rsid w:val="69A068A5"/>
    <w:rsid w:val="69AB331C"/>
    <w:rsid w:val="69B10074"/>
    <w:rsid w:val="69C01F93"/>
    <w:rsid w:val="69E0409E"/>
    <w:rsid w:val="6A092F08"/>
    <w:rsid w:val="6A3212DD"/>
    <w:rsid w:val="6A325094"/>
    <w:rsid w:val="6A35263C"/>
    <w:rsid w:val="6A3F7FBF"/>
    <w:rsid w:val="6A6E0B73"/>
    <w:rsid w:val="6A753D05"/>
    <w:rsid w:val="6A7C3B33"/>
    <w:rsid w:val="6A844937"/>
    <w:rsid w:val="6AB777F0"/>
    <w:rsid w:val="6ADC2A57"/>
    <w:rsid w:val="6AF76C4E"/>
    <w:rsid w:val="6B07293F"/>
    <w:rsid w:val="6B25134D"/>
    <w:rsid w:val="6B7C40C2"/>
    <w:rsid w:val="6BAE46C7"/>
    <w:rsid w:val="6BB52E57"/>
    <w:rsid w:val="6BBC7B30"/>
    <w:rsid w:val="6BC62DAA"/>
    <w:rsid w:val="6BE877C5"/>
    <w:rsid w:val="6BF16734"/>
    <w:rsid w:val="6C0C42EF"/>
    <w:rsid w:val="6C2736ED"/>
    <w:rsid w:val="6C3A30F7"/>
    <w:rsid w:val="6C702A55"/>
    <w:rsid w:val="6C7F12E2"/>
    <w:rsid w:val="6CA52A9F"/>
    <w:rsid w:val="6CB14353"/>
    <w:rsid w:val="6CBA76F7"/>
    <w:rsid w:val="6CD63889"/>
    <w:rsid w:val="6CE1133A"/>
    <w:rsid w:val="6CF66882"/>
    <w:rsid w:val="6CFC278F"/>
    <w:rsid w:val="6D076E86"/>
    <w:rsid w:val="6D1D0041"/>
    <w:rsid w:val="6D1F392F"/>
    <w:rsid w:val="6D2D5082"/>
    <w:rsid w:val="6D3056F3"/>
    <w:rsid w:val="6D381E9D"/>
    <w:rsid w:val="6D621D91"/>
    <w:rsid w:val="6D6A27B2"/>
    <w:rsid w:val="6D8368A4"/>
    <w:rsid w:val="6D8B3001"/>
    <w:rsid w:val="6DA12299"/>
    <w:rsid w:val="6DAA2E67"/>
    <w:rsid w:val="6DB826FA"/>
    <w:rsid w:val="6DC9723B"/>
    <w:rsid w:val="6DFF7F4F"/>
    <w:rsid w:val="6E121E82"/>
    <w:rsid w:val="6E321CC2"/>
    <w:rsid w:val="6E430353"/>
    <w:rsid w:val="6E767CF2"/>
    <w:rsid w:val="6E80052F"/>
    <w:rsid w:val="6E9E20E1"/>
    <w:rsid w:val="6EAF4A25"/>
    <w:rsid w:val="6EBF249E"/>
    <w:rsid w:val="6EC26DC8"/>
    <w:rsid w:val="6EC73E49"/>
    <w:rsid w:val="6EDE5E5B"/>
    <w:rsid w:val="6EE5042A"/>
    <w:rsid w:val="6EE76EED"/>
    <w:rsid w:val="6EEB5BB0"/>
    <w:rsid w:val="6EEE1EFE"/>
    <w:rsid w:val="6EFC216B"/>
    <w:rsid w:val="6F1F5674"/>
    <w:rsid w:val="6F2D2705"/>
    <w:rsid w:val="6F4404C5"/>
    <w:rsid w:val="6F661FE4"/>
    <w:rsid w:val="6F9B10F5"/>
    <w:rsid w:val="6FA81DDD"/>
    <w:rsid w:val="6FB52F85"/>
    <w:rsid w:val="6FE6726B"/>
    <w:rsid w:val="6FE756C2"/>
    <w:rsid w:val="6FF224D1"/>
    <w:rsid w:val="6FFD49D5"/>
    <w:rsid w:val="701E0F4A"/>
    <w:rsid w:val="70250C6C"/>
    <w:rsid w:val="702630D8"/>
    <w:rsid w:val="702704BF"/>
    <w:rsid w:val="70301AC4"/>
    <w:rsid w:val="703D4D18"/>
    <w:rsid w:val="704666C2"/>
    <w:rsid w:val="70484EC6"/>
    <w:rsid w:val="706968CA"/>
    <w:rsid w:val="70724A91"/>
    <w:rsid w:val="708854EF"/>
    <w:rsid w:val="70945799"/>
    <w:rsid w:val="70B96E8D"/>
    <w:rsid w:val="70FB764A"/>
    <w:rsid w:val="71072464"/>
    <w:rsid w:val="710817EE"/>
    <w:rsid w:val="712313FD"/>
    <w:rsid w:val="71251901"/>
    <w:rsid w:val="71426B05"/>
    <w:rsid w:val="71435219"/>
    <w:rsid w:val="715618F0"/>
    <w:rsid w:val="71570FAB"/>
    <w:rsid w:val="71610F1B"/>
    <w:rsid w:val="7199260E"/>
    <w:rsid w:val="71AE1208"/>
    <w:rsid w:val="71BE7E9D"/>
    <w:rsid w:val="71EE3DDA"/>
    <w:rsid w:val="71F31FD4"/>
    <w:rsid w:val="72045CCE"/>
    <w:rsid w:val="72452A2C"/>
    <w:rsid w:val="72646220"/>
    <w:rsid w:val="726952A2"/>
    <w:rsid w:val="72777217"/>
    <w:rsid w:val="72847166"/>
    <w:rsid w:val="728B1977"/>
    <w:rsid w:val="72945A1B"/>
    <w:rsid w:val="72983057"/>
    <w:rsid w:val="72D94790"/>
    <w:rsid w:val="73023120"/>
    <w:rsid w:val="730B7366"/>
    <w:rsid w:val="732C03BE"/>
    <w:rsid w:val="73483892"/>
    <w:rsid w:val="734E7A1D"/>
    <w:rsid w:val="7350506A"/>
    <w:rsid w:val="735113A8"/>
    <w:rsid w:val="73525A20"/>
    <w:rsid w:val="7357748F"/>
    <w:rsid w:val="73783BE7"/>
    <w:rsid w:val="737C197C"/>
    <w:rsid w:val="737C5930"/>
    <w:rsid w:val="739117FE"/>
    <w:rsid w:val="73A10219"/>
    <w:rsid w:val="73B81868"/>
    <w:rsid w:val="73BA2008"/>
    <w:rsid w:val="73BD7F75"/>
    <w:rsid w:val="73D71525"/>
    <w:rsid w:val="73E27605"/>
    <w:rsid w:val="73F04C8A"/>
    <w:rsid w:val="740A527B"/>
    <w:rsid w:val="7413163D"/>
    <w:rsid w:val="741848D2"/>
    <w:rsid w:val="74224C81"/>
    <w:rsid w:val="74327333"/>
    <w:rsid w:val="74494E20"/>
    <w:rsid w:val="746D5B7C"/>
    <w:rsid w:val="746F10F0"/>
    <w:rsid w:val="7473106F"/>
    <w:rsid w:val="748214C9"/>
    <w:rsid w:val="74830473"/>
    <w:rsid w:val="748343B6"/>
    <w:rsid w:val="7490682C"/>
    <w:rsid w:val="74957524"/>
    <w:rsid w:val="74B37CA4"/>
    <w:rsid w:val="74B91264"/>
    <w:rsid w:val="74BB7635"/>
    <w:rsid w:val="74BB7CD2"/>
    <w:rsid w:val="74CD31C8"/>
    <w:rsid w:val="74D1718D"/>
    <w:rsid w:val="74D2710C"/>
    <w:rsid w:val="74E82FF1"/>
    <w:rsid w:val="752404C1"/>
    <w:rsid w:val="752C3235"/>
    <w:rsid w:val="753820DF"/>
    <w:rsid w:val="75847BA9"/>
    <w:rsid w:val="75976297"/>
    <w:rsid w:val="759B61E4"/>
    <w:rsid w:val="75E06F6E"/>
    <w:rsid w:val="76184A54"/>
    <w:rsid w:val="7619489B"/>
    <w:rsid w:val="76501F91"/>
    <w:rsid w:val="766F2E35"/>
    <w:rsid w:val="768802BE"/>
    <w:rsid w:val="768B2DAF"/>
    <w:rsid w:val="7691205A"/>
    <w:rsid w:val="769C16AE"/>
    <w:rsid w:val="76A93D14"/>
    <w:rsid w:val="76B37E9F"/>
    <w:rsid w:val="76C85A2E"/>
    <w:rsid w:val="76E21AC2"/>
    <w:rsid w:val="76E95E41"/>
    <w:rsid w:val="76EC257D"/>
    <w:rsid w:val="77160B23"/>
    <w:rsid w:val="77672CC1"/>
    <w:rsid w:val="77781184"/>
    <w:rsid w:val="77851F28"/>
    <w:rsid w:val="778A7A9E"/>
    <w:rsid w:val="778B26E3"/>
    <w:rsid w:val="778E16A8"/>
    <w:rsid w:val="779D038D"/>
    <w:rsid w:val="77B17BC9"/>
    <w:rsid w:val="77D34B77"/>
    <w:rsid w:val="77D43742"/>
    <w:rsid w:val="77E9791D"/>
    <w:rsid w:val="77EA11AE"/>
    <w:rsid w:val="7806686B"/>
    <w:rsid w:val="78231089"/>
    <w:rsid w:val="783C4886"/>
    <w:rsid w:val="78601091"/>
    <w:rsid w:val="7864163A"/>
    <w:rsid w:val="786A3CA7"/>
    <w:rsid w:val="787D239E"/>
    <w:rsid w:val="78844EFD"/>
    <w:rsid w:val="788D1EB3"/>
    <w:rsid w:val="78966120"/>
    <w:rsid w:val="789E6BA4"/>
    <w:rsid w:val="78B72817"/>
    <w:rsid w:val="78C53A3D"/>
    <w:rsid w:val="78CA4734"/>
    <w:rsid w:val="78CF5D49"/>
    <w:rsid w:val="78F9181C"/>
    <w:rsid w:val="791169A5"/>
    <w:rsid w:val="7913332D"/>
    <w:rsid w:val="79136649"/>
    <w:rsid w:val="792806A6"/>
    <w:rsid w:val="792D613D"/>
    <w:rsid w:val="794E3B58"/>
    <w:rsid w:val="79834DBB"/>
    <w:rsid w:val="79F276B4"/>
    <w:rsid w:val="79FA0714"/>
    <w:rsid w:val="7A3A3B10"/>
    <w:rsid w:val="7A691516"/>
    <w:rsid w:val="7AD87FBE"/>
    <w:rsid w:val="7B0E013E"/>
    <w:rsid w:val="7B2927C1"/>
    <w:rsid w:val="7B811C64"/>
    <w:rsid w:val="7B9B3675"/>
    <w:rsid w:val="7B9C6873"/>
    <w:rsid w:val="7BB04B1E"/>
    <w:rsid w:val="7BC00E6F"/>
    <w:rsid w:val="7BEA7737"/>
    <w:rsid w:val="7BFC4335"/>
    <w:rsid w:val="7C421C4B"/>
    <w:rsid w:val="7C4C0EE9"/>
    <w:rsid w:val="7C524D5A"/>
    <w:rsid w:val="7C615002"/>
    <w:rsid w:val="7C6F1CA9"/>
    <w:rsid w:val="7C7948A4"/>
    <w:rsid w:val="7C7F6B25"/>
    <w:rsid w:val="7C92500C"/>
    <w:rsid w:val="7C950D10"/>
    <w:rsid w:val="7CB22B94"/>
    <w:rsid w:val="7CB52687"/>
    <w:rsid w:val="7CBD7EA1"/>
    <w:rsid w:val="7CF049E6"/>
    <w:rsid w:val="7D4D2B5C"/>
    <w:rsid w:val="7D6F2CEF"/>
    <w:rsid w:val="7D8B31EC"/>
    <w:rsid w:val="7DA913BD"/>
    <w:rsid w:val="7DAC4AB3"/>
    <w:rsid w:val="7DBD21DE"/>
    <w:rsid w:val="7DBD6B33"/>
    <w:rsid w:val="7DDA0276"/>
    <w:rsid w:val="7DDD2AC0"/>
    <w:rsid w:val="7DE646E6"/>
    <w:rsid w:val="7E0E7939"/>
    <w:rsid w:val="7E0F54FB"/>
    <w:rsid w:val="7E203811"/>
    <w:rsid w:val="7E344208"/>
    <w:rsid w:val="7E4460C3"/>
    <w:rsid w:val="7E4821E4"/>
    <w:rsid w:val="7E524171"/>
    <w:rsid w:val="7E6A23AA"/>
    <w:rsid w:val="7E720B3F"/>
    <w:rsid w:val="7E795817"/>
    <w:rsid w:val="7E7A7C5E"/>
    <w:rsid w:val="7E837FB0"/>
    <w:rsid w:val="7E8E28A5"/>
    <w:rsid w:val="7E945C93"/>
    <w:rsid w:val="7E9607E8"/>
    <w:rsid w:val="7EAE74DC"/>
    <w:rsid w:val="7EB770FE"/>
    <w:rsid w:val="7ED33DFB"/>
    <w:rsid w:val="7EF51CB2"/>
    <w:rsid w:val="7F18779F"/>
    <w:rsid w:val="7F46377F"/>
    <w:rsid w:val="7F490034"/>
    <w:rsid w:val="7F4926C6"/>
    <w:rsid w:val="7F5833AF"/>
    <w:rsid w:val="7F9E4C4A"/>
    <w:rsid w:val="7F9E7A9A"/>
    <w:rsid w:val="7FC06AA2"/>
    <w:rsid w:val="7FCB772D"/>
    <w:rsid w:val="7FFB0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40" w:lineRule="auto"/>
      <w:ind w:firstLine="420" w:firstLineChars="100"/>
    </w:pPr>
    <w:rPr>
      <w:rFonts w:ascii="Calibri" w:hAnsi="Calibri"/>
      <w:sz w:val="22"/>
      <w:szCs w:val="22"/>
    </w:rPr>
  </w:style>
  <w:style w:type="paragraph" w:styleId="3">
    <w:name w:val="Body Text"/>
    <w:basedOn w:val="1"/>
    <w:qFormat/>
    <w:uiPriority w:val="0"/>
    <w:pPr>
      <w:spacing w:line="360" w:lineRule="exact"/>
    </w:pPr>
    <w:rPr>
      <w:sz w:val="24"/>
    </w:rPr>
  </w:style>
  <w:style w:type="paragraph" w:styleId="6">
    <w:name w:val="List Number"/>
    <w:basedOn w:val="1"/>
    <w:qFormat/>
    <w:uiPriority w:val="0"/>
    <w:pPr>
      <w:numPr>
        <w:ilvl w:val="0"/>
        <w:numId w:val="1"/>
      </w:numPr>
    </w:p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 w:rightChars="12" w:firstLine="720" w:firstLineChars="300"/>
      <w:jc w:val="left"/>
    </w:pPr>
    <w:rPr>
      <w:rFonts w:ascii="宋体"/>
      <w:color w:val="000000"/>
      <w:kern w:val="0"/>
      <w:sz w:val="24"/>
      <w:szCs w:val="20"/>
    </w:rPr>
  </w:style>
  <w:style w:type="paragraph" w:styleId="9">
    <w:name w:val="caption"/>
    <w:basedOn w:val="1"/>
    <w:next w:val="1"/>
    <w:semiHidden/>
    <w:unhideWhenUsed/>
    <w:qFormat/>
    <w:uiPriority w:val="0"/>
    <w:pPr>
      <w:spacing w:before="152" w:after="160"/>
    </w:pPr>
    <w:rPr>
      <w:rFonts w:ascii="Arial" w:hAnsi="Arial" w:eastAsia="黑体" w:cs="Arial"/>
      <w:sz w:val="20"/>
      <w:szCs w:val="20"/>
    </w:rPr>
  </w:style>
  <w:style w:type="paragraph" w:styleId="10">
    <w:name w:val="annotation text"/>
    <w:basedOn w:val="1"/>
    <w:qFormat/>
    <w:uiPriority w:val="0"/>
    <w:pPr>
      <w:jc w:val="left"/>
    </w:pPr>
  </w:style>
  <w:style w:type="paragraph" w:styleId="11">
    <w:name w:val="Plain Text"/>
    <w:basedOn w:val="1"/>
    <w:next w:val="12"/>
    <w:link w:val="35"/>
    <w:qFormat/>
    <w:uiPriority w:val="99"/>
    <w:rPr>
      <w:rFonts w:ascii="宋体" w:hAnsi="Courier New" w:cstheme="minorBidi"/>
    </w:rPr>
  </w:style>
  <w:style w:type="paragraph" w:styleId="12">
    <w:name w:val="Date"/>
    <w:basedOn w:val="1"/>
    <w:next w:val="1"/>
    <w:qFormat/>
    <w:uiPriority w:val="0"/>
    <w:rPr>
      <w:rFonts w:ascii="宋体"/>
      <w:color w:val="000000"/>
      <w:kern w:val="0"/>
      <w:sz w:val="24"/>
    </w:rPr>
  </w:style>
  <w:style w:type="paragraph" w:styleId="13">
    <w:name w:val="Body Text Indent 2"/>
    <w:basedOn w:val="1"/>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60" w:lineRule="auto"/>
      <w:ind w:right="25" w:rightChars="12" w:firstLine="360" w:firstLineChars="150"/>
      <w:jc w:val="left"/>
    </w:pPr>
    <w:rPr>
      <w:rFonts w:ascii="宋体"/>
      <w:color w:val="000000"/>
      <w:kern w:val="0"/>
      <w:sz w:val="24"/>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List"/>
    <w:basedOn w:val="1"/>
    <w:qFormat/>
    <w:uiPriority w:val="0"/>
    <w:pPr>
      <w:ind w:left="200" w:hanging="200" w:hangingChars="200"/>
    </w:pPr>
    <w:rPr>
      <w:sz w:val="28"/>
    </w:rPr>
  </w:style>
  <w:style w:type="paragraph" w:styleId="17">
    <w:name w:val="toc 2"/>
    <w:basedOn w:val="1"/>
    <w:next w:val="1"/>
    <w:qFormat/>
    <w:uiPriority w:val="0"/>
    <w:pPr>
      <w:spacing w:line="360" w:lineRule="auto"/>
      <w:ind w:left="210" w:leftChars="100" w:firstLine="472" w:firstLineChars="196"/>
      <w:jc w:val="left"/>
    </w:pPr>
    <w:rPr>
      <w:rFonts w:ascii="宋体" w:hAnsi="宋体"/>
      <w:b/>
      <w:sz w:val="24"/>
    </w:rPr>
  </w:style>
  <w:style w:type="paragraph" w:styleId="1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9">
    <w:name w:val="Title"/>
    <w:basedOn w:val="1"/>
    <w:next w:val="1"/>
    <w:link w:val="42"/>
    <w:qFormat/>
    <w:uiPriority w:val="0"/>
    <w:pPr>
      <w:spacing w:before="240" w:after="60"/>
      <w:jc w:val="center"/>
      <w:outlineLvl w:val="0"/>
    </w:pPr>
    <w:rPr>
      <w:rFonts w:asciiTheme="majorHAnsi" w:hAnsiTheme="majorHAnsi" w:cstheme="majorBidi"/>
      <w:b/>
      <w:bCs/>
      <w:sz w:val="32"/>
      <w:szCs w:val="32"/>
    </w:rPr>
  </w:style>
  <w:style w:type="paragraph" w:styleId="20">
    <w:name w:val="Body Text First Indent 2"/>
    <w:basedOn w:val="8"/>
    <w:next w:val="21"/>
    <w:qFormat/>
    <w:uiPriority w:val="99"/>
    <w:pPr>
      <w:spacing w:after="120"/>
      <w:ind w:left="420" w:firstLine="420"/>
    </w:pPr>
    <w:rPr>
      <w:rFonts w:cs="Arial Unicode MS"/>
      <w:spacing w:val="-4"/>
      <w:kern w:val="2"/>
      <w:sz w:val="21"/>
      <w:szCs w:val="21"/>
    </w:rPr>
  </w:style>
  <w:style w:type="paragraph" w:customStyle="1" w:styleId="21">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正文_14"/>
    <w:qFormat/>
    <w:uiPriority w:val="0"/>
    <w:rPr>
      <w:rFonts w:ascii="Times New Roman" w:hAnsi="Times New Roman" w:eastAsia="宋体" w:cs="Times New Roman"/>
      <w:sz w:val="21"/>
      <w:lang w:val="en-US" w:eastAsia="zh-CN" w:bidi="ar-SA"/>
    </w:rPr>
  </w:style>
  <w:style w:type="paragraph" w:customStyle="1" w:styleId="3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纯文本 Char"/>
    <w:basedOn w:val="24"/>
    <w:link w:val="11"/>
    <w:qFormat/>
    <w:uiPriority w:val="99"/>
    <w:rPr>
      <w:rFonts w:ascii="宋体" w:hAnsi="Courier New" w:eastAsia="宋体"/>
      <w:kern w:val="2"/>
      <w:sz w:val="21"/>
      <w:szCs w:val="24"/>
    </w:rPr>
  </w:style>
  <w:style w:type="paragraph" w:customStyle="1" w:styleId="36">
    <w:name w:val="纯文本_0_1"/>
    <w:basedOn w:val="1"/>
    <w:qFormat/>
    <w:uiPriority w:val="0"/>
    <w:pPr>
      <w:widowControl/>
      <w:jc w:val="left"/>
    </w:pPr>
    <w:rPr>
      <w:rFonts w:ascii="宋体" w:hAnsi="Courier New" w:eastAsiaTheme="minorEastAsia" w:cstheme="minorBidi"/>
      <w:szCs w:val="21"/>
    </w:rPr>
  </w:style>
  <w:style w:type="paragraph" w:customStyle="1" w:styleId="37">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纯文本_3"/>
    <w:basedOn w:val="34"/>
    <w:qFormat/>
    <w:uiPriority w:val="0"/>
    <w:pPr>
      <w:widowControl/>
      <w:jc w:val="left"/>
    </w:pPr>
    <w:rPr>
      <w:rFonts w:ascii="宋体" w:hAnsi="Courier New" w:eastAsiaTheme="minorEastAsia" w:cstheme="minorBidi"/>
      <w:szCs w:val="21"/>
    </w:rPr>
  </w:style>
  <w:style w:type="character" w:customStyle="1" w:styleId="42">
    <w:name w:val="标题 Char"/>
    <w:basedOn w:val="24"/>
    <w:link w:val="19"/>
    <w:qFormat/>
    <w:uiPriority w:val="0"/>
    <w:rPr>
      <w:rFonts w:asciiTheme="majorHAnsi" w:hAnsiTheme="majorHAnsi" w:cstheme="majorBidi"/>
      <w:b/>
      <w:bCs/>
      <w:kern w:val="2"/>
      <w:sz w:val="32"/>
      <w:szCs w:val="32"/>
    </w:rPr>
  </w:style>
  <w:style w:type="character" w:customStyle="1" w:styleId="43">
    <w:name w:val="标题 2 Char"/>
    <w:basedOn w:val="24"/>
    <w:link w:val="4"/>
    <w:qFormat/>
    <w:uiPriority w:val="0"/>
    <w:rPr>
      <w:rFonts w:asciiTheme="majorHAnsi" w:hAnsiTheme="majorHAnsi" w:eastAsiaTheme="majorEastAsia" w:cstheme="majorBidi"/>
      <w:b/>
      <w:bCs/>
      <w:kern w:val="2"/>
      <w:sz w:val="32"/>
      <w:szCs w:val="32"/>
    </w:rPr>
  </w:style>
  <w:style w:type="paragraph" w:customStyle="1" w:styleId="44">
    <w:name w:val="Body Text First Indent 21"/>
    <w:basedOn w:val="45"/>
    <w:qFormat/>
    <w:uiPriority w:val="0"/>
    <w:pPr>
      <w:ind w:firstLine="420"/>
    </w:pPr>
  </w:style>
  <w:style w:type="paragraph" w:customStyle="1" w:styleId="45">
    <w:name w:val="Body Text Indent1"/>
    <w:basedOn w:val="1"/>
    <w:qFormat/>
    <w:uiPriority w:val="0"/>
    <w:pPr>
      <w:ind w:left="420" w:leftChars="200"/>
    </w:pPr>
  </w:style>
  <w:style w:type="paragraph" w:customStyle="1" w:styleId="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投标正文"/>
    <w:basedOn w:val="1"/>
    <w:qFormat/>
    <w:uiPriority w:val="0"/>
    <w:pPr>
      <w:spacing w:line="360" w:lineRule="auto"/>
      <w:ind w:left="100" w:firstLine="480" w:firstLineChars="200"/>
    </w:pPr>
    <w:rPr>
      <w:rFonts w:ascii="Calibri" w:hAnsi="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2304</Words>
  <Characters>13133</Characters>
  <Lines>109</Lines>
  <Paragraphs>30</Paragraphs>
  <TotalTime>9</TotalTime>
  <ScaleCrop>false</ScaleCrop>
  <LinksUpToDate>false</LinksUpToDate>
  <CharactersWithSpaces>15407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2020-10-22T06:46:00Z</dcterms:created>
  <dc:creator>S-mile</dc:creator>
  <cp:lastModifiedBy>吴越</cp:lastModifiedBy>
  <cp:lastPrinted>2020-11-23T02:06:00Z</cp:lastPrinted>
  <dcterms:modified xsi:type="dcterms:W3CDTF">2021-06-17T08:29:35Z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92040DEA23564BA4BB686411EA967FDE</vt:lpwstr>
  </property>
</Properties>
</file>