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1404" w:firstLineChars="269"/>
        <w:rPr>
          <w:rFonts w:ascii="宋体"/>
          <w:b/>
          <w:color w:val="auto"/>
          <w:kern w:val="0"/>
          <w:sz w:val="52"/>
          <w:highlight w:val="none"/>
        </w:rPr>
      </w:pPr>
      <w:r>
        <w:rPr>
          <w:rFonts w:hint="eastAsia" w:ascii="宋体" w:hAnsi="宋体" w:cs="宋体"/>
          <w:b/>
          <w:color w:val="auto"/>
          <w:kern w:val="0"/>
          <w:sz w:val="52"/>
          <w:szCs w:val="52"/>
          <w:highlight w:val="none"/>
        </w:rPr>
        <w:t xml:space="preserve">三 门 县 </w:t>
      </w:r>
      <w:r>
        <w:rPr>
          <w:rFonts w:hint="eastAsia" w:ascii="宋体"/>
          <w:b/>
          <w:color w:val="auto"/>
          <w:kern w:val="0"/>
          <w:sz w:val="52"/>
          <w:highlight w:val="none"/>
        </w:rPr>
        <w:t>政 府 采 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960" w:firstLineChars="7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r>
        <w:rPr>
          <w:rFonts w:hint="eastAsia" w:ascii="宋体" w:cs="宋体"/>
          <w:color w:val="auto"/>
          <w:sz w:val="24"/>
          <w:highlight w:val="none"/>
        </w:rPr>
        <w:t>三招采-202</w:t>
      </w:r>
      <w:r>
        <w:rPr>
          <w:rFonts w:hint="eastAsia" w:ascii="宋体" w:cs="宋体"/>
          <w:color w:val="auto"/>
          <w:sz w:val="24"/>
          <w:highlight w:val="none"/>
          <w:lang w:val="en-US" w:eastAsia="zh-CN"/>
        </w:rPr>
        <w:t>1</w:t>
      </w:r>
      <w:r>
        <w:rPr>
          <w:rFonts w:hint="eastAsia" w:ascii="宋体" w:cs="宋体"/>
          <w:color w:val="auto"/>
          <w:sz w:val="24"/>
          <w:highlight w:val="none"/>
        </w:rPr>
        <w:t>-CS</w:t>
      </w:r>
      <w:r>
        <w:rPr>
          <w:rFonts w:hint="eastAsia" w:ascii="宋体" w:cs="宋体"/>
          <w:color w:val="auto"/>
          <w:sz w:val="24"/>
          <w:highlight w:val="none"/>
          <w:lang w:val="en-US" w:eastAsia="zh-CN"/>
        </w:rPr>
        <w:t>001</w:t>
      </w:r>
      <w:r>
        <w:rPr>
          <w:rFonts w:hint="eastAsia" w:ascii="宋体" w:cs="宋体"/>
          <w:color w:val="auto"/>
          <w:sz w:val="24"/>
          <w:highlight w:val="none"/>
        </w:rPr>
        <w:t xml:space="preserve">      </w:t>
      </w:r>
      <w:r>
        <w:rPr>
          <w:rFonts w:hint="eastAsia" w:ascii="宋体" w:hAnsi="宋体" w:cs="宋体"/>
          <w:color w:val="auto"/>
          <w:kern w:val="0"/>
          <w:sz w:val="28"/>
          <w:szCs w:val="28"/>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采购项目：三门县2020年国土变更调查项目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960" w:firstLineChars="700"/>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960" w:firstLineChars="700"/>
        <w:rPr>
          <w:rFonts w:ascii="宋体" w:hAnsi="宋体" w:cs="宋体"/>
          <w:color w:val="auto"/>
          <w:kern w:val="0"/>
          <w:sz w:val="28"/>
          <w:szCs w:val="28"/>
          <w:highlight w:val="none"/>
        </w:rPr>
      </w:pPr>
    </w:p>
    <w:p>
      <w:pPr>
        <w:pStyle w:val="3"/>
        <w:rPr>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960" w:firstLineChars="7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采购人：三门县自然资源和规划局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采购代理机构： 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84" w:firstLine="1680" w:firstLineChars="600"/>
        <w:rPr>
          <w:rFonts w:ascii="宋体" w:hAnsi="宋体" w:cs="宋体"/>
          <w:color w:val="auto"/>
          <w:kern w:val="0"/>
          <w:sz w:val="28"/>
          <w:szCs w:val="28"/>
          <w:highlight w:val="none"/>
        </w:rPr>
      </w:pPr>
      <w:r>
        <w:rPr>
          <w:rFonts w:hint="eastAsia" w:ascii="宋体" w:hAnsi="宋体"/>
          <w:color w:val="auto"/>
          <w:sz w:val="28"/>
          <w:szCs w:val="28"/>
          <w:highlight w:val="none"/>
          <w:lang w:eastAsia="zh-CN"/>
        </w:rPr>
        <w:t>2021年</w:t>
      </w:r>
      <w:r>
        <w:rPr>
          <w:rFonts w:hint="eastAsia" w:ascii="宋体" w:hAnsi="宋体" w:cs="宋体"/>
          <w:color w:val="auto"/>
          <w:kern w:val="0"/>
          <w:sz w:val="28"/>
          <w:szCs w:val="28"/>
          <w:highlight w:val="none"/>
        </w:rPr>
        <w:t>1月</w:t>
      </w:r>
      <w:r>
        <w:rPr>
          <w:rFonts w:hint="eastAsia" w:ascii="宋体" w:hAnsi="宋体" w:cs="宋体"/>
          <w:color w:val="auto"/>
          <w:kern w:val="0"/>
          <w:sz w:val="28"/>
          <w:szCs w:val="28"/>
          <w:highlight w:val="none"/>
          <w:lang w:val="en-US" w:eastAsia="zh-CN"/>
        </w:rPr>
        <w:t>13</w:t>
      </w:r>
      <w:r>
        <w:rPr>
          <w:rFonts w:hint="eastAsia" w:ascii="宋体" w:hAnsi="宋体" w:cs="宋体"/>
          <w:color w:val="auto"/>
          <w:kern w:val="0"/>
          <w:sz w:val="28"/>
          <w:szCs w:val="28"/>
          <w:highlight w:val="none"/>
        </w:rPr>
        <w:t>日</w:t>
      </w:r>
    </w:p>
    <w:p>
      <w:pPr>
        <w:jc w:val="center"/>
        <w:rPr>
          <w:rFonts w:ascii="宋体" w:hAnsi="宋体" w:cs="Arial"/>
          <w:b/>
          <w:bCs/>
          <w:color w:val="auto"/>
          <w:sz w:val="36"/>
          <w:szCs w:val="36"/>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ind w:left="960"/>
        <w:rPr>
          <w:rFonts w:ascii="宋体" w:hAnsi="宋体"/>
          <w:color w:val="auto"/>
          <w:sz w:val="10"/>
          <w:highlight w:val="none"/>
        </w:rPr>
      </w:pPr>
    </w:p>
    <w:p>
      <w:pPr>
        <w:spacing w:line="360" w:lineRule="auto"/>
        <w:ind w:left="960"/>
        <w:rPr>
          <w:rFonts w:ascii="宋体" w:hAnsi="宋体"/>
          <w:color w:val="auto"/>
          <w:sz w:val="10"/>
          <w:highlight w:val="none"/>
        </w:rPr>
      </w:pPr>
    </w:p>
    <w:p>
      <w:pPr>
        <w:numPr>
          <w:ilvl w:val="0"/>
          <w:numId w:val="1"/>
        </w:numPr>
        <w:tabs>
          <w:tab w:val="left" w:pos="600"/>
          <w:tab w:val="clear" w:pos="960"/>
        </w:tabs>
        <w:spacing w:line="480" w:lineRule="auto"/>
        <w:ind w:left="0" w:firstLine="0"/>
        <w:rPr>
          <w:rFonts w:ascii="宋体" w:hAnsi="宋体"/>
          <w:b/>
          <w:color w:val="auto"/>
          <w:sz w:val="28"/>
          <w:szCs w:val="28"/>
          <w:highlight w:val="none"/>
        </w:rPr>
      </w:pPr>
      <w:r>
        <w:rPr>
          <w:rFonts w:hint="eastAsia" w:ascii="新宋体" w:hAnsi="新宋体" w:eastAsia="新宋体"/>
          <w:b/>
          <w:color w:val="auto"/>
          <w:sz w:val="28"/>
          <w:szCs w:val="28"/>
          <w:highlight w:val="none"/>
        </w:rPr>
        <w:t>竞争性</w:t>
      </w:r>
      <w:r>
        <w:rPr>
          <w:rFonts w:ascii="宋体" w:hAnsi="宋体"/>
          <w:b/>
          <w:color w:val="auto"/>
          <w:sz w:val="28"/>
          <w:szCs w:val="28"/>
          <w:highlight w:val="none"/>
        </w:rPr>
        <w:t>磋商</w:t>
      </w:r>
      <w:r>
        <w:rPr>
          <w:rFonts w:hint="eastAsia" w:ascii="宋体" w:hAnsi="宋体"/>
          <w:b/>
          <w:color w:val="auto"/>
          <w:sz w:val="28"/>
          <w:szCs w:val="28"/>
          <w:highlight w:val="none"/>
        </w:rPr>
        <w:t>公告—————————————--—-----—3</w:t>
      </w:r>
    </w:p>
    <w:p>
      <w:pPr>
        <w:numPr>
          <w:ilvl w:val="0"/>
          <w:numId w:val="1"/>
        </w:numPr>
        <w:tabs>
          <w:tab w:val="left" w:pos="600"/>
          <w:tab w:val="clear" w:pos="960"/>
        </w:tabs>
        <w:spacing w:line="480" w:lineRule="auto"/>
        <w:ind w:left="0" w:firstLine="0"/>
        <w:rPr>
          <w:rFonts w:ascii="宋体" w:hAnsi="宋体"/>
          <w:b/>
          <w:color w:val="auto"/>
          <w:sz w:val="28"/>
          <w:szCs w:val="28"/>
          <w:highlight w:val="none"/>
        </w:rPr>
      </w:pPr>
      <w:r>
        <w:rPr>
          <w:rFonts w:hint="eastAsia" w:ascii="新宋体" w:hAnsi="新宋体" w:eastAsia="新宋体"/>
          <w:b/>
          <w:color w:val="auto"/>
          <w:sz w:val="28"/>
          <w:szCs w:val="28"/>
          <w:highlight w:val="none"/>
        </w:rPr>
        <w:t>供应商</w:t>
      </w:r>
      <w:r>
        <w:rPr>
          <w:rFonts w:hint="eastAsia" w:ascii="宋体" w:hAnsi="宋体"/>
          <w:b/>
          <w:color w:val="auto"/>
          <w:sz w:val="28"/>
          <w:szCs w:val="28"/>
          <w:highlight w:val="none"/>
        </w:rPr>
        <w:t>须知————————————----------—---—6</w:t>
      </w:r>
    </w:p>
    <w:p>
      <w:pPr>
        <w:numPr>
          <w:ilvl w:val="0"/>
          <w:numId w:val="1"/>
        </w:numPr>
        <w:tabs>
          <w:tab w:val="left" w:pos="600"/>
          <w:tab w:val="clear" w:pos="960"/>
        </w:tabs>
        <w:spacing w:line="480" w:lineRule="auto"/>
        <w:ind w:left="0" w:firstLine="0"/>
        <w:rPr>
          <w:rFonts w:ascii="宋体" w:hAnsi="宋体"/>
          <w:b/>
          <w:color w:val="auto"/>
          <w:sz w:val="28"/>
          <w:szCs w:val="28"/>
          <w:highlight w:val="none"/>
        </w:rPr>
      </w:pPr>
      <w:r>
        <w:rPr>
          <w:rFonts w:hint="eastAsia" w:ascii="新宋体" w:hAnsi="新宋体" w:eastAsia="新宋体"/>
          <w:b/>
          <w:color w:val="auto"/>
          <w:sz w:val="28"/>
          <w:szCs w:val="28"/>
          <w:highlight w:val="none"/>
        </w:rPr>
        <w:t>评审办法及评审标准</w:t>
      </w:r>
      <w:r>
        <w:rPr>
          <w:rFonts w:hint="eastAsia" w:ascii="宋体" w:hAnsi="宋体"/>
          <w:b/>
          <w:color w:val="auto"/>
          <w:sz w:val="28"/>
          <w:szCs w:val="28"/>
          <w:highlight w:val="none"/>
        </w:rPr>
        <w:t>———————————----—----1</w:t>
      </w:r>
      <w:r>
        <w:rPr>
          <w:rFonts w:hint="eastAsia" w:ascii="宋体" w:hAnsi="宋体"/>
          <w:b/>
          <w:color w:val="auto"/>
          <w:sz w:val="28"/>
          <w:szCs w:val="28"/>
          <w:highlight w:val="none"/>
          <w:lang w:val="en-US" w:eastAsia="zh-CN"/>
        </w:rPr>
        <w:t>8</w:t>
      </w:r>
    </w:p>
    <w:p>
      <w:pPr>
        <w:numPr>
          <w:ilvl w:val="0"/>
          <w:numId w:val="1"/>
        </w:numPr>
        <w:tabs>
          <w:tab w:val="left" w:pos="600"/>
          <w:tab w:val="clear" w:pos="960"/>
        </w:tabs>
        <w:spacing w:line="480" w:lineRule="auto"/>
        <w:ind w:left="0" w:firstLine="0"/>
        <w:rPr>
          <w:rFonts w:ascii="宋体" w:hAnsi="宋体"/>
          <w:b/>
          <w:color w:val="auto"/>
          <w:sz w:val="28"/>
          <w:szCs w:val="28"/>
          <w:highlight w:val="none"/>
        </w:rPr>
      </w:pPr>
      <w:r>
        <w:rPr>
          <w:rFonts w:hint="eastAsia" w:ascii="宋体" w:hAnsi="宋体"/>
          <w:b/>
          <w:color w:val="auto"/>
          <w:sz w:val="28"/>
          <w:szCs w:val="28"/>
          <w:highlight w:val="none"/>
        </w:rPr>
        <w:t>政府采购合同主要条款指引—————————————</w:t>
      </w:r>
      <w:r>
        <w:rPr>
          <w:rFonts w:hint="eastAsia" w:ascii="宋体" w:hAnsi="宋体"/>
          <w:b/>
          <w:color w:val="auto"/>
          <w:sz w:val="28"/>
          <w:szCs w:val="28"/>
          <w:highlight w:val="none"/>
          <w:lang w:val="en-US" w:eastAsia="zh-CN"/>
        </w:rPr>
        <w:t>22</w:t>
      </w:r>
    </w:p>
    <w:p>
      <w:pPr>
        <w:numPr>
          <w:ilvl w:val="0"/>
          <w:numId w:val="1"/>
        </w:numPr>
        <w:tabs>
          <w:tab w:val="left" w:pos="600"/>
          <w:tab w:val="clear" w:pos="960"/>
        </w:tabs>
        <w:spacing w:line="480" w:lineRule="auto"/>
        <w:ind w:left="0" w:firstLine="0"/>
        <w:rPr>
          <w:rFonts w:ascii="宋体" w:hAnsi="宋体"/>
          <w:b/>
          <w:color w:val="auto"/>
          <w:sz w:val="28"/>
          <w:szCs w:val="28"/>
          <w:highlight w:val="none"/>
        </w:rPr>
      </w:pPr>
      <w:r>
        <w:rPr>
          <w:rFonts w:hint="eastAsia" w:ascii="新宋体" w:hAnsi="新宋体" w:eastAsia="新宋体"/>
          <w:b/>
          <w:color w:val="auto"/>
          <w:sz w:val="28"/>
          <w:szCs w:val="28"/>
          <w:highlight w:val="none"/>
        </w:rPr>
        <w:t>响应</w:t>
      </w:r>
      <w:r>
        <w:rPr>
          <w:rFonts w:hint="eastAsia" w:ascii="宋体" w:hAnsi="宋体"/>
          <w:b/>
          <w:color w:val="auto"/>
          <w:sz w:val="28"/>
          <w:szCs w:val="28"/>
          <w:highlight w:val="none"/>
        </w:rPr>
        <w:t>文件格式附件—————————————————2</w:t>
      </w:r>
      <w:r>
        <w:rPr>
          <w:rFonts w:hint="eastAsia" w:ascii="宋体" w:hAnsi="宋体"/>
          <w:b/>
          <w:color w:val="auto"/>
          <w:sz w:val="28"/>
          <w:szCs w:val="28"/>
          <w:highlight w:val="none"/>
          <w:lang w:val="en-US" w:eastAsia="zh-CN"/>
        </w:rPr>
        <w:t>5</w:t>
      </w:r>
    </w:p>
    <w:p>
      <w:pPr>
        <w:spacing w:line="360" w:lineRule="auto"/>
        <w:rPr>
          <w:rFonts w:ascii="宋体" w:hAnsi="宋体"/>
          <w:b/>
          <w:color w:val="auto"/>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pStyle w:val="4"/>
        <w:jc w:val="center"/>
        <w:rPr>
          <w:rFonts w:ascii="宋体" w:hAnsi="宋体"/>
          <w:b w:val="0"/>
          <w:color w:val="auto"/>
          <w:sz w:val="36"/>
          <w:szCs w:val="36"/>
          <w:highlight w:val="none"/>
        </w:rPr>
      </w:pPr>
      <w:r>
        <w:rPr>
          <w:rFonts w:ascii="宋体" w:hAnsi="宋体" w:cs="宋体"/>
          <w:b w:val="0"/>
          <w:color w:val="auto"/>
          <w:kern w:val="0"/>
          <w:sz w:val="36"/>
          <w:szCs w:val="36"/>
          <w:highlight w:val="none"/>
        </w:rPr>
        <w:br w:type="page"/>
      </w:r>
      <w:r>
        <w:rPr>
          <w:rFonts w:hint="eastAsia" w:ascii="宋体" w:hAnsi="宋体"/>
          <w:bCs w:val="0"/>
          <w:color w:val="auto"/>
          <w:sz w:val="36"/>
          <w:szCs w:val="36"/>
          <w:highlight w:val="none"/>
        </w:rPr>
        <w:t>第一章 竞争性磋商公告</w:t>
      </w:r>
    </w:p>
    <w:p>
      <w:pPr>
        <w:pStyle w:val="22"/>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75" w:beforeAutospacing="0" w:after="150" w:afterAutospacing="0"/>
        <w:ind w:left="0" w:leftChars="0" w:right="0" w:rightChars="0"/>
        <w:jc w:val="left"/>
      </w:pPr>
      <w:r>
        <w:rPr>
          <w:rFonts w:hint="eastAsia" w:ascii="宋体" w:hAnsi="宋体" w:cs="宋体"/>
          <w:color w:val="auto"/>
          <w:kern w:val="0"/>
          <w:sz w:val="24"/>
          <w:highlight w:val="none"/>
        </w:rPr>
        <w:t xml:space="preserve">    </w:t>
      </w:r>
      <w:r>
        <w:rPr>
          <w:rFonts w:ascii="仿宋" w:hAnsi="仿宋" w:eastAsia="仿宋" w:cs="仿宋"/>
          <w:sz w:val="27"/>
          <w:szCs w:val="27"/>
        </w:rPr>
        <w:t>    项目概况</w:t>
      </w:r>
      <w:r>
        <w:rPr>
          <w:rFonts w:hint="eastAsia" w:ascii="仿宋" w:hAnsi="仿宋" w:eastAsia="仿宋" w:cs="仿宋"/>
        </w:rPr>
        <w:t>                                                    </w:t>
      </w:r>
    </w:p>
    <w:p>
      <w:pPr>
        <w:pStyle w:val="22"/>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75" w:beforeAutospacing="0" w:after="75" w:afterAutospacing="0"/>
        <w:ind w:left="0" w:leftChars="0" w:right="0" w:rightChars="0"/>
        <w:jc w:val="left"/>
      </w:pPr>
      <w:r>
        <w:rPr>
          <w:rFonts w:hint="eastAsia" w:ascii="仿宋" w:hAnsi="仿宋" w:eastAsia="仿宋" w:cs="仿宋"/>
          <w:sz w:val="27"/>
          <w:szCs w:val="27"/>
        </w:rPr>
        <w:t>    三门县2020年国土变更调查项目采购项目的潜在供应商应在“浙江省政府采购网”（http:// www.zjzfcg.gov.cn）和“三门县公共资源交易中心网”（ http://www.smztb.com）。获取（下载）采购文件，并于2021年01月25日 14:00（北京时间）前提交（上传）响应文件。</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31"/>
          <w:szCs w:val="31"/>
        </w:rPr>
      </w:pPr>
      <w:r>
        <w:rPr>
          <w:rStyle w:val="28"/>
          <w:rFonts w:ascii="黑体" w:hAnsi="宋体" w:eastAsia="黑体" w:cs="黑体"/>
          <w:sz w:val="27"/>
          <w:szCs w:val="27"/>
        </w:rPr>
        <w:t>一、项目基本情况</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项目编号：三招采-2021-CS001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项目名称：三门县2020年国土变更调查项目 </w:t>
      </w:r>
      <w:bookmarkStart w:id="2" w:name="_GoBack"/>
      <w:bookmarkEnd w:id="2"/>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采购方式：竞争性磋商</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预算金额（元）：800000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最高限价（元）：800000 </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仿宋"/>
        </w:rPr>
      </w:pPr>
      <w:r>
        <w:rPr>
          <w:rFonts w:hint="eastAsia" w:ascii="仿宋" w:hAnsi="仿宋" w:eastAsia="仿宋" w:cs="仿宋"/>
          <w:sz w:val="27"/>
          <w:szCs w:val="27"/>
        </w:rPr>
        <w:t>    采购需求：</w:t>
      </w:r>
      <w:r>
        <w:rPr>
          <w:rFonts w:hint="eastAsia" w:ascii="仿宋" w:hAnsi="仿宋" w:eastAsia="仿宋" w:cs="仿宋"/>
          <w:kern w:val="0"/>
          <w:sz w:val="27"/>
          <w:szCs w:val="27"/>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数量：1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预算金额（元）：800000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单位：项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简要规格描述：三门县2020年国土变更调查 （详见招标需求）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备注：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合同履约期限：标项 1，2021 年2 月20 日前，县级调查单元完成三门县国土变更调查工作，并向省自然资源厅报送变更调查更新数据增量包。（详见项目进度要求） </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本项目（否）接受联合体投标。</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27"/>
          <w:szCs w:val="27"/>
        </w:rPr>
      </w:pPr>
      <w:r>
        <w:rPr>
          <w:rStyle w:val="28"/>
          <w:rFonts w:ascii="黑体" w:hAnsi="宋体" w:eastAsia="黑体" w:cs="黑体"/>
          <w:sz w:val="27"/>
          <w:szCs w:val="27"/>
        </w:rPr>
        <w:t>二、申请人的资格要求：</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2.落实政府采购政策需满足的资格要求：无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3.本项目的特定资格要求：标项1:投标供应商的特定条件：同时具有地理信息工程乙级及以上和不动产测绘乙级及以上资质的企事业单位。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27"/>
          <w:szCs w:val="27"/>
        </w:rPr>
      </w:pPr>
      <w:r>
        <w:rPr>
          <w:rStyle w:val="28"/>
          <w:rFonts w:ascii="黑体" w:hAnsi="宋体" w:eastAsia="黑体" w:cs="黑体"/>
          <w:sz w:val="27"/>
          <w:szCs w:val="27"/>
        </w:rPr>
        <w:t>三、获取（下载）采购文件</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w:t>
      </w:r>
      <w:r>
        <w:rPr>
          <w:rFonts w:hint="eastAsia" w:ascii="仿宋" w:hAnsi="仿宋" w:eastAsia="仿宋" w:cs="仿宋"/>
          <w:sz w:val="27"/>
          <w:szCs w:val="27"/>
          <w:u w:val="none"/>
        </w:rPr>
        <w:t>时间：/至2021年01月25日，每天上午00:00至12:00，下午12:00至23:59（北京时间，线上获取法定节假日均可，线下获取文件法定节假日除外）</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地点（网址）：“浙江省政府采购网”（http:// www.zjzfcg.gov.cn）和“三门县公共资源交易中心网”（ http://www.smztb.com）。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方式：“浙江省政府采购网”（http:// www.zjzfcg.gov.cn）和“三门县公共资源交易中心网”（ http://www.smztb.com）。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售价（元）：0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27"/>
          <w:szCs w:val="27"/>
        </w:rPr>
      </w:pPr>
      <w:r>
        <w:rPr>
          <w:rStyle w:val="28"/>
          <w:rFonts w:ascii="黑体" w:hAnsi="宋体" w:eastAsia="黑体" w:cs="黑体"/>
          <w:sz w:val="27"/>
          <w:szCs w:val="27"/>
        </w:rPr>
        <w:t>四、响应文件提交（上传）</w:t>
      </w:r>
      <w:r>
        <w:rPr>
          <w:rFonts w:ascii="黑体" w:hAnsi="宋体" w:eastAsia="黑体" w:cs="黑体"/>
          <w:sz w:val="27"/>
          <w:szCs w:val="27"/>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截止时间：2021年01月25日 14:00（北京时间）</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地点（网址）：“浙江省政府采购网”（http:// www.zjzfcg.gov.cn）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27"/>
          <w:szCs w:val="27"/>
        </w:rPr>
      </w:pPr>
      <w:r>
        <w:rPr>
          <w:rStyle w:val="28"/>
          <w:rFonts w:ascii="黑体" w:hAnsi="宋体" w:eastAsia="黑体" w:cs="黑体"/>
          <w:sz w:val="27"/>
          <w:szCs w:val="27"/>
        </w:rPr>
        <w:t>五、响应文件开启</w:t>
      </w:r>
      <w:r>
        <w:rPr>
          <w:rFonts w:ascii="黑体" w:hAnsi="宋体" w:eastAsia="黑体" w:cs="黑体"/>
          <w:sz w:val="27"/>
          <w:szCs w:val="27"/>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开启时间：2021年01月25日 14:00 （北京时间）</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地点（网址）：三门县公共资源交易中心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31"/>
          <w:szCs w:val="31"/>
        </w:rPr>
      </w:pPr>
      <w:r>
        <w:rPr>
          <w:rStyle w:val="28"/>
          <w:rFonts w:ascii="黑体" w:hAnsi="宋体" w:eastAsia="黑体" w:cs="黑体"/>
          <w:sz w:val="27"/>
          <w:szCs w:val="27"/>
        </w:rPr>
        <w:t>六、公告期限</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pPr>
      <w:r>
        <w:rPr>
          <w:rFonts w:hint="eastAsia" w:ascii="仿宋" w:hAnsi="仿宋" w:eastAsia="仿宋" w:cs="仿宋"/>
          <w:sz w:val="27"/>
          <w:szCs w:val="27"/>
        </w:rPr>
        <w:t>    自本公告发布之日起3个工作日。</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ascii="黑体" w:hAnsi="宋体" w:eastAsia="黑体" w:cs="黑体"/>
          <w:sz w:val="27"/>
          <w:szCs w:val="27"/>
        </w:rPr>
      </w:pPr>
      <w:r>
        <w:rPr>
          <w:rStyle w:val="28"/>
          <w:rFonts w:ascii="黑体" w:hAnsi="宋体" w:eastAsia="黑体" w:cs="黑体"/>
          <w:sz w:val="27"/>
          <w:szCs w:val="27"/>
        </w:rPr>
        <w:t>七、其他补充事宜</w:t>
      </w:r>
      <w:r>
        <w:rPr>
          <w:rFonts w:ascii="黑体" w:hAnsi="宋体" w:eastAsia="黑体" w:cs="黑体"/>
          <w:sz w:val="27"/>
          <w:szCs w:val="27"/>
        </w:rPr>
        <w:t> </w:t>
      </w:r>
    </w:p>
    <w:p>
      <w:pPr>
        <w:spacing w:line="400" w:lineRule="exact"/>
        <w:ind w:firstLine="810" w:firstLineChars="300"/>
        <w:rPr>
          <w:rFonts w:hint="eastAsia" w:ascii="仿宋" w:hAnsi="仿宋" w:eastAsia="仿宋" w:cs="仿宋"/>
          <w:sz w:val="27"/>
          <w:szCs w:val="27"/>
        </w:rPr>
      </w:pPr>
      <w:r>
        <w:rPr>
          <w:rFonts w:hint="eastAsia" w:ascii="仿宋" w:hAnsi="仿宋" w:eastAsia="仿宋" w:cs="仿宋"/>
          <w:sz w:val="27"/>
          <w:szCs w:val="27"/>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sz w:val="27"/>
          <w:szCs w:val="27"/>
          <w:shd w:val="clear" w:fill="FFFFFF"/>
        </w:rPr>
        <w:t>对采购文件需求的以书面形式向采购人提出质疑，对其他内容的以书面形式向采购人和采购代理机构提出质疑。</w:t>
      </w:r>
      <w:r>
        <w:rPr>
          <w:rFonts w:hint="eastAsia" w:ascii="仿宋" w:hAnsi="仿宋" w:eastAsia="仿宋" w:cs="仿宋"/>
          <w:sz w:val="27"/>
          <w:szCs w:val="27"/>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2.其他事项：</w:t>
      </w:r>
    </w:p>
    <w:p>
      <w:pPr>
        <w:spacing w:line="400" w:lineRule="exact"/>
        <w:ind w:firstLine="810" w:firstLineChars="300"/>
        <w:rPr>
          <w:rFonts w:hint="eastAsia" w:ascii="仿宋" w:hAnsi="仿宋" w:eastAsia="仿宋" w:cs="仿宋"/>
          <w:sz w:val="27"/>
          <w:szCs w:val="27"/>
        </w:rPr>
      </w:pPr>
      <w:r>
        <w:rPr>
          <w:rFonts w:hint="eastAsia" w:ascii="仿宋" w:hAnsi="仿宋" w:eastAsia="仿宋" w:cs="仿宋"/>
          <w:sz w:val="27"/>
          <w:szCs w:val="27"/>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tbl>
      <w:tblPr>
        <w:tblStyle w:val="25"/>
        <w:tblW w:w="0" w:type="auto"/>
        <w:tblInd w:w="0" w:type="dxa"/>
        <w:tblLayout w:type="fixed"/>
        <w:tblCellMar>
          <w:top w:w="15" w:type="dxa"/>
          <w:left w:w="15" w:type="dxa"/>
          <w:bottom w:w="15" w:type="dxa"/>
          <w:right w:w="15" w:type="dxa"/>
        </w:tblCellMar>
      </w:tblPr>
      <w:tblGrid>
        <w:gridCol w:w="793"/>
        <w:gridCol w:w="1380"/>
        <w:gridCol w:w="137"/>
        <w:gridCol w:w="2100"/>
        <w:gridCol w:w="1440"/>
        <w:gridCol w:w="402"/>
        <w:gridCol w:w="768"/>
        <w:gridCol w:w="1635"/>
      </w:tblGrid>
      <w:tr>
        <w:tblPrEx>
          <w:tblCellMar>
            <w:top w:w="15" w:type="dxa"/>
            <w:left w:w="15" w:type="dxa"/>
            <w:bottom w:w="15" w:type="dxa"/>
            <w:right w:w="15" w:type="dxa"/>
          </w:tblCellMar>
        </w:tblPrEx>
        <w:trPr>
          <w:trHeight w:val="330" w:hRule="atLeast"/>
        </w:trPr>
        <w:tc>
          <w:tcPr>
            <w:tcW w:w="865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8"/>
                <w:szCs w:val="28"/>
                <w:highlight w:val="none"/>
              </w:rPr>
            </w:pPr>
            <w:r>
              <w:rPr>
                <w:rFonts w:hint="eastAsia" w:ascii="宋体" w:hAnsi="宋体" w:cs="Arial"/>
                <w:color w:val="auto"/>
                <w:sz w:val="24"/>
                <w:highlight w:val="none"/>
              </w:rPr>
              <w:t>政采贷联系方式</w:t>
            </w:r>
          </w:p>
        </w:tc>
      </w:tr>
      <w:tr>
        <w:tblPrEx>
          <w:tblCellMar>
            <w:top w:w="15" w:type="dxa"/>
            <w:left w:w="15" w:type="dxa"/>
            <w:bottom w:w="15" w:type="dxa"/>
            <w:right w:w="15" w:type="dxa"/>
          </w:tblCellMar>
        </w:tblPrEx>
        <w:trPr>
          <w:trHeight w:val="394"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color w:val="auto"/>
                <w:sz w:val="24"/>
                <w:highlight w:val="none"/>
              </w:rPr>
            </w:pPr>
            <w:r>
              <w:rPr>
                <w:rFonts w:hint="eastAsia" w:ascii="宋体" w:hAnsi="宋体" w:cs="Arial"/>
                <w:color w:val="auto"/>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color w:val="auto"/>
                <w:sz w:val="24"/>
                <w:highlight w:val="none"/>
              </w:rPr>
            </w:pPr>
            <w:r>
              <w:rPr>
                <w:rFonts w:hint="eastAsia" w:ascii="宋体" w:hAnsi="宋体" w:cs="Arial"/>
                <w:color w:val="auto"/>
                <w:sz w:val="24"/>
                <w:highlight w:val="none"/>
              </w:rPr>
              <w:t>银行简称</w:t>
            </w:r>
          </w:p>
        </w:tc>
        <w:tc>
          <w:tcPr>
            <w:tcW w:w="22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贷款年利率</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color w:val="auto"/>
                <w:sz w:val="24"/>
                <w:highlight w:val="none"/>
              </w:rPr>
            </w:pPr>
            <w:r>
              <w:rPr>
                <w:rFonts w:hint="eastAsia" w:ascii="宋体" w:hAnsi="宋体" w:cs="Arial"/>
                <w:color w:val="auto"/>
                <w:sz w:val="24"/>
                <w:highlight w:val="none"/>
              </w:rPr>
              <w:t>政采贷联系人</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   联系电话</w:t>
            </w:r>
          </w:p>
        </w:tc>
      </w:tr>
      <w:tr>
        <w:tblPrEx>
          <w:tblCellMar>
            <w:top w:w="15" w:type="dxa"/>
            <w:left w:w="15" w:type="dxa"/>
            <w:bottom w:w="15" w:type="dxa"/>
            <w:right w:w="15" w:type="dxa"/>
          </w:tblCellMar>
        </w:tblPrEx>
        <w:trPr>
          <w:trHeight w:val="379"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240" w:firstLineChars="100"/>
              <w:rPr>
                <w:rFonts w:ascii="宋体" w:hAnsi="宋体" w:cs="Arial"/>
                <w:color w:val="auto"/>
                <w:sz w:val="24"/>
                <w:highlight w:val="none"/>
              </w:rPr>
            </w:pPr>
            <w:r>
              <w:rPr>
                <w:rFonts w:hint="eastAsia" w:ascii="宋体" w:hAnsi="宋体" w:cs="Arial"/>
                <w:color w:val="auto"/>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Arial"/>
                <w:color w:val="auto"/>
                <w:sz w:val="24"/>
                <w:highlight w:val="none"/>
              </w:rPr>
            </w:pPr>
            <w:r>
              <w:rPr>
                <w:rFonts w:hint="eastAsia" w:ascii="宋体" w:hAnsi="宋体" w:cs="Arial"/>
                <w:color w:val="auto"/>
                <w:sz w:val="24"/>
                <w:highlight w:val="none"/>
              </w:rPr>
              <w:t>建设银行</w:t>
            </w:r>
          </w:p>
        </w:tc>
        <w:tc>
          <w:tcPr>
            <w:tcW w:w="22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4.35%起</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彭章法</w:t>
            </w:r>
          </w:p>
        </w:tc>
        <w:tc>
          <w:tcPr>
            <w:tcW w:w="240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13958532211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gridSpan w:val="8"/>
            <w:noWrap w:val="0"/>
            <w:vAlign w:val="center"/>
          </w:tcPr>
          <w:p>
            <w:pPr>
              <w:widowControl/>
              <w:spacing w:line="360" w:lineRule="auto"/>
              <w:jc w:val="center"/>
              <w:textAlignment w:val="center"/>
              <w:rPr>
                <w:rFonts w:hint="eastAsia" w:ascii="宋体" w:hAnsi="宋体" w:cs="宋体"/>
                <w:color w:val="auto"/>
                <w:kern w:val="0"/>
                <w:sz w:val="24"/>
                <w:highlight w:val="none"/>
              </w:rPr>
            </w:pPr>
            <w:r>
              <w:rPr>
                <w:rFonts w:hint="eastAsia" w:ascii="宋体" w:hAnsi="宋体" w:cs="Arial"/>
                <w:color w:val="auto"/>
                <w:sz w:val="24"/>
                <w:highlight w:val="none"/>
              </w:rPr>
              <w:t>政采保联系方式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阳光财产保险股份有限公司三门支公司</w:t>
            </w:r>
          </w:p>
        </w:tc>
        <w:tc>
          <w:tcPr>
            <w:tcW w:w="3540" w:type="dxa"/>
            <w:gridSpan w:val="2"/>
            <w:noWrap w:val="0"/>
            <w:vAlign w:val="center"/>
          </w:tcPr>
          <w:p>
            <w:pPr>
              <w:widowControl/>
              <w:spacing w:line="360" w:lineRule="auto"/>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合同（质量）履约按履约保证金年费率1%（1.5%</w:t>
            </w:r>
            <w:r>
              <w:rPr>
                <w:rFonts w:ascii="宋体" w:hAnsi="宋体" w:cs="宋体"/>
                <w:color w:val="auto"/>
                <w:kern w:val="0"/>
                <w:sz w:val="24"/>
                <w:highlight w:val="none"/>
              </w:rPr>
              <w:t>）</w:t>
            </w:r>
            <w:r>
              <w:rPr>
                <w:rFonts w:hint="eastAsia" w:ascii="宋体" w:hAnsi="宋体" w:cs="宋体"/>
                <w:color w:val="auto"/>
                <w:kern w:val="0"/>
                <w:sz w:val="24"/>
                <w:highlight w:val="none"/>
              </w:rPr>
              <w:t>，每单保函最低保险费为500元(300元)。</w:t>
            </w:r>
          </w:p>
        </w:tc>
        <w:tc>
          <w:tcPr>
            <w:tcW w:w="1170" w:type="dxa"/>
            <w:gridSpan w:val="2"/>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李来萍</w:t>
            </w:r>
          </w:p>
        </w:tc>
        <w:tc>
          <w:tcPr>
            <w:tcW w:w="1635" w:type="dxa"/>
            <w:noWrap w:val="0"/>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13958525199</w:t>
            </w:r>
          </w:p>
        </w:tc>
      </w:tr>
    </w:tbl>
    <w:p>
      <w:pPr>
        <w:pStyle w:val="22"/>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28"/>
          <w:rFonts w:ascii="黑体" w:hAnsi="宋体" w:eastAsia="黑体" w:cs="黑体"/>
          <w:sz w:val="27"/>
          <w:szCs w:val="27"/>
        </w:rPr>
        <w:t>八、凡对本次招标提出询问、质疑、投诉，请按以下方式联系</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1.采购人信息</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名    称：三门县自然资源和规划局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地    址：湫水大道8号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传    真：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项目联系人（询问）：马森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项目联系方式（询问）：(0576) 83318389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质疑联系人：马森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质疑联系方式：18767437330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名    称：浙江科胜工程管理有限公司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地    址：三门县海游街道朝晖路67号201室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传    真： </w:t>
      </w:r>
      <w:r>
        <w:rPr>
          <w:rFonts w:hint="eastAsia" w:ascii="仿宋" w:hAnsi="仿宋" w:eastAsia="仿宋" w:cs="仿宋"/>
        </w:rPr>
        <w:t>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项目联系人（询问）：谢银芳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项目联系方式（询问）：0576-83318599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质疑联系人：谢银芳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质疑联系方式：13968529967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名    称：三门县财政局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地    址：/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传    真：/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联系人 ： 柳方妙 </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pPr>
      <w:r>
        <w:rPr>
          <w:rFonts w:hint="eastAsia" w:ascii="仿宋" w:hAnsi="仿宋" w:eastAsia="仿宋" w:cs="仿宋"/>
          <w:sz w:val="27"/>
          <w:szCs w:val="27"/>
        </w:rPr>
        <w:t>    监督投诉电话：0576-83305830</w:t>
      </w:r>
    </w:p>
    <w:p>
      <w:pPr>
        <w:rPr>
          <w:rFonts w:hint="eastAsia" w:ascii="宋体" w:hAnsi="宋体"/>
          <w:bCs w:val="0"/>
          <w:color w:val="auto"/>
          <w:sz w:val="36"/>
          <w:szCs w:val="36"/>
          <w:highlight w:val="none"/>
        </w:rPr>
      </w:pPr>
      <w:r>
        <w:rPr>
          <w:rFonts w:hint="eastAsia" w:ascii="宋体" w:hAnsi="宋体"/>
          <w:bCs w:val="0"/>
          <w:color w:val="auto"/>
          <w:sz w:val="36"/>
          <w:szCs w:val="36"/>
          <w:highlight w:val="none"/>
        </w:rPr>
        <w:br w:type="page"/>
      </w:r>
    </w:p>
    <w:p>
      <w:pPr>
        <w:pStyle w:val="4"/>
        <w:spacing w:line="240" w:lineRule="auto"/>
        <w:jc w:val="center"/>
        <w:rPr>
          <w:rFonts w:ascii="宋体" w:hAnsi="宋体"/>
          <w:b w:val="0"/>
          <w:color w:val="auto"/>
          <w:sz w:val="36"/>
          <w:szCs w:val="36"/>
          <w:highlight w:val="none"/>
        </w:rPr>
      </w:pPr>
      <w:r>
        <w:rPr>
          <w:rFonts w:hint="eastAsia" w:ascii="宋体" w:hAnsi="宋体"/>
          <w:bCs w:val="0"/>
          <w:color w:val="auto"/>
          <w:sz w:val="36"/>
          <w:szCs w:val="36"/>
          <w:highlight w:val="none"/>
        </w:rPr>
        <w:t>第二章 供应商须知</w:t>
      </w:r>
    </w:p>
    <w:p>
      <w:pPr>
        <w:spacing w:line="240" w:lineRule="auto"/>
        <w:jc w:val="center"/>
        <w:outlineLvl w:val="2"/>
        <w:rPr>
          <w:rFonts w:ascii="宋体" w:hAnsi="宋体"/>
          <w:b/>
          <w:color w:val="auto"/>
          <w:sz w:val="28"/>
          <w:szCs w:val="28"/>
          <w:highlight w:val="none"/>
        </w:rPr>
      </w:pPr>
      <w:r>
        <w:rPr>
          <w:rFonts w:hint="eastAsia" w:ascii="宋体" w:hAnsi="宋体"/>
          <w:b/>
          <w:color w:val="auto"/>
          <w:sz w:val="28"/>
          <w:szCs w:val="28"/>
          <w:highlight w:val="none"/>
        </w:rPr>
        <w:t>前附表</w:t>
      </w:r>
    </w:p>
    <w:tbl>
      <w:tblPr>
        <w:tblStyle w:val="25"/>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电子投标要求</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投标人须按照采购文件和电子交易平台的要求编制并加密投标文件。未按规定加密的投标文件，将被拒收。</w:t>
            </w:r>
          </w:p>
          <w:p>
            <w:pPr>
              <w:spacing w:line="360" w:lineRule="auto"/>
              <w:rPr>
                <w:rFonts w:ascii="宋体" w:hAnsi="宋体" w:cs="宋体"/>
                <w:color w:val="auto"/>
                <w:sz w:val="24"/>
                <w:highlight w:val="none"/>
              </w:rPr>
            </w:pPr>
            <w:r>
              <w:rPr>
                <w:rFonts w:hint="eastAsia" w:ascii="宋体" w:hAnsi="宋体" w:cs="宋体"/>
                <w:color w:val="auto"/>
                <w:sz w:val="24"/>
                <w:highlight w:val="none"/>
              </w:rPr>
              <w:t>上传截止时间：</w:t>
            </w:r>
            <w:r>
              <w:rPr>
                <w:rFonts w:hint="eastAsia" w:ascii="宋体" w:hAnsi="宋体" w:cs="宋体"/>
                <w:color w:val="auto"/>
                <w:sz w:val="24"/>
                <w:highlight w:val="none"/>
                <w:u w:val="single"/>
              </w:rPr>
              <w:t>等同于投标截止时间</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磋商响应文件</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有效期</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磋商响应有效期为磋商后90天，磋商响应</w:t>
            </w:r>
            <w:r>
              <w:rPr>
                <w:rFonts w:hint="eastAsia" w:ascii="宋体" w:hAnsi="宋体" w:cs="宋体"/>
                <w:color w:val="auto"/>
                <w:kern w:val="0"/>
                <w:sz w:val="24"/>
                <w:highlight w:val="none"/>
              </w:rPr>
              <w:t>有效期从提交</w:t>
            </w:r>
            <w:r>
              <w:rPr>
                <w:rFonts w:hint="eastAsia" w:ascii="宋体" w:hAnsi="宋体" w:cs="宋体"/>
                <w:color w:val="auto"/>
                <w:sz w:val="24"/>
                <w:highlight w:val="none"/>
              </w:rPr>
              <w:t>磋商响应</w:t>
            </w:r>
            <w:r>
              <w:rPr>
                <w:rFonts w:hint="eastAsia" w:ascii="宋体" w:hAnsi="宋体" w:cs="宋体"/>
                <w:color w:val="auto"/>
                <w:kern w:val="0"/>
                <w:sz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磋商时间及地点</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2021年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00分</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Arial"/>
                <w:color w:val="auto"/>
                <w:sz w:val="24"/>
                <w:highlight w:val="none"/>
              </w:rPr>
              <w:t>三门县公共资源交易中心</w:t>
            </w:r>
            <w:r>
              <w:rPr>
                <w:rFonts w:hint="eastAsia" w:ascii="宋体" w:hAnsi="宋体" w:cs="宋体"/>
                <w:color w:val="auto"/>
                <w:sz w:val="24"/>
                <w:highlight w:val="none"/>
              </w:rPr>
              <w:t>开标室（三门县广场路</w:t>
            </w:r>
            <w:r>
              <w:rPr>
                <w:rFonts w:ascii="宋体" w:hAnsi="宋体" w:cs="宋体"/>
                <w:color w:val="auto"/>
                <w:sz w:val="24"/>
                <w:highlight w:val="none"/>
              </w:rPr>
              <w:t>22号交通大楼四楼）</w:t>
            </w:r>
            <w:r>
              <w:rPr>
                <w:rFonts w:hint="eastAsia" w:ascii="宋体" w:hAnsi="宋体" w:cs="宋体"/>
                <w:color w:val="auto"/>
                <w:sz w:val="24"/>
                <w:highlight w:val="none"/>
              </w:rPr>
              <w:t>（</w:t>
            </w:r>
            <w:r>
              <w:rPr>
                <w:rFonts w:hint="eastAsia" w:ascii="宋体" w:hAnsi="宋体" w:cs="宋体"/>
                <w:color w:val="auto"/>
                <w:sz w:val="24"/>
                <w:highlight w:val="none"/>
                <w:lang w:eastAsia="zh-CN"/>
              </w:rPr>
              <w:t>线上</w:t>
            </w:r>
            <w:r>
              <w:rPr>
                <w:rFonts w:hint="eastAsia" w:ascii="宋体" w:hAnsi="宋体" w:cs="宋体"/>
                <w:color w:val="auto"/>
                <w:sz w:val="24"/>
                <w:highlight w:val="none"/>
              </w:rPr>
              <w:t>电子开标）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00" w:lineRule="exact"/>
              <w:ind w:left="12" w:leftChars="0" w:right="199" w:rightChars="95" w:hanging="12" w:hangingChars="5"/>
              <w:rPr>
                <w:rFonts w:hint="eastAsia" w:ascii="宋体" w:hAnsi="宋体" w:cs="宋体"/>
                <w:color w:val="auto"/>
                <w:sz w:val="24"/>
                <w:highlight w:val="none"/>
              </w:rPr>
            </w:pPr>
            <w:r>
              <w:rPr>
                <w:rFonts w:hint="eastAsia" w:ascii="宋体" w:hAnsi="宋体" w:cs="宋体"/>
                <w:color w:val="auto"/>
                <w:sz w:val="24"/>
                <w:highlight w:val="none"/>
              </w:rPr>
              <w:t>磋商小组的组建</w:t>
            </w:r>
          </w:p>
        </w:tc>
        <w:tc>
          <w:tcPr>
            <w:tcW w:w="5882" w:type="dxa"/>
            <w:tcBorders>
              <w:top w:val="single" w:color="auto" w:sz="4" w:space="0"/>
              <w:left w:val="single" w:color="auto" w:sz="4" w:space="0"/>
              <w:bottom w:val="single" w:color="auto" w:sz="4" w:space="0"/>
              <w:right w:val="single" w:color="auto" w:sz="4" w:space="0"/>
            </w:tcBorders>
            <w:vAlign w:val="center"/>
          </w:tcPr>
          <w:p>
            <w:pPr>
              <w:spacing w:line="400" w:lineRule="exact"/>
              <w:ind w:left="19" w:leftChars="0" w:right="199" w:rightChars="95" w:hanging="19" w:hangingChars="8"/>
              <w:rPr>
                <w:rFonts w:hint="eastAsia" w:ascii="宋体" w:hAnsi="宋体" w:cs="宋体"/>
                <w:color w:val="auto"/>
                <w:sz w:val="24"/>
                <w:highlight w:val="none"/>
              </w:rPr>
            </w:pPr>
            <w:r>
              <w:rPr>
                <w:rFonts w:hint="eastAsia" w:ascii="宋体" w:hAnsi="宋体" w:cs="宋体"/>
                <w:color w:val="auto"/>
                <w:sz w:val="24"/>
                <w:highlight w:val="none"/>
              </w:rPr>
              <w:t>评审委员会构成： 由采购人代表</w:t>
            </w:r>
            <w:r>
              <w:rPr>
                <w:rFonts w:hint="eastAsia" w:ascii="宋体" w:hAnsi="宋体" w:cs="宋体"/>
                <w:color w:val="auto"/>
                <w:sz w:val="24"/>
                <w:highlight w:val="none"/>
                <w:lang w:eastAsia="zh-CN"/>
              </w:rPr>
              <w:t>和评审专家共</w:t>
            </w:r>
            <w:r>
              <w:rPr>
                <w:rFonts w:hint="eastAsia" w:ascii="宋体" w:hAnsi="宋体" w:cs="宋体"/>
                <w:color w:val="auto"/>
                <w:sz w:val="24"/>
                <w:highlight w:val="none"/>
              </w:rPr>
              <w:t>3人及以上</w:t>
            </w:r>
            <w:r>
              <w:rPr>
                <w:rFonts w:hint="eastAsia" w:ascii="宋体" w:hAnsi="宋体" w:cs="宋体"/>
                <w:color w:val="auto"/>
                <w:sz w:val="24"/>
                <w:highlight w:val="none"/>
                <w:lang w:eastAsia="zh-CN"/>
              </w:rPr>
              <w:t>单数组成，其中评审专家人数</w:t>
            </w:r>
            <w:r>
              <w:rPr>
                <w:rFonts w:hint="eastAsia" w:ascii="宋体" w:hAnsi="宋体" w:cs="宋体"/>
                <w:color w:val="auto"/>
                <w:sz w:val="24"/>
                <w:highlight w:val="none"/>
              </w:rPr>
              <w:t>不得少于</w:t>
            </w:r>
            <w:r>
              <w:rPr>
                <w:rFonts w:hint="eastAsia" w:ascii="宋体" w:hAnsi="宋体" w:cs="宋体"/>
                <w:color w:val="auto"/>
                <w:sz w:val="24"/>
                <w:highlight w:val="none"/>
                <w:lang w:eastAsia="zh-CN"/>
              </w:rPr>
              <w:t>磋商小组成员</w:t>
            </w:r>
            <w:r>
              <w:rPr>
                <w:rFonts w:hint="eastAsia" w:ascii="宋体" w:hAnsi="宋体" w:cs="宋体"/>
                <w:color w:val="auto"/>
                <w:sz w:val="24"/>
                <w:highlight w:val="none"/>
              </w:rPr>
              <w:t>总人数的2/3</w:t>
            </w:r>
            <w:r>
              <w:rPr>
                <w:rFonts w:hint="eastAsia" w:ascii="宋体" w:hAnsi="宋体" w:cs="宋体"/>
                <w:color w:val="auto"/>
                <w:sz w:val="24"/>
                <w:highlight w:val="none"/>
                <w:lang w:eastAsia="zh-CN"/>
              </w:rPr>
              <w:t>。</w:t>
            </w:r>
            <w:r>
              <w:rPr>
                <w:rFonts w:hint="eastAsia" w:ascii="宋体" w:hAnsi="宋体" w:cs="宋体"/>
                <w:color w:val="auto"/>
                <w:sz w:val="24"/>
                <w:highlight w:val="none"/>
              </w:rPr>
              <w:t>评</w:t>
            </w:r>
            <w:r>
              <w:rPr>
                <w:rFonts w:hint="eastAsia" w:ascii="宋体" w:hAnsi="宋体" w:cs="宋体"/>
                <w:color w:val="auto"/>
                <w:sz w:val="24"/>
                <w:highlight w:val="none"/>
                <w:lang w:eastAsia="zh-CN"/>
              </w:rPr>
              <w:t>审</w:t>
            </w:r>
            <w:r>
              <w:rPr>
                <w:rFonts w:hint="eastAsia" w:ascii="宋体" w:hAnsi="宋体" w:cs="宋体"/>
                <w:color w:val="auto"/>
                <w:sz w:val="24"/>
                <w:highlight w:val="none"/>
              </w:rPr>
              <w:t>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投标有效上限价</w:t>
            </w:r>
          </w:p>
        </w:tc>
        <w:tc>
          <w:tcPr>
            <w:tcW w:w="588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left="0" w:left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r>
              <w:rPr>
                <w:rFonts w:hint="eastAsia" w:ascii="宋体" w:hAnsi="宋体" w:eastAsia="宋体" w:cs="宋体"/>
                <w:bCs/>
                <w:color w:val="auto"/>
                <w:sz w:val="24"/>
                <w:szCs w:val="24"/>
                <w:highlight w:val="none"/>
              </w:rPr>
              <w:t>8</w:t>
            </w:r>
            <w:r>
              <w:rPr>
                <w:rFonts w:hint="eastAsia" w:ascii="宋体" w:hAnsi="宋体" w:eastAsia="Calibri" w:cs="宋体"/>
                <w:bCs/>
                <w:color w:val="auto"/>
                <w:sz w:val="24"/>
                <w:szCs w:val="24"/>
                <w:highlight w:val="none"/>
              </w:rPr>
              <w:t>0</w:t>
            </w:r>
            <w:r>
              <w:rPr>
                <w:rFonts w:hint="eastAsia" w:ascii="宋体" w:hAnsi="宋体" w:eastAsia="宋体" w:cs="宋体"/>
                <w:bCs/>
                <w:color w:val="auto"/>
                <w:sz w:val="24"/>
                <w:szCs w:val="24"/>
                <w:highlight w:val="none"/>
              </w:rPr>
              <w:t>万</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5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hanging="1050"/>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w:t>
            </w: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▲”的条款是实质性条款，磋商</w:t>
            </w:r>
            <w:r>
              <w:rPr>
                <w:rFonts w:hint="eastAsia" w:ascii="宋体" w:hAnsi="宋体" w:cs="宋体"/>
                <w:color w:val="auto"/>
                <w:sz w:val="24"/>
                <w:highlight w:val="none"/>
              </w:rPr>
              <w:t>响应</w:t>
            </w:r>
            <w:r>
              <w:rPr>
                <w:rFonts w:hint="eastAsia" w:ascii="宋体" w:hAnsi="宋体" w:cs="宋体"/>
                <w:bCs/>
                <w:color w:val="auto"/>
                <w:sz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58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本磋商文件解释权属于采购人。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补充条款</w:t>
            </w:r>
          </w:p>
        </w:tc>
        <w:tc>
          <w:tcPr>
            <w:tcW w:w="588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highlight w:val="none"/>
              </w:rPr>
            </w:pPr>
            <w:r>
              <w:rPr>
                <w:rFonts w:hint="eastAsia" w:ascii="宋体" w:hAnsi="宋体" w:cs="宋体"/>
                <w:color w:val="auto"/>
                <w:sz w:val="24"/>
                <w:highlight w:val="none"/>
              </w:rPr>
              <w:t>资格证明文件、商务与技术文件正本1份、副本2份，报价文件正本1份、副本2份。</w:t>
            </w:r>
            <w:r>
              <w:rPr>
                <w:rFonts w:hint="eastAsia" w:ascii="宋体" w:hAnsi="宋体"/>
                <w:color w:val="auto"/>
                <w:sz w:val="24"/>
                <w:highlight w:val="none"/>
              </w:rPr>
              <w:t>（纸质投标文件中标后</w:t>
            </w:r>
          </w:p>
          <w:p>
            <w:pPr>
              <w:bidi w:val="0"/>
              <w:jc w:val="left"/>
              <w:rPr>
                <w:color w:val="auto"/>
                <w:highlight w:val="none"/>
              </w:rPr>
            </w:pPr>
            <w:r>
              <w:rPr>
                <w:rFonts w:hint="eastAsia"/>
                <w:color w:val="auto"/>
                <w:highlight w:val="none"/>
              </w:rPr>
              <w:t>提供）</w:t>
            </w:r>
          </w:p>
        </w:tc>
      </w:tr>
    </w:tbl>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br w:type="page"/>
      </w:r>
      <w:r>
        <w:rPr>
          <w:rFonts w:hint="eastAsia" w:hAnsi="宋体"/>
          <w:b/>
          <w:color w:val="auto"/>
          <w:sz w:val="24"/>
          <w:highlight w:val="none"/>
        </w:rPr>
        <w:t>一、总则</w:t>
      </w:r>
    </w:p>
    <w:p>
      <w:pPr>
        <w:pStyle w:val="14"/>
        <w:snapToGrid w:val="0"/>
        <w:spacing w:before="120" w:after="120" w:line="360" w:lineRule="auto"/>
        <w:ind w:firstLine="482" w:firstLineChars="200"/>
        <w:rPr>
          <w:rFonts w:hAnsi="宋体"/>
          <w:b/>
          <w:bCs/>
          <w:color w:val="auto"/>
          <w:sz w:val="24"/>
          <w:highlight w:val="none"/>
        </w:rPr>
      </w:pPr>
      <w:r>
        <w:rPr>
          <w:rFonts w:hint="eastAsia" w:hAnsi="宋体"/>
          <w:b/>
          <w:bCs/>
          <w:color w:val="auto"/>
          <w:sz w:val="24"/>
          <w:highlight w:val="none"/>
        </w:rPr>
        <w:t>（一）适用范围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pPr>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“采购组织机构”指采购人委托组织磋商的集中采购机构或采购代理机构。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w:t>
      </w:r>
      <w:r>
        <w:rPr>
          <w:rFonts w:hint="eastAsia" w:ascii="宋体" w:hAnsi="宋体"/>
          <w:color w:val="auto"/>
          <w:sz w:val="24"/>
          <w:highlight w:val="none"/>
          <w:lang w:val="zh-CN"/>
        </w:rPr>
        <w:t>集中采购机构或</w:t>
      </w:r>
      <w:r>
        <w:rPr>
          <w:rFonts w:hint="eastAsia" w:ascii="宋体" w:hAnsi="宋体"/>
          <w:color w:val="auto"/>
          <w:sz w:val="24"/>
          <w:highlight w:val="none"/>
        </w:rPr>
        <w:t>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4、货物：是指各种形态和种类的物品，包括原材料、燃料、设备、产品等。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5、服务：是指除货物和工程以外的政府采购</w:t>
      </w:r>
      <w:r>
        <w:rPr>
          <w:rFonts w:ascii="宋体" w:hAnsi="宋体"/>
          <w:color w:val="auto"/>
          <w:sz w:val="24"/>
          <w:highlight w:val="none"/>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snapToGrid w:val="0"/>
        <w:spacing w:line="360" w:lineRule="auto"/>
        <w:ind w:firstLine="241" w:firstLineChars="100"/>
        <w:jc w:val="left"/>
        <w:rPr>
          <w:rFonts w:ascii="宋体" w:hAnsi="宋体"/>
          <w:b/>
          <w:color w:val="auto"/>
          <w:sz w:val="24"/>
          <w:highlight w:val="none"/>
        </w:rPr>
      </w:pPr>
      <w:r>
        <w:rPr>
          <w:rFonts w:hint="eastAsia" w:ascii="宋体" w:hAnsi="宋体"/>
          <w:b/>
          <w:color w:val="auto"/>
          <w:sz w:val="24"/>
          <w:highlight w:val="none"/>
        </w:rPr>
        <w:t>（三）磋商费用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3.1不论磋商结果如何，供应商均应自行承担所有与磋商有关的全部费用（</w:t>
      </w:r>
      <w:r>
        <w:rPr>
          <w:rFonts w:hint="eastAsia" w:ascii="宋体" w:hAnsi="宋体"/>
          <w:bCs/>
          <w:color w:val="auto"/>
          <w:sz w:val="24"/>
          <w:highlight w:val="none"/>
        </w:rPr>
        <w:t>磋商文件</w:t>
      </w:r>
      <w:r>
        <w:rPr>
          <w:rFonts w:hint="eastAsia" w:ascii="宋体" w:hAnsi="宋体"/>
          <w:color w:val="auto"/>
          <w:sz w:val="24"/>
          <w:highlight w:val="none"/>
        </w:rPr>
        <w:t>有相关规定除外）。</w:t>
      </w:r>
    </w:p>
    <w:p>
      <w:pPr>
        <w:pStyle w:val="2"/>
        <w:spacing w:line="360" w:lineRule="auto"/>
        <w:ind w:firstLine="482" w:firstLineChars="200"/>
        <w:rPr>
          <w:color w:val="auto"/>
          <w:highlight w:val="none"/>
        </w:rPr>
      </w:pPr>
      <w:r>
        <w:rPr>
          <w:rFonts w:hint="eastAsia" w:ascii="宋体" w:hAnsi="宋体"/>
          <w:b/>
          <w:bCs/>
          <w:color w:val="auto"/>
          <w:sz w:val="24"/>
          <w:highlight w:val="none"/>
        </w:rPr>
        <w:t>3.2本次招标代理服务费共计人民币1</w:t>
      </w:r>
      <w:r>
        <w:rPr>
          <w:rFonts w:hint="eastAsia" w:ascii="宋体" w:hAnsi="宋体"/>
          <w:b/>
          <w:bCs/>
          <w:color w:val="auto"/>
          <w:sz w:val="24"/>
          <w:highlight w:val="none"/>
          <w:lang w:val="en-US" w:eastAsia="zh-CN"/>
        </w:rPr>
        <w:t>3</w:t>
      </w:r>
      <w:r>
        <w:rPr>
          <w:rFonts w:hint="eastAsia" w:ascii="宋体" w:hAnsi="宋体"/>
          <w:b/>
          <w:bCs/>
          <w:color w:val="auto"/>
          <w:sz w:val="24"/>
          <w:highlight w:val="none"/>
        </w:rPr>
        <w:t>000元，由中标人支</w:t>
      </w:r>
      <w:r>
        <w:rPr>
          <w:rFonts w:hint="eastAsia" w:ascii="宋体" w:hAnsi="宋体"/>
          <w:b/>
          <w:bCs/>
          <w:color w:val="auto"/>
          <w:sz w:val="24"/>
          <w:highlight w:val="none"/>
          <w:lang w:eastAsia="zh-CN"/>
        </w:rPr>
        <w:t>付</w:t>
      </w:r>
      <w:r>
        <w:rPr>
          <w:rFonts w:hint="eastAsia" w:ascii="宋体" w:hAnsi="宋体"/>
          <w:b/>
          <w:bCs/>
          <w:color w:val="auto"/>
          <w:sz w:val="24"/>
          <w:highlight w:val="none"/>
        </w:rPr>
        <w:t>，在领取中标通知书时一次付清。</w:t>
      </w:r>
    </w:p>
    <w:p>
      <w:pPr>
        <w:pStyle w:val="14"/>
        <w:snapToGrid w:val="0"/>
        <w:spacing w:line="360" w:lineRule="auto"/>
        <w:ind w:firstLine="241" w:firstLineChars="100"/>
        <w:rPr>
          <w:rFonts w:hAnsi="宋体"/>
          <w:b/>
          <w:color w:val="auto"/>
          <w:sz w:val="24"/>
          <w:highlight w:val="none"/>
        </w:rPr>
      </w:pPr>
      <w:r>
        <w:rPr>
          <w:rFonts w:hint="eastAsia" w:hAnsi="宋体"/>
          <w:b/>
          <w:color w:val="auto"/>
          <w:sz w:val="24"/>
          <w:highlight w:val="none"/>
        </w:rPr>
        <w:t>（四）特别说明</w:t>
      </w:r>
    </w:p>
    <w:p>
      <w:pPr>
        <w:pStyle w:val="14"/>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1、供应商</w:t>
      </w:r>
      <w:r>
        <w:rPr>
          <w:rFonts w:hAnsi="宋体"/>
          <w:color w:val="auto"/>
          <w:sz w:val="24"/>
          <w:highlight w:val="none"/>
        </w:rPr>
        <w:t>磋商所使用的资格、信誉、荣誉、业绩与企业认证必须为本法人所拥有。</w:t>
      </w:r>
      <w:r>
        <w:rPr>
          <w:rFonts w:hint="eastAsia" w:hAnsi="宋体"/>
          <w:color w:val="auto"/>
          <w:sz w:val="24"/>
          <w:highlight w:val="none"/>
        </w:rPr>
        <w:t>供应商</w:t>
      </w:r>
      <w:r>
        <w:rPr>
          <w:rFonts w:hAnsi="宋体"/>
          <w:color w:val="auto"/>
          <w:sz w:val="24"/>
          <w:highlight w:val="none"/>
        </w:rPr>
        <w:t>磋商所使用的采购项目实施人员必须为本法人员工（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rPr>
        <w:t>、供应商所标产品除</w:t>
      </w:r>
      <w:r>
        <w:rPr>
          <w:rFonts w:hint="eastAsia" w:ascii="宋体" w:hAnsi="宋体"/>
          <w:bCs/>
          <w:color w:val="auto"/>
          <w:sz w:val="24"/>
          <w:highlight w:val="none"/>
        </w:rPr>
        <w:t>磋商文件</w:t>
      </w:r>
      <w:r>
        <w:rPr>
          <w:rFonts w:hint="eastAsia" w:hAnsi="宋体"/>
          <w:color w:val="auto"/>
          <w:sz w:val="24"/>
          <w:highlight w:val="none"/>
        </w:rPr>
        <w:t>中明确规定要求“提供官网截图或相应检测报告的证明材料”以外，所有技术参数描述均以</w:t>
      </w:r>
      <w:r>
        <w:rPr>
          <w:rFonts w:hint="eastAsia" w:ascii="宋体" w:hAnsi="宋体"/>
          <w:color w:val="auto"/>
          <w:sz w:val="24"/>
          <w:highlight w:val="none"/>
        </w:rPr>
        <w:t>磋商响应文件</w:t>
      </w:r>
      <w:r>
        <w:rPr>
          <w:rFonts w:hint="eastAsia" w:hAnsi="宋体"/>
          <w:color w:val="auto"/>
          <w:sz w:val="24"/>
          <w:highlight w:val="none"/>
        </w:rPr>
        <w:t>为准。</w:t>
      </w:r>
      <w:r>
        <w:rPr>
          <w:rFonts w:hint="eastAsia" w:hAnsi="宋体"/>
          <w:b/>
          <w:color w:val="auto"/>
          <w:sz w:val="24"/>
          <w:highlight w:val="none"/>
        </w:rPr>
        <w:t>磋商供应商对所标产品技术参数的真实性承担法律责任。</w:t>
      </w:r>
      <w:r>
        <w:rPr>
          <w:rFonts w:hint="eastAsia" w:hAnsi="宋体"/>
          <w:color w:val="auto"/>
          <w:sz w:val="24"/>
          <w:highlight w:val="none"/>
        </w:rPr>
        <w:t>项目</w:t>
      </w:r>
      <w:r>
        <w:rPr>
          <w:rFonts w:hint="eastAsia" w:ascii="宋体" w:hAnsi="宋体"/>
          <w:bCs/>
          <w:color w:val="auto"/>
          <w:sz w:val="24"/>
          <w:highlight w:val="none"/>
        </w:rPr>
        <w:t>磋商</w:t>
      </w:r>
      <w:r>
        <w:rPr>
          <w:rFonts w:hint="eastAsia" w:hAnsi="宋体"/>
          <w:color w:val="auto"/>
          <w:sz w:val="24"/>
          <w:highlight w:val="none"/>
        </w:rPr>
        <w:t>结束后、质疑期限内，如有质疑供应商认为成交供应商所标产品、</w:t>
      </w:r>
      <w:r>
        <w:rPr>
          <w:rFonts w:hint="eastAsia" w:ascii="宋体" w:hAnsi="宋体"/>
          <w:color w:val="auto"/>
          <w:sz w:val="24"/>
          <w:highlight w:val="none"/>
        </w:rPr>
        <w:t>磋商响应文件</w:t>
      </w:r>
      <w:r>
        <w:rPr>
          <w:rFonts w:hint="eastAsia" w:hAnsi="宋体"/>
          <w:color w:val="auto"/>
          <w:sz w:val="24"/>
          <w:highlight w:val="none"/>
        </w:rPr>
        <w:t>技术参数与采购需求存在重大偏离、错误、甚至造假的情况，应提供具体有效的证明材料。</w:t>
      </w:r>
      <w:r>
        <w:rPr>
          <w:rFonts w:hint="eastAsia"/>
          <w:color w:val="auto"/>
          <w:sz w:val="24"/>
          <w:highlight w:val="none"/>
        </w:rPr>
        <w:tab/>
      </w:r>
    </w:p>
    <w:p>
      <w:pPr>
        <w:pStyle w:val="62"/>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3、供应商</w:t>
      </w:r>
      <w:r>
        <w:rPr>
          <w:rFonts w:ascii="宋体" w:hAnsi="宋体"/>
          <w:color w:val="auto"/>
          <w:sz w:val="24"/>
          <w:szCs w:val="24"/>
          <w:highlight w:val="none"/>
        </w:rPr>
        <w:t>在</w:t>
      </w:r>
      <w:r>
        <w:rPr>
          <w:rFonts w:hint="eastAsia" w:ascii="宋体" w:hAnsi="宋体"/>
          <w:bCs/>
          <w:color w:val="auto"/>
          <w:sz w:val="24"/>
          <w:szCs w:val="24"/>
          <w:highlight w:val="none"/>
        </w:rPr>
        <w:t>磋商</w:t>
      </w:r>
      <w:r>
        <w:rPr>
          <w:rFonts w:ascii="宋体" w:hAnsi="宋体"/>
          <w:color w:val="auto"/>
          <w:sz w:val="24"/>
          <w:szCs w:val="24"/>
          <w:highlight w:val="none"/>
        </w:rPr>
        <w:t>活动中提供任何虚假材料</w:t>
      </w:r>
      <w:r>
        <w:rPr>
          <w:rFonts w:hint="eastAsia" w:ascii="宋体" w:hAnsi="宋体"/>
          <w:color w:val="auto"/>
          <w:sz w:val="24"/>
          <w:szCs w:val="24"/>
          <w:highlight w:val="none"/>
        </w:rPr>
        <w:t>,</w:t>
      </w:r>
      <w:r>
        <w:rPr>
          <w:rFonts w:ascii="宋体" w:hAnsi="宋体"/>
          <w:color w:val="auto"/>
          <w:sz w:val="24"/>
          <w:szCs w:val="24"/>
          <w:highlight w:val="none"/>
        </w:rPr>
        <w:t>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w:t>
      </w:r>
      <w:r>
        <w:rPr>
          <w:rFonts w:hint="eastAsia" w:ascii="宋体" w:hAnsi="宋体"/>
          <w:color w:val="auto"/>
          <w:sz w:val="24"/>
          <w:szCs w:val="24"/>
          <w:highlight w:val="none"/>
        </w:rPr>
        <w:t>成交</w:t>
      </w:r>
      <w:r>
        <w:rPr>
          <w:rFonts w:ascii="宋体" w:hAnsi="宋体"/>
          <w:color w:val="auto"/>
          <w:sz w:val="24"/>
          <w:szCs w:val="24"/>
          <w:highlight w:val="none"/>
        </w:rPr>
        <w:t>后发现的,成交人须依照根据《中华人民共和国政府采购法》第七十七条第一款第一项之规定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2"/>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pPr>
        <w:pStyle w:val="62"/>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5、为采购项目提供整体设计、规范编制或者项目管理、监理、检测等服务的供应商，不得再参加该采购项目的其他采购活动。</w:t>
      </w:r>
    </w:p>
    <w:p>
      <w:pPr>
        <w:pStyle w:val="62"/>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6、磋商响应文件格式中的表格式样可以根据项目差别做适当调整,但应当保持表格样式基本形态不变。</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8、本项目不允许分包。（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outlineLvl w:val="2"/>
        <w:rPr>
          <w:rFonts w:ascii="宋体" w:hAnsi="宋体"/>
          <w:b/>
          <w:color w:val="auto"/>
          <w:sz w:val="24"/>
          <w:highlight w:val="none"/>
        </w:rPr>
      </w:pPr>
      <w:r>
        <w:rPr>
          <w:rFonts w:hint="eastAsia" w:ascii="宋体" w:hAnsi="宋体"/>
          <w:b/>
          <w:color w:val="auto"/>
          <w:sz w:val="24"/>
          <w:highlight w:val="none"/>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（一）磋商</w:t>
      </w:r>
      <w:r>
        <w:rPr>
          <w:rFonts w:ascii="宋体" w:hAnsi="宋体"/>
          <w:b/>
          <w:color w:val="auto"/>
          <w:kern w:val="0"/>
          <w:sz w:val="24"/>
          <w:highlight w:val="none"/>
        </w:rPr>
        <w:t>响应文件的</w:t>
      </w:r>
      <w:r>
        <w:rPr>
          <w:rFonts w:hint="eastAsia" w:ascii="宋体" w:hAnsi="宋体"/>
          <w:b/>
          <w:color w:val="auto"/>
          <w:kern w:val="0"/>
          <w:sz w:val="24"/>
          <w:highlight w:val="none"/>
        </w:rPr>
        <w:t>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宋体"/>
          <w:color w:val="auto"/>
          <w:kern w:val="0"/>
          <w:sz w:val="24"/>
          <w:highlight w:val="none"/>
        </w:rPr>
        <w:t>供应商应仔细阅读磋商采购文件的所有内容，按磋商采购文件的要求，详细编制磋商响应文件</w:t>
      </w:r>
      <w:r>
        <w:rPr>
          <w:rFonts w:hAnsi="宋体"/>
          <w:color w:val="auto"/>
          <w:sz w:val="24"/>
          <w:highlight w:val="none"/>
        </w:rPr>
        <w:t>。</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1、资格证明内容的组成：</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（1）磋商声明书（见附件</w:t>
      </w:r>
      <w:r>
        <w:rPr>
          <w:rFonts w:hint="eastAsia" w:ascii="宋体"/>
          <w:color w:val="auto"/>
          <w:kern w:val="0"/>
          <w:sz w:val="24"/>
          <w:highlight w:val="none"/>
          <w:lang w:val="en-US" w:eastAsia="zh-CN"/>
        </w:rPr>
        <w:t>4</w:t>
      </w:r>
      <w:r>
        <w:rPr>
          <w:rFonts w:hint="eastAsia" w:ascii="宋体"/>
          <w:color w:val="auto"/>
          <w:kern w:val="0"/>
          <w:sz w:val="24"/>
          <w:highlight w:val="none"/>
        </w:rPr>
        <w:t>）</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（2）授权委托书（法定代表人亲自办理磋商响应事宜的，则无需提交) （见附件</w:t>
      </w:r>
      <w:r>
        <w:rPr>
          <w:rFonts w:hint="eastAsia" w:ascii="宋体"/>
          <w:color w:val="auto"/>
          <w:kern w:val="0"/>
          <w:sz w:val="24"/>
          <w:highlight w:val="none"/>
          <w:lang w:val="en-US" w:eastAsia="zh-CN"/>
        </w:rPr>
        <w:t>5</w:t>
      </w:r>
      <w:r>
        <w:rPr>
          <w:rFonts w:hint="eastAsia" w:ascii="宋体"/>
          <w:color w:val="auto"/>
          <w:kern w:val="0"/>
          <w:sz w:val="24"/>
          <w:highlight w:val="none"/>
        </w:rPr>
        <w:t>）；</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（3）法人或者其他组织的营业执照等证明文件，自然人的身份证明；</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（4）提供最近年度的财务状况报告，提供投标截止时间前六个月内（至少提供其中一个月）依法缴纳税收和社会保障资金的相关材料；</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（5）具备履行合同所必需的设备和专业技术能力的证明材料(根据项目性质提供)；</w:t>
      </w:r>
    </w:p>
    <w:p>
      <w:pPr>
        <w:snapToGri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（6）提供采购公告中符合供应商特定条件的有效资质证书复印件（磋商供应商特定条件中有要求的必须提供），以及需要说明的其他资料；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（1）供应商基本情况介绍（人员与技术力量、企业规模、经营业绩等）</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szCs w:val="24"/>
          <w:highlight w:val="none"/>
        </w:rPr>
        <w:t>。</w:t>
      </w:r>
    </w:p>
    <w:p>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（2）磋商响应方案描述：</w:t>
      </w:r>
    </w:p>
    <w:p>
      <w:pPr>
        <w:pStyle w:val="8"/>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项目实施人员一览表（见附件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p>
      <w:pPr>
        <w:pStyle w:val="8"/>
        <w:widowControl/>
        <w:adjustRightInd w:val="0"/>
        <w:snapToGrid w:val="0"/>
        <w:spacing w:line="360" w:lineRule="auto"/>
        <w:ind w:firstLineChars="175"/>
        <w:rPr>
          <w:rFonts w:ascii="宋体" w:hAnsi="宋体" w:cs="宋体"/>
          <w:color w:val="auto"/>
          <w:sz w:val="24"/>
          <w:highlight w:val="none"/>
        </w:rPr>
      </w:pPr>
      <w:r>
        <w:rPr>
          <w:rFonts w:hint="eastAsia" w:ascii="宋体" w:hAnsi="宋体" w:cs="宋体"/>
          <w:color w:val="auto"/>
          <w:sz w:val="24"/>
          <w:szCs w:val="24"/>
          <w:highlight w:val="none"/>
        </w:rPr>
        <w:t>（4）商务及技术响应表</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p>
    <w:p>
      <w:pPr>
        <w:pStyle w:val="8"/>
        <w:widowControl/>
        <w:adjustRightInd w:val="0"/>
        <w:snapToGrid w:val="0"/>
        <w:spacing w:line="360" w:lineRule="auto"/>
        <w:ind w:firstLineChars="175"/>
        <w:rPr>
          <w:rFonts w:ascii="宋体" w:hAnsi="宋体" w:cs="宋体"/>
          <w:color w:val="auto"/>
          <w:sz w:val="24"/>
          <w:highlight w:val="none"/>
        </w:rPr>
      </w:pPr>
      <w:r>
        <w:rPr>
          <w:rFonts w:hint="eastAsia" w:ascii="宋体" w:hAnsi="宋体"/>
          <w:color w:val="auto"/>
          <w:kern w:val="0"/>
          <w:sz w:val="24"/>
          <w:highlight w:val="none"/>
        </w:rPr>
        <w:t>（5）</w:t>
      </w:r>
      <w:r>
        <w:rPr>
          <w:rFonts w:hint="eastAsia" w:ascii="宋体" w:hAnsi="宋体"/>
          <w:color w:val="auto"/>
          <w:sz w:val="24"/>
          <w:highlight w:val="none"/>
        </w:rPr>
        <w:t>相关</w:t>
      </w:r>
      <w:r>
        <w:rPr>
          <w:rFonts w:ascii="宋体" w:hAnsi="宋体"/>
          <w:color w:val="auto"/>
          <w:kern w:val="0"/>
          <w:sz w:val="24"/>
          <w:highlight w:val="none"/>
        </w:rPr>
        <w:t>的认证证书</w:t>
      </w:r>
      <w:r>
        <w:rPr>
          <w:rFonts w:hint="eastAsia" w:ascii="宋体" w:hAnsi="宋体"/>
          <w:color w:val="auto"/>
          <w:kern w:val="0"/>
          <w:sz w:val="24"/>
          <w:highlight w:val="none"/>
        </w:rPr>
        <w:t>或文件（附件</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w:t>
      </w:r>
    </w:p>
    <w:p>
      <w:pPr>
        <w:pStyle w:val="8"/>
        <w:widowControl/>
        <w:adjustRightInd w:val="0"/>
        <w:snapToGrid w:val="0"/>
        <w:spacing w:line="360" w:lineRule="auto"/>
        <w:rPr>
          <w:rFonts w:ascii="宋体" w:hAnsi="宋体" w:cs="宋体"/>
          <w:color w:val="auto"/>
          <w:sz w:val="24"/>
          <w:szCs w:val="24"/>
          <w:highlight w:val="none"/>
        </w:rPr>
      </w:pPr>
      <w:r>
        <w:rPr>
          <w:rFonts w:hint="eastAsia" w:ascii="宋体" w:hAnsi="宋体"/>
          <w:color w:val="auto"/>
          <w:kern w:val="0"/>
          <w:sz w:val="24"/>
          <w:szCs w:val="24"/>
          <w:highlight w:val="none"/>
        </w:rPr>
        <w:t>（6）</w:t>
      </w:r>
      <w:r>
        <w:rPr>
          <w:rFonts w:hint="eastAsia" w:ascii="宋体" w:hAnsi="宋体"/>
          <w:color w:val="auto"/>
          <w:kern w:val="0"/>
          <w:sz w:val="24"/>
          <w:szCs w:val="24"/>
          <w:highlight w:val="none"/>
          <w:lang w:eastAsia="zh-CN"/>
        </w:rPr>
        <w:t>近三年</w:t>
      </w:r>
      <w:r>
        <w:rPr>
          <w:rFonts w:hint="eastAsia" w:ascii="宋体" w:hAnsi="宋体"/>
          <w:color w:val="auto"/>
          <w:kern w:val="0"/>
          <w:sz w:val="24"/>
          <w:szCs w:val="24"/>
          <w:highlight w:val="none"/>
        </w:rPr>
        <w:t>投标人类似项目的成功案例（投标人类似项目实施情况一览表、合同复印件等）（附件</w:t>
      </w:r>
      <w:r>
        <w:rPr>
          <w:rFonts w:hint="eastAsia" w:ascii="宋体" w:hAnsi="宋体"/>
          <w:color w:val="auto"/>
          <w:kern w:val="0"/>
          <w:sz w:val="24"/>
          <w:szCs w:val="24"/>
          <w:highlight w:val="none"/>
          <w:lang w:val="en-US" w:eastAsia="zh-CN"/>
        </w:rPr>
        <w:t>10</w:t>
      </w:r>
      <w:r>
        <w:rPr>
          <w:rFonts w:hint="eastAsia" w:ascii="宋体" w:hAnsi="宋体"/>
          <w:color w:val="auto"/>
          <w:kern w:val="0"/>
          <w:sz w:val="24"/>
          <w:szCs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（7）售后服务描述及承诺：针对本项目的售后服务措施及承诺（售后技术服务方案、人员配备等）。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（8）供应商认为需要提供的其他资料（包含对照相应项目评分标准内容，可能影响评分，由投标人自行考虑）。</w:t>
      </w:r>
    </w:p>
    <w:p>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pStyle w:val="21"/>
        <w:ind w:left="0" w:leftChars="0"/>
        <w:rPr>
          <w:color w:val="auto"/>
          <w:kern w:val="0"/>
          <w:highlight w:val="none"/>
        </w:rPr>
      </w:pPr>
      <w:r>
        <w:rPr>
          <w:rFonts w:hint="eastAsia"/>
          <w:color w:val="auto"/>
          <w:kern w:val="0"/>
          <w:highlight w:val="none"/>
        </w:rPr>
        <w:t>（1）报价内容的组成。</w:t>
      </w:r>
    </w:p>
    <w:p>
      <w:pPr>
        <w:autoSpaceDE w:val="0"/>
        <w:autoSpaceDN w:val="0"/>
        <w:adjustRightInd w:val="0"/>
        <w:spacing w:line="360" w:lineRule="auto"/>
        <w:ind w:firstLine="420" w:firstLineChars="200"/>
        <w:rPr>
          <w:rFonts w:ascii="宋体" w:hAnsi="宋体"/>
          <w:color w:val="auto"/>
          <w:kern w:val="0"/>
          <w:sz w:val="24"/>
          <w:highlight w:val="none"/>
        </w:rPr>
      </w:pPr>
      <w:r>
        <w:rPr>
          <w:rFonts w:hint="eastAsia"/>
          <w:color w:val="auto"/>
          <w:highlight w:val="none"/>
        </w:rPr>
        <w:t xml:space="preserve">    </w:t>
      </w:r>
      <w:r>
        <w:rPr>
          <w:rFonts w:hint="eastAsia" w:ascii="宋体" w:hAnsi="宋体"/>
          <w:color w:val="auto"/>
          <w:kern w:val="0"/>
          <w:sz w:val="24"/>
          <w:highlight w:val="none"/>
        </w:rPr>
        <w:t>①首次报价一览表（附件1</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pPr>
        <w:snapToGrid w:val="0"/>
        <w:spacing w:line="360" w:lineRule="auto"/>
        <w:ind w:firstLine="878" w:firstLineChars="366"/>
        <w:rPr>
          <w:rFonts w:ascii="宋体" w:hAnsi="宋体"/>
          <w:color w:val="auto"/>
          <w:kern w:val="0"/>
          <w:sz w:val="24"/>
          <w:highlight w:val="none"/>
        </w:rPr>
      </w:pPr>
      <w:r>
        <w:rPr>
          <w:rFonts w:hint="eastAsia" w:ascii="宋体" w:hAnsi="宋体"/>
          <w:color w:val="auto"/>
          <w:kern w:val="0"/>
          <w:sz w:val="24"/>
          <w:highlight w:val="none"/>
        </w:rPr>
        <w:t>②小微企业等声明函（如有见附件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2）；</w:t>
      </w:r>
    </w:p>
    <w:p>
      <w:pPr>
        <w:snapToGrid w:val="0"/>
        <w:spacing w:line="360" w:lineRule="auto"/>
        <w:ind w:firstLine="878" w:firstLineChars="366"/>
        <w:rPr>
          <w:rFonts w:ascii="宋体" w:hAnsi="宋体"/>
          <w:color w:val="auto"/>
          <w:kern w:val="0"/>
          <w:sz w:val="24"/>
          <w:highlight w:val="none"/>
        </w:rPr>
      </w:pPr>
      <w:r>
        <w:rPr>
          <w:rFonts w:hint="eastAsia" w:ascii="宋体" w:hAnsi="宋体"/>
          <w:color w:val="auto"/>
          <w:kern w:val="0"/>
          <w:sz w:val="24"/>
          <w:highlight w:val="none"/>
        </w:rPr>
        <w:t>③产品适用政府采购政策情况表（如有见附件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3）；</w:t>
      </w:r>
    </w:p>
    <w:p>
      <w:pPr>
        <w:snapToGrid w:val="0"/>
        <w:spacing w:line="360" w:lineRule="auto"/>
        <w:ind w:firstLine="882" w:firstLineChars="366"/>
        <w:rPr>
          <w:rFonts w:ascii="宋体" w:hAnsi="宋体"/>
          <w:b/>
          <w:color w:val="auto"/>
          <w:sz w:val="24"/>
          <w:highlight w:val="none"/>
        </w:rPr>
      </w:pPr>
      <w:r>
        <w:rPr>
          <w:rFonts w:hint="eastAsia" w:ascii="宋体" w:hAnsi="宋体"/>
          <w:b/>
          <w:color w:val="auto"/>
          <w:sz w:val="24"/>
          <w:highlight w:val="none"/>
        </w:rPr>
        <w:t>④</w:t>
      </w:r>
      <w:r>
        <w:rPr>
          <w:rFonts w:hint="eastAsia" w:ascii="宋体" w:hAnsi="宋体"/>
          <w:color w:val="auto"/>
          <w:kern w:val="0"/>
          <w:sz w:val="24"/>
          <w:highlight w:val="none"/>
        </w:rPr>
        <w:t>应商认为其他需要说明的内容；</w:t>
      </w:r>
    </w:p>
    <w:p>
      <w:pPr>
        <w:numPr>
          <w:ilvl w:val="0"/>
          <w:numId w:val="2"/>
        </w:num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此报价为供应商针对本项目报出的唯一的首次报价，包含为完成本项目所要涉及的一费用，有选择的报价将被拒绝。</w:t>
      </w:r>
    </w:p>
    <w:p>
      <w:pPr>
        <w:numPr>
          <w:ilvl w:val="0"/>
          <w:numId w:val="2"/>
        </w:num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有漏项，视同已包含在本项目的总报价中。</w:t>
      </w:r>
    </w:p>
    <w:p>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（5）相关报价表需打印或用不退色的墨水填写， 磋商响应报价表不得涂改和增删，如有错漏必须修改，修改处须由同一签署人签字或盖章。由于字迹模糊或表达不清引起的后果由供应商负责。</w:t>
      </w:r>
    </w:p>
    <w:p>
      <w:pPr>
        <w:numPr>
          <w:ilvl w:val="0"/>
          <w:numId w:val="3"/>
        </w:numPr>
        <w:snapToGrid w:val="0"/>
        <w:spacing w:line="360" w:lineRule="auto"/>
        <w:rPr>
          <w:rFonts w:ascii="宋体" w:hAnsi="宋体" w:cs="宋体"/>
          <w:color w:val="auto"/>
          <w:sz w:val="24"/>
          <w:highlight w:val="none"/>
          <w:lang w:val="zh-CN"/>
        </w:rPr>
      </w:pP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磋商采购</w:t>
      </w:r>
      <w:r>
        <w:rPr>
          <w:rFonts w:ascii="宋体" w:hAnsi="宋体"/>
          <w:color w:val="auto"/>
          <w:sz w:val="24"/>
          <w:highlight w:val="none"/>
        </w:rPr>
        <w:t>文件中相关附表格式填写。</w:t>
      </w:r>
    </w:p>
    <w:p>
      <w:pPr>
        <w:numPr>
          <w:ilvl w:val="0"/>
          <w:numId w:val="4"/>
        </w:numPr>
        <w:snapToGrid w:val="0"/>
        <w:spacing w:line="360" w:lineRule="auto"/>
        <w:rPr>
          <w:rFonts w:ascii="宋体" w:hAnsi="宋体" w:cs="宋体"/>
          <w:color w:val="auto"/>
          <w:sz w:val="24"/>
          <w:highlight w:val="none"/>
          <w:lang w:val="zh-CN"/>
        </w:rPr>
      </w:pPr>
      <w:r>
        <w:rPr>
          <w:rFonts w:hint="eastAsia" w:ascii="宋体" w:hAnsi="宋体"/>
          <w:b/>
          <w:bCs/>
          <w:color w:val="auto"/>
          <w:kern w:val="0"/>
          <w:sz w:val="24"/>
          <w:highlight w:val="none"/>
        </w:rPr>
        <w:t>磋商响应文件的制作、封装及递交要求</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color w:val="auto"/>
          <w:sz w:val="24"/>
          <w:highlight w:val="none"/>
        </w:rPr>
        <w:t xml:space="preserve"> </w:t>
      </w:r>
      <w:r>
        <w:rPr>
          <w:rFonts w:hint="eastAsia" w:ascii="宋体" w:hAnsi="宋体"/>
          <w:b/>
          <w:bCs/>
          <w:color w:val="auto"/>
          <w:sz w:val="24"/>
          <w:highlight w:val="none"/>
        </w:rPr>
        <w:t>1、投标文件的制作要求</w:t>
      </w:r>
    </w:p>
    <w:p>
      <w:pPr>
        <w:spacing w:line="440" w:lineRule="exact"/>
        <w:ind w:firstLine="480" w:firstLineChars="200"/>
        <w:jc w:val="left"/>
        <w:rPr>
          <w:rFonts w:ascii="宋体" w:hAnsi="宋体"/>
          <w:color w:val="auto"/>
          <w:kern w:val="0"/>
          <w:sz w:val="24"/>
          <w:highlight w:val="none"/>
        </w:rPr>
      </w:pPr>
      <w:r>
        <w:rPr>
          <w:rFonts w:hint="eastAsia" w:ascii="宋体" w:hAnsi="宋体"/>
          <w:color w:val="auto"/>
          <w:sz w:val="24"/>
          <w:highlight w:val="none"/>
        </w:rPr>
        <w:t>（1）投标人应按照投标文件组成内容及项目招标需求和浙江政府采购云平台要求制作投标文件，</w:t>
      </w:r>
      <w:r>
        <w:rPr>
          <w:rFonts w:hint="eastAsia" w:ascii="宋体" w:hAnsi="宋体"/>
          <w:color w:val="auto"/>
          <w:kern w:val="0"/>
          <w:sz w:val="24"/>
          <w:highlight w:val="none"/>
        </w:rPr>
        <w:t>不按招标文件</w:t>
      </w:r>
      <w:r>
        <w:rPr>
          <w:rFonts w:hint="eastAsia" w:ascii="宋体" w:hAnsi="宋体"/>
          <w:color w:val="auto"/>
          <w:sz w:val="24"/>
          <w:highlight w:val="none"/>
        </w:rPr>
        <w:t>和浙江政府采购云平台</w:t>
      </w:r>
      <w:r>
        <w:rPr>
          <w:rFonts w:hint="eastAsia" w:ascii="宋体" w:hAnsi="宋体"/>
          <w:color w:val="auto"/>
          <w:kern w:val="0"/>
          <w:sz w:val="24"/>
          <w:highlight w:val="none"/>
        </w:rPr>
        <w:t>要求制作投标文件的将视情处理（拒收、扣分等），由此产生的责任由投标人自行承担。</w:t>
      </w:r>
    </w:p>
    <w:p>
      <w:pPr>
        <w:spacing w:line="44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电子投标文件部分：投标人应根据“政采云供应商项目采购-电子招投标操作指南”及本招标文件规定的格式和顺序编制电子投标文件并进行关联定位。</w:t>
      </w:r>
    </w:p>
    <w:p>
      <w:pPr>
        <w:spacing w:line="440" w:lineRule="exact"/>
        <w:ind w:firstLine="480" w:firstLineChars="200"/>
        <w:jc w:val="left"/>
        <w:rPr>
          <w:rFonts w:ascii="宋体" w:hAnsi="宋体"/>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宋体" w:hAnsi="宋体"/>
          <w:color w:val="auto"/>
          <w:kern w:val="0"/>
          <w:sz w:val="24"/>
          <w:highlight w:val="none"/>
          <w:lang w:val="zh-CN"/>
        </w:rPr>
        <w:t>投标文件内容中有要求盖章或签字的地方，必须加盖投标人的公章以及法定代表人或全权代表盖章或签字，</w:t>
      </w:r>
      <w:r>
        <w:rPr>
          <w:rFonts w:hint="eastAsia" w:ascii="仿宋" w:hAnsi="仿宋" w:eastAsia="仿宋"/>
          <w:b/>
          <w:color w:val="auto"/>
          <w:sz w:val="24"/>
          <w:highlight w:val="none"/>
        </w:rPr>
        <w:t>电子投标文件中所须加盖公章部分均采用CA签章</w:t>
      </w:r>
      <w:r>
        <w:rPr>
          <w:rFonts w:hint="eastAsia" w:ascii="宋体" w:hAnsi="宋体"/>
          <w:color w:val="auto"/>
          <w:kern w:val="0"/>
          <w:sz w:val="24"/>
          <w:highlight w:val="none"/>
          <w:lang w:val="zh-CN"/>
        </w:rPr>
        <w:t>。</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w:t>
      </w:r>
      <w:r>
        <w:rPr>
          <w:rFonts w:ascii="宋体" w:hAnsi="宋体"/>
          <w:color w:val="auto"/>
          <w:sz w:val="24"/>
          <w:highlight w:val="none"/>
        </w:rPr>
        <w:t>投标文件以及投标人与</w:t>
      </w:r>
      <w:r>
        <w:rPr>
          <w:rFonts w:hint="eastAsia" w:ascii="宋体" w:hAnsi="宋体"/>
          <w:color w:val="auto"/>
          <w:sz w:val="24"/>
          <w:highlight w:val="none"/>
        </w:rPr>
        <w:t>采购组织机构</w:t>
      </w:r>
      <w:r>
        <w:rPr>
          <w:rFonts w:ascii="宋体" w:hAnsi="宋体"/>
          <w:color w:val="auto"/>
          <w:sz w:val="24"/>
          <w:highlight w:val="none"/>
        </w:rPr>
        <w:t>就有关投标事宜的所有来往函电，均应以中文汉语书写。除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与本次投标无关的内容请不要制作在内，确保投标文件有针对性、简洁明了。</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2、投标文件的上传要求</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投标文件制作完成并生成加密标书，在开标前，供应商需将加密的投标文件上传至政采云平台，到达开标时间后，解密投标文件。</w:t>
      </w:r>
    </w:p>
    <w:p>
      <w:pPr>
        <w:tabs>
          <w:tab w:val="left" w:pos="960"/>
          <w:tab w:val="left" w:pos="1418"/>
        </w:tabs>
        <w:autoSpaceDE w:val="0"/>
        <w:autoSpaceDN w:val="0"/>
        <w:adjustRightInd w:val="0"/>
        <w:spacing w:line="360" w:lineRule="auto"/>
        <w:rPr>
          <w:rFonts w:ascii="宋体" w:hAnsi="宋体"/>
          <w:color w:val="auto"/>
          <w:kern w:val="0"/>
          <w:sz w:val="24"/>
          <w:highlight w:val="none"/>
        </w:rPr>
      </w:pPr>
      <w:r>
        <w:rPr>
          <w:rFonts w:hint="eastAsia" w:ascii="宋体" w:hAnsi="宋体"/>
          <w:b/>
          <w:color w:val="auto"/>
          <w:kern w:val="0"/>
          <w:sz w:val="24"/>
          <w:highlight w:val="none"/>
        </w:rPr>
        <w:t>（三）磋商响应文件的有效期</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auto"/>
          <w:szCs w:val="24"/>
          <w:highlight w:val="none"/>
          <w:lang w:val="en-GB"/>
        </w:rPr>
      </w:pPr>
      <w:r>
        <w:rPr>
          <w:rFonts w:hint="eastAsia" w:ascii="宋体" w:hAnsi="宋体"/>
          <w:color w:val="auto"/>
          <w:szCs w:val="24"/>
          <w:highlight w:val="none"/>
        </w:rPr>
        <w:t>1、</w:t>
      </w:r>
      <w:r>
        <w:rPr>
          <w:rFonts w:hint="eastAsia" w:ascii="宋体" w:hAnsi="宋体"/>
          <w:color w:val="auto"/>
          <w:szCs w:val="24"/>
          <w:highlight w:val="none"/>
          <w:lang w:val="en-GB"/>
        </w:rPr>
        <w:t>自磋商响应截止日起</w:t>
      </w:r>
      <w:r>
        <w:rPr>
          <w:rFonts w:hint="eastAsia" w:ascii="宋体" w:hAnsi="宋体"/>
          <w:color w:val="auto"/>
          <w:szCs w:val="24"/>
          <w:highlight w:val="none"/>
          <w:u w:val="single"/>
          <w:lang w:val="en-GB"/>
        </w:rPr>
        <w:t>90</w:t>
      </w:r>
      <w:r>
        <w:rPr>
          <w:rFonts w:hint="eastAsia" w:ascii="宋体" w:hAnsi="宋体"/>
          <w:color w:val="auto"/>
          <w:szCs w:val="24"/>
          <w:highlight w:val="none"/>
          <w:lang w:val="en-GB"/>
        </w:rPr>
        <w:t>天磋商响应文件应保持有效。有效期不足的磋商响应文件将被拒绝。</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auto"/>
          <w:szCs w:val="24"/>
          <w:highlight w:val="none"/>
        </w:rPr>
      </w:pPr>
      <w:r>
        <w:rPr>
          <w:rFonts w:hint="eastAsia" w:ascii="宋体" w:hAnsi="宋体"/>
          <w:color w:val="auto"/>
          <w:szCs w:val="24"/>
          <w:highlight w:val="none"/>
        </w:rPr>
        <w:t>2、在特殊情况下，采购人可与磋商供应商协商延长磋商响应文件的有效期，这种要求和答复均以书面形式进行。</w:t>
      </w:r>
    </w:p>
    <w:p>
      <w:pPr>
        <w:pStyle w:val="7"/>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auto"/>
          <w:szCs w:val="24"/>
          <w:highlight w:val="none"/>
        </w:rPr>
      </w:pPr>
      <w:r>
        <w:rPr>
          <w:rFonts w:hint="eastAsia" w:ascii="宋体" w:hAnsi="宋体"/>
          <w:color w:val="auto"/>
          <w:szCs w:val="24"/>
          <w:highlight w:val="none"/>
        </w:rPr>
        <w:t>3、磋商供应商可拒绝接受延期要求，同意延长有效期的磋商供应商</w:t>
      </w:r>
      <w:r>
        <w:rPr>
          <w:rFonts w:ascii="宋体" w:hAnsi="宋体"/>
          <w:color w:val="auto"/>
          <w:szCs w:val="24"/>
          <w:highlight w:val="none"/>
        </w:rPr>
        <w:t>不能修改</w:t>
      </w:r>
      <w:r>
        <w:rPr>
          <w:rFonts w:hint="eastAsia" w:ascii="宋体" w:hAnsi="宋体"/>
          <w:color w:val="auto"/>
          <w:szCs w:val="24"/>
          <w:highlight w:val="none"/>
        </w:rPr>
        <w:t>磋商响应文件</w:t>
      </w:r>
      <w:r>
        <w:rPr>
          <w:rFonts w:ascii="宋体" w:hAnsi="宋体"/>
          <w:color w:val="auto"/>
          <w:szCs w:val="24"/>
          <w:highlight w:val="none"/>
        </w:rPr>
        <w:t xml:space="preserve">。 </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4.成交供应商的磋商响应文件自磋商之日起至合同履行完毕均应保持有效。</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outlineLvl w:val="2"/>
        <w:rPr>
          <w:rFonts w:ascii="宋体" w:hAnsi="宋体"/>
          <w:b/>
          <w:color w:val="auto"/>
          <w:sz w:val="24"/>
          <w:highlight w:val="none"/>
        </w:rPr>
      </w:pPr>
      <w:r>
        <w:rPr>
          <w:rFonts w:hint="eastAsia" w:ascii="宋体" w:hAnsi="宋体"/>
          <w:b/>
          <w:color w:val="auto"/>
          <w:sz w:val="24"/>
          <w:highlight w:val="none"/>
        </w:rPr>
        <w:t>三、磋商</w:t>
      </w:r>
    </w:p>
    <w:p>
      <w:pPr>
        <w:autoSpaceDE w:val="0"/>
        <w:autoSpaceDN w:val="0"/>
        <w:adjustRightIn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（一）磋商事项</w:t>
      </w:r>
    </w:p>
    <w:p>
      <w:pPr>
        <w:autoSpaceDE w:val="0"/>
        <w:autoSpaceDN w:val="0"/>
        <w:adjustRightInd w:val="0"/>
        <w:spacing w:line="360" w:lineRule="auto"/>
        <w:ind w:firstLine="480" w:firstLineChars="200"/>
        <w:rPr>
          <w:rFonts w:ascii="宋体" w:hAnsi="宋体"/>
          <w:bCs/>
          <w:color w:val="auto"/>
          <w:sz w:val="24"/>
          <w:highlight w:val="none"/>
        </w:rPr>
      </w:pPr>
      <w:r>
        <w:rPr>
          <w:rFonts w:hint="eastAsia" w:ascii="宋体" w:hAnsi="宋体"/>
          <w:color w:val="auto"/>
          <w:kern w:val="0"/>
          <w:sz w:val="24"/>
          <w:highlight w:val="none"/>
        </w:rPr>
        <w:t>采购组织机构在“磋商公告”规定的时间和地点公开开标，投标人的法定代表人或其授权代表应在线上参加开标会并签到。</w:t>
      </w:r>
      <w:r>
        <w:rPr>
          <w:rFonts w:ascii="宋体" w:hAnsi="宋体"/>
          <w:bCs/>
          <w:color w:val="auto"/>
          <w:sz w:val="24"/>
          <w:highlight w:val="none"/>
        </w:rPr>
        <w:t>投标人的法定代表人或其授权代表未按时签到的，视同放弃开标监督权利、认可开标结果。</w:t>
      </w:r>
      <w:r>
        <w:rPr>
          <w:rFonts w:hint="eastAsia" w:ascii="宋体" w:hAnsi="宋体"/>
          <w:bCs/>
          <w:color w:val="auto"/>
          <w:sz w:val="24"/>
          <w:highlight w:val="none"/>
        </w:rPr>
        <w:t>采购组织机构</w:t>
      </w:r>
      <w:r>
        <w:rPr>
          <w:rFonts w:ascii="宋体" w:hAnsi="宋体"/>
          <w:bCs/>
          <w:color w:val="auto"/>
          <w:sz w:val="24"/>
          <w:highlight w:val="none"/>
        </w:rPr>
        <w:t>工作人员</w:t>
      </w:r>
      <w:r>
        <w:rPr>
          <w:rFonts w:hint="eastAsia" w:ascii="宋体" w:hAnsi="宋体"/>
          <w:bCs/>
          <w:color w:val="auto"/>
          <w:sz w:val="24"/>
          <w:highlight w:val="none"/>
        </w:rPr>
        <w:t>线上确认</w:t>
      </w:r>
      <w:r>
        <w:rPr>
          <w:rFonts w:ascii="宋体" w:hAnsi="宋体"/>
          <w:bCs/>
          <w:color w:val="auto"/>
          <w:sz w:val="24"/>
          <w:highlight w:val="none"/>
        </w:rPr>
        <w:t>投标文件</w:t>
      </w:r>
      <w:r>
        <w:rPr>
          <w:rFonts w:hint="eastAsia" w:ascii="宋体" w:hAnsi="宋体"/>
          <w:bCs/>
          <w:color w:val="auto"/>
          <w:sz w:val="24"/>
          <w:highlight w:val="none"/>
        </w:rPr>
        <w:t>。</w:t>
      </w:r>
    </w:p>
    <w:p>
      <w:pPr>
        <w:autoSpaceDE w:val="0"/>
        <w:autoSpaceDN w:val="0"/>
        <w:adjustRightInd w:val="0"/>
        <w:spacing w:line="360" w:lineRule="auto"/>
        <w:ind w:firstLine="240" w:firstLineChars="100"/>
        <w:rPr>
          <w:rFonts w:ascii="宋体" w:hAnsi="宋体"/>
          <w:bCs/>
          <w:color w:val="auto"/>
          <w:sz w:val="24"/>
          <w:highlight w:val="none"/>
        </w:rPr>
      </w:pPr>
      <w:r>
        <w:rPr>
          <w:rFonts w:ascii="宋体" w:hAnsi="宋体"/>
          <w:bCs/>
          <w:color w:val="auto"/>
          <w:sz w:val="24"/>
          <w:highlight w:val="none"/>
        </w:rPr>
        <w:t>（二）</w:t>
      </w:r>
      <w:r>
        <w:rPr>
          <w:rFonts w:hint="eastAsia" w:ascii="宋体" w:hAnsi="宋体"/>
          <w:bCs/>
          <w:color w:val="auto"/>
          <w:sz w:val="24"/>
          <w:highlight w:val="none"/>
        </w:rPr>
        <w:t>磋商</w:t>
      </w:r>
      <w:r>
        <w:rPr>
          <w:rFonts w:ascii="宋体" w:hAnsi="宋体"/>
          <w:bCs/>
          <w:color w:val="auto"/>
          <w:sz w:val="24"/>
          <w:highlight w:val="none"/>
        </w:rPr>
        <w:t>程序：</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1、开标时间到后，招标项目负责人准时组织开标；</w:t>
      </w:r>
    </w:p>
    <w:p>
      <w:pPr>
        <w:pStyle w:val="14"/>
        <w:snapToGrid w:val="0"/>
        <w:spacing w:line="360" w:lineRule="auto"/>
        <w:ind w:firstLine="480" w:firstLineChars="200"/>
        <w:rPr>
          <w:color w:val="auto"/>
          <w:highlight w:val="none"/>
        </w:rPr>
      </w:pPr>
      <w:r>
        <w:rPr>
          <w:rFonts w:hint="eastAsia" w:hAnsi="宋体" w:cs="宋体"/>
          <w:color w:val="auto"/>
          <w:sz w:val="24"/>
          <w:highlight w:val="none"/>
        </w:rPr>
        <w:t>2、投标人登录政采云平台，用“项目采购-开标评标”功能对电子投标文件进行在线解密。在线解密电子投标文件时间为开标时间起半个小时内。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4、磋商小组所有成员给予所有参加磋商的供应商平等的磋商机会。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pageBreakBefore w:val="0"/>
        <w:kinsoku/>
        <w:wordWrap/>
        <w:overflowPunct/>
        <w:topLinePunct w:val="0"/>
        <w:bidi w:val="0"/>
        <w:spacing w:line="400" w:lineRule="exact"/>
        <w:ind w:firstLine="456" w:firstLineChars="190"/>
        <w:rPr>
          <w:rFonts w:hint="eastAsia" w:ascii="宋体" w:hAnsi="宋体" w:eastAsia="宋体" w:cs="宋体"/>
          <w:color w:val="auto"/>
          <w:sz w:val="24"/>
          <w:highlight w:val="none"/>
          <w:lang w:eastAsia="zh-CN"/>
        </w:rPr>
      </w:pPr>
      <w:r>
        <w:rPr>
          <w:rFonts w:hint="eastAsia" w:ascii="宋体" w:hAnsi="宋体" w:cs="宋体"/>
          <w:color w:val="auto"/>
          <w:sz w:val="24"/>
          <w:highlight w:val="none"/>
        </w:rPr>
        <w:t>6、磋商文件能够详细列明采购标的的技术、服务要求的，磋商结束后，磋商小组将要求所有实质性响应的供应商在规定时间内提交最后报价，统一进行最后报价</w:t>
      </w:r>
      <w:r>
        <w:rPr>
          <w:rFonts w:hint="eastAsia" w:ascii="宋体" w:hAnsi="宋体" w:cs="宋体"/>
          <w:color w:val="auto"/>
          <w:sz w:val="24"/>
          <w:highlight w:val="none"/>
          <w:lang w:eastAsia="zh-CN"/>
        </w:rPr>
        <w:t>。</w:t>
      </w:r>
      <w:r>
        <w:rPr>
          <w:rFonts w:hint="eastAsia" w:ascii="宋体" w:hAnsi="宋体" w:cs="宋体"/>
          <w:color w:val="auto"/>
          <w:sz w:val="24"/>
          <w:highlight w:val="none"/>
        </w:rPr>
        <w:t>最后报价不得高于</w:t>
      </w:r>
      <w:r>
        <w:rPr>
          <w:rFonts w:hint="eastAsia" w:ascii="宋体" w:hAnsi="宋体" w:cs="宋体"/>
          <w:color w:val="auto"/>
          <w:sz w:val="24"/>
          <w:highlight w:val="none"/>
          <w:lang w:eastAsia="zh-CN"/>
        </w:rPr>
        <w:t>首次</w:t>
      </w:r>
      <w:r>
        <w:rPr>
          <w:rFonts w:hint="eastAsia" w:ascii="宋体" w:hAnsi="宋体" w:cs="宋体"/>
          <w:color w:val="auto"/>
          <w:sz w:val="24"/>
          <w:highlight w:val="none"/>
        </w:rPr>
        <w:t>报价（磋商小组另有决议的除外）</w:t>
      </w:r>
      <w:r>
        <w:rPr>
          <w:rFonts w:hint="eastAsia" w:ascii="宋体" w:hAnsi="宋体" w:cs="宋体"/>
          <w:color w:val="auto"/>
          <w:sz w:val="24"/>
          <w:highlight w:val="none"/>
          <w:lang w:eastAsia="zh-CN"/>
        </w:rPr>
        <w:t>，</w:t>
      </w:r>
      <w:r>
        <w:rPr>
          <w:rFonts w:hint="eastAsia" w:ascii="宋体" w:hAnsi="宋体" w:cs="宋体"/>
          <w:color w:val="auto"/>
          <w:sz w:val="24"/>
          <w:highlight w:val="none"/>
        </w:rPr>
        <w:t>最后报价是供应商响应文件的有效组成部分。磋商轮次最多不超过3轮</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7、经磋商确定最终采购需求和提交最后报价的供应商后，由磋商小组采用综合评分法对提交最后报价的供应商的响应文件和最后报价进行综合评分。</w:t>
      </w:r>
    </w:p>
    <w:p>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8、磋商小组</w:t>
      </w:r>
      <w:r>
        <w:rPr>
          <w:rFonts w:hAnsi="宋体" w:cs="宋体"/>
          <w:color w:val="auto"/>
          <w:sz w:val="24"/>
          <w:highlight w:val="none"/>
        </w:rPr>
        <w:t>根据综合评分情况，按照评审得分由高到低顺序</w:t>
      </w:r>
      <w:r>
        <w:rPr>
          <w:rFonts w:hint="eastAsia" w:hAnsi="宋体" w:cs="宋体"/>
          <w:color w:val="auto"/>
          <w:sz w:val="24"/>
          <w:highlight w:val="none"/>
        </w:rPr>
        <w:t>确定预成交供应商，编写评审报告。</w:t>
      </w:r>
    </w:p>
    <w:p>
      <w:pPr>
        <w:pStyle w:val="1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9、采购组织机构对磋商小组专家成员进行评价；</w:t>
      </w:r>
    </w:p>
    <w:p>
      <w:pPr>
        <w:pStyle w:val="14"/>
        <w:snapToGrid w:val="0"/>
        <w:spacing w:line="360" w:lineRule="auto"/>
        <w:ind w:left="719" w:leftChars="228" w:hanging="240" w:hangingChars="100"/>
        <w:rPr>
          <w:rFonts w:hAnsi="宋体"/>
          <w:color w:val="auto"/>
          <w:kern w:val="0"/>
          <w:sz w:val="24"/>
          <w:highlight w:val="none"/>
        </w:rPr>
      </w:pPr>
      <w:r>
        <w:rPr>
          <w:rFonts w:hint="eastAsia" w:hAnsi="宋体"/>
          <w:color w:val="auto"/>
          <w:sz w:val="24"/>
          <w:highlight w:val="none"/>
        </w:rPr>
        <w:t>10、</w:t>
      </w:r>
      <w:r>
        <w:rPr>
          <w:rFonts w:hint="eastAsia" w:hAnsi="宋体" w:cs="宋体"/>
          <w:color w:val="auto"/>
          <w:sz w:val="24"/>
          <w:highlight w:val="none"/>
        </w:rPr>
        <w:t>主持人</w:t>
      </w:r>
      <w:r>
        <w:rPr>
          <w:rFonts w:hint="eastAsia" w:hAnsi="宋体"/>
          <w:color w:val="auto"/>
          <w:sz w:val="24"/>
          <w:highlight w:val="none"/>
        </w:rPr>
        <w:t>到磋商采购会现场宣布磋商结果（含技术得分、最后报价、报价得分及总得分），磋商采购会议结束。</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outlineLvl w:val="2"/>
        <w:rPr>
          <w:rFonts w:ascii="宋体" w:hAnsi="宋体"/>
          <w:b/>
          <w:color w:val="auto"/>
          <w:sz w:val="24"/>
          <w:highlight w:val="none"/>
        </w:rPr>
      </w:pPr>
      <w:r>
        <w:rPr>
          <w:rFonts w:hint="eastAsia" w:ascii="宋体" w:hAnsi="宋体"/>
          <w:b/>
          <w:color w:val="auto"/>
          <w:sz w:val="24"/>
          <w:highlight w:val="none"/>
        </w:rPr>
        <w:t>四、评标</w:t>
      </w:r>
    </w:p>
    <w:p>
      <w:pPr>
        <w:pStyle w:val="14"/>
        <w:snapToGrid w:val="0"/>
        <w:spacing w:line="360" w:lineRule="auto"/>
        <w:ind w:left="720" w:leftChars="228" w:hanging="241" w:hangingChars="100"/>
        <w:rPr>
          <w:rFonts w:hAnsi="宋体"/>
          <w:b/>
          <w:color w:val="auto"/>
          <w:sz w:val="24"/>
          <w:highlight w:val="none"/>
        </w:rPr>
      </w:pPr>
      <w:r>
        <w:rPr>
          <w:rFonts w:hAnsi="宋体"/>
          <w:b/>
          <w:color w:val="auto"/>
          <w:sz w:val="24"/>
          <w:highlight w:val="none"/>
        </w:rPr>
        <w:t>（一）组建评标委员会</w:t>
      </w:r>
    </w:p>
    <w:p>
      <w:pPr>
        <w:pStyle w:val="14"/>
        <w:snapToGrid w:val="0"/>
        <w:spacing w:line="360" w:lineRule="auto"/>
        <w:ind w:firstLine="480" w:firstLineChars="200"/>
        <w:rPr>
          <w:rFonts w:hAnsi="宋体"/>
          <w:color w:val="auto"/>
          <w:sz w:val="24"/>
          <w:highlight w:val="none"/>
        </w:rPr>
      </w:pPr>
      <w:r>
        <w:rPr>
          <w:rFonts w:hAnsi="宋体"/>
          <w:color w:val="auto"/>
          <w:sz w:val="24"/>
          <w:highlight w:val="none"/>
        </w:rPr>
        <w:t>本项目评标委员会由政府采购评审专家</w:t>
      </w:r>
      <w:r>
        <w:rPr>
          <w:rFonts w:hint="eastAsia" w:hAnsi="宋体"/>
          <w:color w:val="auto"/>
          <w:sz w:val="24"/>
          <w:highlight w:val="none"/>
        </w:rPr>
        <w:t>和采购单位评审代表</w:t>
      </w:r>
      <w:r>
        <w:rPr>
          <w:rFonts w:hAnsi="宋体"/>
          <w:color w:val="auto"/>
          <w:sz w:val="24"/>
          <w:highlight w:val="none"/>
        </w:rPr>
        <w:t>组成。</w:t>
      </w:r>
    </w:p>
    <w:p>
      <w:pPr>
        <w:pStyle w:val="14"/>
        <w:snapToGrid w:val="0"/>
        <w:spacing w:line="360" w:lineRule="auto"/>
        <w:ind w:left="720" w:leftChars="228" w:hanging="241" w:hangingChars="1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二</w:t>
      </w:r>
      <w:r>
        <w:rPr>
          <w:rFonts w:hAnsi="宋体"/>
          <w:b/>
          <w:color w:val="auto"/>
          <w:sz w:val="24"/>
          <w:highlight w:val="none"/>
        </w:rPr>
        <w:t>）</w:t>
      </w:r>
      <w:r>
        <w:rPr>
          <w:rFonts w:hAnsi="宋体"/>
          <w:b/>
          <w:bCs/>
          <w:color w:val="auto"/>
          <w:sz w:val="24"/>
          <w:highlight w:val="none"/>
        </w:rPr>
        <w:t>评标程序</w:t>
      </w:r>
    </w:p>
    <w:p>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1、资格</w:t>
      </w:r>
      <w:r>
        <w:rPr>
          <w:rFonts w:ascii="宋体" w:hAnsi="宋体"/>
          <w:b/>
          <w:bCs/>
          <w:color w:val="auto"/>
          <w:sz w:val="24"/>
          <w:highlight w:val="none"/>
        </w:rPr>
        <w:t>审查</w:t>
      </w:r>
    </w:p>
    <w:p>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22"/>
        <w:spacing w:before="0" w:beforeAutospacing="0" w:after="0" w:afterAutospacing="0" w:line="360" w:lineRule="auto"/>
        <w:ind w:firstLine="472" w:firstLineChars="196"/>
        <w:jc w:val="both"/>
        <w:rPr>
          <w:rFonts w:hint="default"/>
          <w:b/>
          <w:bCs/>
          <w:color w:val="auto"/>
          <w:highlight w:val="none"/>
        </w:rPr>
      </w:pPr>
      <w:r>
        <w:rPr>
          <w:b/>
          <w:bCs/>
          <w:color w:val="auto"/>
          <w:highlight w:val="none"/>
        </w:rPr>
        <w:t>2、符合性审查</w:t>
      </w:r>
    </w:p>
    <w:p>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2"/>
        <w:spacing w:before="0" w:beforeAutospacing="0" w:after="0" w:afterAutospacing="0" w:line="360" w:lineRule="auto"/>
        <w:ind w:firstLine="482" w:firstLineChars="200"/>
        <w:jc w:val="both"/>
        <w:rPr>
          <w:rFonts w:hint="default"/>
          <w:color w:val="auto"/>
          <w:highlight w:val="none"/>
        </w:rPr>
      </w:pPr>
      <w:r>
        <w:rPr>
          <w:b/>
          <w:bCs/>
          <w:color w:val="auto"/>
          <w:highlight w:val="none"/>
        </w:rPr>
        <w:t>3、</w:t>
      </w:r>
      <w:r>
        <w:rPr>
          <w:rFonts w:hint="default" w:ascii="Arial" w:hAnsi="Arial" w:cs="Arial"/>
          <w:b/>
          <w:bCs/>
          <w:color w:val="auto"/>
          <w:highlight w:val="none"/>
        </w:rPr>
        <w:t>综合比较与评价</w:t>
      </w:r>
    </w:p>
    <w:p>
      <w:pPr>
        <w:pStyle w:val="22"/>
        <w:spacing w:before="0" w:beforeAutospacing="0" w:after="0" w:afterAutospacing="0" w:line="360" w:lineRule="auto"/>
        <w:ind w:firstLine="360" w:firstLineChars="150"/>
        <w:jc w:val="both"/>
        <w:rPr>
          <w:rFonts w:hint="default"/>
          <w:color w:val="auto"/>
          <w:highlight w:val="none"/>
        </w:rPr>
      </w:pPr>
      <w:r>
        <w:rPr>
          <w:color w:val="auto"/>
          <w:highlight w:val="none"/>
        </w:rPr>
        <w:t>（1）对于投标文件中含义不明确、同类问题表述不一致或者有明显文字和计算错误的内容，评标委员会应当以书面形式要求投标人作出必要的澄清、说明或者补正。</w:t>
      </w:r>
    </w:p>
    <w:p>
      <w:pPr>
        <w:pStyle w:val="22"/>
        <w:spacing w:before="0" w:beforeAutospacing="0" w:after="0" w:afterAutospacing="0" w:line="360" w:lineRule="auto"/>
        <w:ind w:firstLine="360" w:firstLineChars="150"/>
        <w:jc w:val="both"/>
        <w:rPr>
          <w:rFonts w:hint="default"/>
          <w:color w:val="auto"/>
          <w:highlight w:val="none"/>
        </w:rPr>
      </w:pPr>
      <w:r>
        <w:rPr>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hAnsi="宋体"/>
          <w:color w:val="auto"/>
          <w:kern w:val="0"/>
          <w:sz w:val="24"/>
          <w:highlight w:val="none"/>
        </w:rPr>
      </w:pPr>
      <w:r>
        <w:rPr>
          <w:rFonts w:hint="eastAsia" w:ascii="宋体" w:hAnsi="宋体"/>
          <w:color w:val="auto"/>
          <w:kern w:val="0"/>
          <w:sz w:val="24"/>
          <w:highlight w:val="none"/>
        </w:rPr>
        <w:t>（3）评标时，评标委员会各成员应当独立对每个投标人的投标文件进行评价，并汇总每个投标人的得分。</w:t>
      </w:r>
    </w:p>
    <w:p>
      <w:p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4"/>
        <w:snapToGrid w:val="0"/>
        <w:spacing w:line="360" w:lineRule="auto"/>
        <w:ind w:firstLine="420" w:firstLineChars="175"/>
        <w:rPr>
          <w:rFonts w:hAnsi="宋体"/>
          <w:color w:val="auto"/>
          <w:sz w:val="24"/>
          <w:highlight w:val="none"/>
        </w:rPr>
      </w:pPr>
      <w:r>
        <w:rPr>
          <w:rFonts w:hAnsi="宋体"/>
          <w:color w:val="auto"/>
          <w:sz w:val="24"/>
          <w:highlight w:val="none"/>
        </w:rPr>
        <w:t>（</w:t>
      </w:r>
      <w:r>
        <w:rPr>
          <w:rFonts w:hint="eastAsia" w:hAnsi="宋体"/>
          <w:color w:val="auto"/>
          <w:sz w:val="24"/>
          <w:highlight w:val="none"/>
        </w:rPr>
        <w:t>1</w:t>
      </w:r>
      <w:r>
        <w:rPr>
          <w:rFonts w:hAnsi="宋体"/>
          <w:color w:val="auto"/>
          <w:sz w:val="24"/>
          <w:highlight w:val="none"/>
        </w:rPr>
        <w:t>）</w:t>
      </w:r>
      <w:r>
        <w:rPr>
          <w:rFonts w:hint="eastAsia" w:hAnsi="宋体"/>
          <w:color w:val="auto"/>
          <w:sz w:val="24"/>
          <w:highlight w:val="none"/>
        </w:rPr>
        <w:t>评标委员会对报价文件进行复核，对于系统计算出的价格分及总得分进行确认；</w:t>
      </w:r>
    </w:p>
    <w:p>
      <w:pPr>
        <w:pStyle w:val="22"/>
        <w:spacing w:before="0" w:beforeAutospacing="0" w:after="0" w:afterAutospacing="0" w:line="360" w:lineRule="auto"/>
        <w:ind w:firstLine="420" w:firstLineChars="175"/>
        <w:jc w:val="both"/>
        <w:rPr>
          <w:rFonts w:hint="default"/>
          <w:color w:val="auto"/>
          <w:highlight w:val="none"/>
        </w:rPr>
      </w:pPr>
      <w:r>
        <w:rPr>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kern w:val="0"/>
          <w:sz w:val="24"/>
          <w:highlight w:val="none"/>
        </w:rPr>
        <w:t>评标委员会</w:t>
      </w:r>
      <w:r>
        <w:rPr>
          <w:rFonts w:ascii="宋体" w:hAnsi="宋体"/>
          <w:color w:val="auto"/>
          <w:sz w:val="24"/>
          <w:highlight w:val="none"/>
        </w:rPr>
        <w:t>按评标原则</w:t>
      </w:r>
      <w:r>
        <w:rPr>
          <w:rFonts w:hint="eastAsia" w:ascii="宋体" w:hAnsi="宋体"/>
          <w:color w:val="auto"/>
          <w:sz w:val="24"/>
          <w:highlight w:val="none"/>
        </w:rPr>
        <w:t>及得分情况编写评审报告。</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5、评价</w:t>
      </w:r>
    </w:p>
    <w:p>
      <w:pPr>
        <w:snapToGrid w:val="0"/>
        <w:spacing w:line="360" w:lineRule="auto"/>
        <w:ind w:firstLine="480" w:firstLineChars="200"/>
        <w:rPr>
          <w:rFonts w:hAnsi="宋体"/>
          <w:b/>
          <w:color w:val="auto"/>
          <w:sz w:val="24"/>
          <w:highlight w:val="none"/>
        </w:rPr>
      </w:pPr>
      <w:r>
        <w:rPr>
          <w:rFonts w:hint="eastAsia" w:ascii="宋体" w:hAnsi="宋体"/>
          <w:color w:val="auto"/>
          <w:sz w:val="24"/>
          <w:highlight w:val="none"/>
        </w:rPr>
        <w:t>采购组织机构对评标委员会评审专家进行评价。</w:t>
      </w:r>
    </w:p>
    <w:p>
      <w:pPr>
        <w:pStyle w:val="14"/>
        <w:snapToGrid w:val="0"/>
        <w:spacing w:line="360" w:lineRule="auto"/>
        <w:ind w:left="720" w:leftChars="228" w:hanging="241" w:hangingChars="100"/>
        <w:rPr>
          <w:rFonts w:hAnsi="宋体"/>
          <w:color w:val="auto"/>
          <w:sz w:val="24"/>
          <w:highlight w:val="none"/>
        </w:rPr>
      </w:pPr>
      <w:r>
        <w:rPr>
          <w:rFonts w:hint="eastAsia" w:hAnsi="宋体"/>
          <w:b/>
          <w:color w:val="auto"/>
          <w:sz w:val="24"/>
          <w:highlight w:val="none"/>
        </w:rPr>
        <w:t>（三）澄清问题的形式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投标人的澄清、说明或者补正应当采用书面形式，并加盖公章（电子签章），或者由法定代理人或其授权的代表签字，并不得超出投标文件的范围或者改变投标文件的实质性内容。</w:t>
      </w:r>
    </w:p>
    <w:p>
      <w:pPr>
        <w:snapToGrid w:val="0"/>
        <w:spacing w:line="360" w:lineRule="auto"/>
        <w:ind w:firstLine="482" w:firstLineChars="200"/>
        <w:rPr>
          <w:rFonts w:ascii="宋体" w:hAnsi="宋体"/>
          <w:color w:val="auto"/>
          <w:sz w:val="24"/>
          <w:highlight w:val="none"/>
        </w:rPr>
      </w:pPr>
      <w:r>
        <w:rPr>
          <w:rFonts w:hint="eastAsia" w:hAnsi="宋体"/>
          <w:b/>
          <w:color w:val="auto"/>
          <w:sz w:val="24"/>
          <w:highlight w:val="none"/>
        </w:rPr>
        <w:t>（四）错误修正</w:t>
      </w:r>
    </w:p>
    <w:p>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磋商响应文件报价出现前后不一致的，除</w:t>
      </w:r>
      <w:r>
        <w:rPr>
          <w:bCs/>
          <w:color w:val="auto"/>
          <w:highlight w:val="none"/>
        </w:rPr>
        <w:t>磋商采购文件</w:t>
      </w:r>
      <w:r>
        <w:rPr>
          <w:color w:val="auto"/>
          <w:highlight w:val="none"/>
        </w:rPr>
        <w:t>另有规定外，按照下列规定修正：</w:t>
      </w:r>
    </w:p>
    <w:p>
      <w:pPr>
        <w:pStyle w:val="22"/>
        <w:spacing w:before="0" w:beforeAutospacing="0" w:after="0" w:afterAutospacing="0" w:line="360" w:lineRule="auto"/>
        <w:jc w:val="both"/>
        <w:rPr>
          <w:rFonts w:hint="default"/>
          <w:color w:val="auto"/>
          <w:highlight w:val="none"/>
        </w:rPr>
      </w:pPr>
      <w:r>
        <w:rPr>
          <w:color w:val="auto"/>
          <w:highlight w:val="none"/>
        </w:rPr>
        <w:t>　　1、磋商响应文件中首次（最后）报价一览表内容与磋商响应文件中相应内容不一致的，以首次（最后）报价一览表为准；</w:t>
      </w:r>
    </w:p>
    <w:p>
      <w:pPr>
        <w:pStyle w:val="22"/>
        <w:spacing w:before="0" w:beforeAutospacing="0" w:after="0" w:afterAutospacing="0" w:line="360" w:lineRule="auto"/>
        <w:jc w:val="both"/>
        <w:rPr>
          <w:rFonts w:hint="default"/>
          <w:color w:val="auto"/>
          <w:highlight w:val="none"/>
        </w:rPr>
      </w:pPr>
      <w:r>
        <w:rPr>
          <w:color w:val="auto"/>
          <w:highlight w:val="none"/>
        </w:rPr>
        <w:t>　　2、大写金额和小写金额不一致的，以大写金额为准；</w:t>
      </w:r>
    </w:p>
    <w:p>
      <w:pPr>
        <w:pStyle w:val="22"/>
        <w:spacing w:before="0" w:beforeAutospacing="0" w:after="0" w:afterAutospacing="0" w:line="360" w:lineRule="auto"/>
        <w:jc w:val="both"/>
        <w:rPr>
          <w:rFonts w:hint="default"/>
          <w:color w:val="auto"/>
          <w:highlight w:val="none"/>
        </w:rPr>
      </w:pPr>
      <w:r>
        <w:rPr>
          <w:color w:val="auto"/>
          <w:highlight w:val="none"/>
        </w:rPr>
        <w:t>　　3、单价金额小数点或者百分比有明显错位的，以首次报价一览表的总价为准，并修改单价；</w:t>
      </w:r>
    </w:p>
    <w:p>
      <w:pPr>
        <w:pStyle w:val="22"/>
        <w:spacing w:before="0" w:beforeAutospacing="0" w:after="0" w:afterAutospacing="0" w:line="360" w:lineRule="auto"/>
        <w:jc w:val="both"/>
        <w:rPr>
          <w:rFonts w:hint="default"/>
          <w:color w:val="auto"/>
          <w:highlight w:val="none"/>
        </w:rPr>
      </w:pPr>
      <w:r>
        <w:rPr>
          <w:color w:val="auto"/>
          <w:highlight w:val="none"/>
        </w:rPr>
        <w:t>　　4、总价金额与按单价汇总金额不一致的，以单价金额计算结果为准。</w:t>
      </w:r>
    </w:p>
    <w:p>
      <w:pPr>
        <w:pStyle w:val="22"/>
        <w:spacing w:before="0" w:beforeAutospacing="0" w:after="0" w:afterAutospacing="0" w:line="360" w:lineRule="auto"/>
        <w:ind w:firstLine="480"/>
        <w:jc w:val="both"/>
        <w:rPr>
          <w:rFonts w:hint="default"/>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22"/>
        <w:spacing w:before="0" w:beforeAutospacing="0" w:after="0" w:afterAutospacing="0" w:line="360" w:lineRule="auto"/>
        <w:rPr>
          <w:rFonts w:hint="default"/>
          <w:color w:val="auto"/>
          <w:highlight w:val="none"/>
        </w:rPr>
      </w:pPr>
      <w:r>
        <w:rPr>
          <w:b/>
          <w:bCs/>
          <w:color w:val="auto"/>
          <w:highlight w:val="none"/>
        </w:rPr>
        <w:t>（五）</w:t>
      </w:r>
      <w:r>
        <w:rPr>
          <w:b/>
          <w:color w:val="auto"/>
          <w:highlight w:val="none"/>
        </w:rPr>
        <w:t>磋商供应商存在下列情况之一的，响应无效，终止磋商</w:t>
      </w:r>
    </w:p>
    <w:p>
      <w:pPr>
        <w:adjustRightInd w:val="0"/>
        <w:snapToGrid w:val="0"/>
        <w:spacing w:line="360" w:lineRule="auto"/>
        <w:ind w:firstLine="480" w:firstLineChars="200"/>
        <w:jc w:val="left"/>
        <w:rPr>
          <w:rFonts w:ascii="宋体" w:hAnsi="宋体"/>
          <w:b/>
          <w:bCs/>
          <w:color w:val="auto"/>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pStyle w:val="22"/>
        <w:tabs>
          <w:tab w:val="left" w:pos="7380"/>
        </w:tabs>
        <w:adjustRightInd w:val="0"/>
        <w:snapToGrid w:val="0"/>
        <w:spacing w:before="0" w:beforeAutospacing="0" w:after="0" w:afterAutospacing="0" w:line="360" w:lineRule="auto"/>
        <w:ind w:firstLine="480" w:firstLineChars="200"/>
        <w:rPr>
          <w:rFonts w:hint="default"/>
          <w:color w:val="auto"/>
          <w:highlight w:val="none"/>
        </w:rPr>
      </w:pPr>
      <w:r>
        <w:rPr>
          <w:color w:val="auto"/>
          <w:highlight w:val="none"/>
        </w:rPr>
        <w:t>2、不具备磋商采购文件中规定的资格要求的。</w:t>
      </w:r>
    </w:p>
    <w:p>
      <w:pPr>
        <w:pStyle w:val="22"/>
        <w:adjustRightInd w:val="0"/>
        <w:snapToGrid w:val="0"/>
        <w:spacing w:before="0" w:beforeAutospacing="0" w:after="0" w:afterAutospacing="0" w:line="360" w:lineRule="auto"/>
        <w:ind w:firstLine="480" w:firstLineChars="200"/>
        <w:rPr>
          <w:rFonts w:hint="default"/>
          <w:color w:val="auto"/>
          <w:highlight w:val="none"/>
        </w:rPr>
      </w:pPr>
      <w:r>
        <w:rPr>
          <w:color w:val="auto"/>
          <w:highlight w:val="none"/>
        </w:rPr>
        <w:t>3、磋商响应文件含有采购人不能接受的附加条件的。</w:t>
      </w:r>
    </w:p>
    <w:p>
      <w:pPr>
        <w:adjustRightInd w:val="0"/>
        <w:snapToGrid w:val="0"/>
        <w:spacing w:line="360" w:lineRule="auto"/>
        <w:ind w:firstLine="480" w:firstLineChars="200"/>
        <w:jc w:val="left"/>
        <w:rPr>
          <w:rFonts w:ascii="宋体" w:hAnsi="宋体"/>
          <w:bCs/>
          <w:color w:val="auto"/>
          <w:kern w:val="0"/>
          <w:sz w:val="24"/>
          <w:highlight w:val="none"/>
        </w:rPr>
      </w:pPr>
      <w:r>
        <w:rPr>
          <w:rFonts w:hint="eastAsia" w:ascii="宋体" w:hAnsi="宋体"/>
          <w:color w:val="auto"/>
          <w:kern w:val="0"/>
          <w:sz w:val="24"/>
          <w:highlight w:val="none"/>
        </w:rPr>
        <w:t>4</w:t>
      </w:r>
      <w:r>
        <w:rPr>
          <w:rFonts w:hint="eastAsia" w:ascii="宋体" w:hAnsi="宋体"/>
          <w:color w:val="auto"/>
          <w:sz w:val="24"/>
          <w:highlight w:val="none"/>
        </w:rPr>
        <w:t>、供应商代表人未能出具身份证明或与法定代表人授权委托人身份不符的；</w:t>
      </w:r>
    </w:p>
    <w:p>
      <w:pPr>
        <w:pStyle w:val="22"/>
        <w:adjustRightInd w:val="0"/>
        <w:snapToGrid w:val="0"/>
        <w:spacing w:before="0" w:beforeAutospacing="0" w:after="0" w:afterAutospacing="0" w:line="360" w:lineRule="auto"/>
        <w:ind w:firstLine="480" w:firstLineChars="200"/>
        <w:rPr>
          <w:rFonts w:hint="default"/>
          <w:color w:val="auto"/>
          <w:highlight w:val="none"/>
        </w:rPr>
      </w:pPr>
      <w:r>
        <w:rPr>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2"/>
        <w:adjustRightInd w:val="0"/>
        <w:snapToGrid w:val="0"/>
        <w:spacing w:before="0" w:beforeAutospacing="0" w:after="0" w:afterAutospacing="0" w:line="360" w:lineRule="auto"/>
        <w:ind w:firstLine="480" w:firstLineChars="200"/>
        <w:rPr>
          <w:rFonts w:hint="default"/>
          <w:color w:val="auto"/>
          <w:highlight w:val="none"/>
        </w:rPr>
      </w:pPr>
      <w:r>
        <w:rPr>
          <w:color w:val="auto"/>
          <w:highlight w:val="none"/>
        </w:rPr>
        <w:t>6、报价超过磋商采购文件中规定的预算金额或最高限价。</w:t>
      </w:r>
    </w:p>
    <w:p>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7、磋商参数未如实填写，完全复制粘贴磋商采购参数的。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9</w:t>
      </w:r>
      <w:r>
        <w:rPr>
          <w:rFonts w:ascii="宋体" w:hAnsi="宋体"/>
          <w:color w:val="auto"/>
          <w:kern w:val="0"/>
          <w:sz w:val="24"/>
          <w:highlight w:val="none"/>
        </w:rPr>
        <w:t>、</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磋商响应</w:t>
      </w:r>
      <w:r>
        <w:rPr>
          <w:rFonts w:ascii="宋体" w:hAnsi="宋体"/>
          <w:color w:val="auto"/>
          <w:sz w:val="24"/>
          <w:highlight w:val="none"/>
        </w:rPr>
        <w:t>文件由同一单位或者个人编制；</w:t>
      </w:r>
    </w:p>
    <w:p>
      <w:pPr>
        <w:pStyle w:val="22"/>
        <w:spacing w:before="0" w:beforeAutospacing="0" w:after="0" w:afterAutospacing="0" w:line="360" w:lineRule="auto"/>
        <w:ind w:firstLine="480" w:firstLineChars="200"/>
        <w:rPr>
          <w:rFonts w:hint="default"/>
          <w:color w:val="auto"/>
          <w:highlight w:val="none"/>
        </w:rPr>
      </w:pPr>
      <w:r>
        <w:rPr>
          <w:color w:val="auto"/>
          <w:highlight w:val="none"/>
        </w:rPr>
        <w:t>10、不同供应商委托同一单位或者个人办理磋商事宜；</w:t>
      </w:r>
    </w:p>
    <w:p>
      <w:pPr>
        <w:pStyle w:val="22"/>
        <w:spacing w:before="0" w:beforeAutospacing="0" w:after="0" w:afterAutospacing="0" w:line="360" w:lineRule="auto"/>
        <w:ind w:firstLine="480" w:firstLineChars="200"/>
        <w:rPr>
          <w:rFonts w:hint="default"/>
          <w:color w:val="auto"/>
          <w:highlight w:val="none"/>
        </w:rPr>
      </w:pPr>
      <w:r>
        <w:rPr>
          <w:color w:val="auto"/>
          <w:highlight w:val="none"/>
        </w:rPr>
        <w:t>11、不同供应商的磋商响应文件载明的项目管理成员或者联系人员为同一人；</w:t>
      </w:r>
    </w:p>
    <w:p>
      <w:pPr>
        <w:pStyle w:val="22"/>
        <w:spacing w:before="0" w:beforeAutospacing="0" w:after="0" w:afterAutospacing="0" w:line="360" w:lineRule="auto"/>
        <w:ind w:firstLine="480" w:firstLineChars="200"/>
        <w:rPr>
          <w:rFonts w:hint="default"/>
          <w:color w:val="auto"/>
          <w:highlight w:val="none"/>
        </w:rPr>
      </w:pPr>
      <w:r>
        <w:rPr>
          <w:color w:val="auto"/>
          <w:highlight w:val="none"/>
        </w:rPr>
        <w:t>12、不同供应商的磋商响应文件异常一致或者报价呈规律性差异；</w:t>
      </w:r>
    </w:p>
    <w:p>
      <w:pPr>
        <w:pStyle w:val="22"/>
        <w:spacing w:before="0" w:beforeAutospacing="0" w:after="0" w:afterAutospacing="0" w:line="360" w:lineRule="auto"/>
        <w:ind w:firstLine="480" w:firstLineChars="200"/>
        <w:rPr>
          <w:rFonts w:hint="default"/>
          <w:color w:val="auto"/>
          <w:highlight w:val="none"/>
        </w:rPr>
      </w:pPr>
      <w:r>
        <w:rPr>
          <w:color w:val="auto"/>
          <w:highlight w:val="none"/>
        </w:rPr>
        <w:t>13、不同供应商的磋商响应文件相互混装；</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14、不符合法律、法规和磋商采购文件中规定的其他实质性要求的（磋商采购文件中打“▲”内容及被拒绝的条款）。</w:t>
      </w:r>
    </w:p>
    <w:p>
      <w:pPr>
        <w:autoSpaceDE w:val="0"/>
        <w:autoSpaceDN w:val="0"/>
        <w:adjustRightInd w:val="0"/>
        <w:spacing w:line="360" w:lineRule="auto"/>
        <w:jc w:val="left"/>
        <w:rPr>
          <w:rFonts w:ascii="宋体" w:hAnsi="宋体"/>
          <w:color w:val="auto"/>
          <w:kern w:val="0"/>
          <w:sz w:val="24"/>
          <w:highlight w:val="none"/>
        </w:rPr>
      </w:pPr>
      <w:r>
        <w:rPr>
          <w:rFonts w:hint="eastAsia" w:ascii="宋体" w:hAnsi="宋体"/>
          <w:b/>
          <w:color w:val="auto"/>
          <w:kern w:val="0"/>
          <w:sz w:val="24"/>
          <w:highlight w:val="none"/>
        </w:rPr>
        <w:t>（六）有下列情况之一的，本次磋商终止。</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1、出现影响采购公正的违法、违规行为的；</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 xml:space="preserve">2、磋商小组发现磋商文件存在歧义、重大缺陷导致评审工作无法进行，或者磋商文件内容违反国家有关强制性规定的； </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auto"/>
          <w:kern w:val="0"/>
          <w:sz w:val="24"/>
          <w:highlight w:val="none"/>
        </w:rPr>
      </w:pPr>
      <w:r>
        <w:rPr>
          <w:rFonts w:hint="eastAsia" w:ascii="宋体"/>
          <w:b/>
          <w:color w:val="auto"/>
          <w:kern w:val="0"/>
          <w:sz w:val="24"/>
          <w:highlight w:val="none"/>
        </w:rPr>
        <w:t>（七）磋商原则和方法</w:t>
      </w:r>
    </w:p>
    <w:p>
      <w:pPr>
        <w:pStyle w:val="14"/>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、磋商</w:t>
      </w:r>
      <w:r>
        <w:rPr>
          <w:rFonts w:hAnsi="宋体"/>
          <w:color w:val="auto"/>
          <w:sz w:val="24"/>
          <w:highlight w:val="none"/>
        </w:rPr>
        <w:t>原则。磋商小组必须公平、公正、客观，不带任何倾向性和启发性；不得向外界透露任何与评</w:t>
      </w:r>
      <w:r>
        <w:rPr>
          <w:color w:val="auto"/>
          <w:sz w:val="24"/>
          <w:highlight w:val="none"/>
        </w:rPr>
        <w:t>审</w:t>
      </w:r>
      <w:r>
        <w:rPr>
          <w:rFonts w:hAnsi="宋体"/>
          <w:color w:val="auto"/>
          <w:sz w:val="24"/>
          <w:highlight w:val="none"/>
        </w:rPr>
        <w:t>有关的内容；任何单位和个人不得干扰、影响评</w:t>
      </w:r>
      <w:r>
        <w:rPr>
          <w:color w:val="auto"/>
          <w:sz w:val="24"/>
          <w:highlight w:val="none"/>
        </w:rPr>
        <w:t>审</w:t>
      </w:r>
      <w:r>
        <w:rPr>
          <w:rFonts w:hAnsi="宋体"/>
          <w:color w:val="auto"/>
          <w:sz w:val="24"/>
          <w:highlight w:val="none"/>
        </w:rPr>
        <w:t>的正常进行；磋商小组及有关工作人员不得私下与</w:t>
      </w:r>
      <w:r>
        <w:rPr>
          <w:rFonts w:hint="eastAsia" w:hAnsi="宋体"/>
          <w:color w:val="auto"/>
          <w:sz w:val="24"/>
          <w:highlight w:val="none"/>
        </w:rPr>
        <w:t>磋商供应商</w:t>
      </w:r>
      <w:r>
        <w:rPr>
          <w:rFonts w:hAnsi="宋体"/>
          <w:color w:val="auto"/>
          <w:sz w:val="24"/>
          <w:highlight w:val="none"/>
        </w:rPr>
        <w:t>接触。</w:t>
      </w:r>
    </w:p>
    <w:p>
      <w:pPr>
        <w:pStyle w:val="14"/>
        <w:snapToGrid w:val="0"/>
        <w:spacing w:line="360" w:lineRule="auto"/>
        <w:ind w:firstLine="600" w:firstLineChars="250"/>
        <w:rPr>
          <w:rFonts w:hAnsi="宋体"/>
          <w:color w:val="auto"/>
          <w:sz w:val="24"/>
          <w:highlight w:val="none"/>
        </w:rPr>
      </w:pPr>
      <w:r>
        <w:rPr>
          <w:rFonts w:hAnsi="宋体"/>
          <w:color w:val="auto"/>
          <w:sz w:val="24"/>
          <w:highlight w:val="none"/>
        </w:rPr>
        <w:t>2</w:t>
      </w:r>
      <w:r>
        <w:rPr>
          <w:rFonts w:hint="eastAsia" w:hAnsi="宋体"/>
          <w:color w:val="auto"/>
          <w:sz w:val="24"/>
          <w:highlight w:val="none"/>
        </w:rPr>
        <w:t>、磋商</w:t>
      </w:r>
      <w:r>
        <w:rPr>
          <w:rFonts w:hAnsi="宋体"/>
          <w:color w:val="auto"/>
          <w:sz w:val="24"/>
          <w:highlight w:val="none"/>
        </w:rPr>
        <w:t>办法。具体</w:t>
      </w:r>
      <w:r>
        <w:rPr>
          <w:rFonts w:hint="eastAsia" w:hAnsi="宋体"/>
          <w:color w:val="auto"/>
          <w:sz w:val="24"/>
          <w:highlight w:val="none"/>
        </w:rPr>
        <w:t>磋商</w:t>
      </w:r>
      <w:r>
        <w:rPr>
          <w:rFonts w:hAnsi="宋体"/>
          <w:color w:val="auto"/>
          <w:sz w:val="24"/>
          <w:highlight w:val="none"/>
        </w:rPr>
        <w:t>内容及评分标准等详见《第</w:t>
      </w:r>
      <w:r>
        <w:rPr>
          <w:rFonts w:hint="eastAsia" w:hAnsi="宋体"/>
          <w:color w:val="auto"/>
          <w:sz w:val="24"/>
          <w:highlight w:val="none"/>
        </w:rPr>
        <w:t>三章</w:t>
      </w:r>
      <w:r>
        <w:rPr>
          <w:rFonts w:hAnsi="宋体"/>
          <w:color w:val="auto"/>
          <w:sz w:val="24"/>
          <w:highlight w:val="none"/>
        </w:rPr>
        <w:t>：评</w:t>
      </w:r>
      <w:r>
        <w:rPr>
          <w:color w:val="auto"/>
          <w:sz w:val="24"/>
          <w:highlight w:val="none"/>
        </w:rPr>
        <w:t>审</w:t>
      </w:r>
      <w:r>
        <w:rPr>
          <w:rFonts w:hint="eastAsia" w:hAnsi="宋体"/>
          <w:color w:val="auto"/>
          <w:sz w:val="24"/>
          <w:highlight w:val="none"/>
        </w:rPr>
        <w:t>方</w:t>
      </w:r>
      <w:r>
        <w:rPr>
          <w:rFonts w:hAnsi="宋体"/>
          <w:color w:val="auto"/>
          <w:sz w:val="24"/>
          <w:highlight w:val="none"/>
        </w:rPr>
        <w:t>法及评分标准》。</w:t>
      </w:r>
    </w:p>
    <w:p>
      <w:pPr>
        <w:pStyle w:val="14"/>
        <w:snapToGrid w:val="0"/>
        <w:spacing w:line="360" w:lineRule="auto"/>
        <w:rPr>
          <w:rFonts w:hAnsi="宋体"/>
          <w:color w:val="auto"/>
          <w:sz w:val="24"/>
          <w:highlight w:val="none"/>
        </w:rPr>
      </w:pPr>
      <w:r>
        <w:rPr>
          <w:rFonts w:hAnsi="宋体"/>
          <w:b/>
          <w:color w:val="auto"/>
          <w:sz w:val="24"/>
          <w:highlight w:val="none"/>
        </w:rPr>
        <w:t>（</w:t>
      </w:r>
      <w:r>
        <w:rPr>
          <w:rFonts w:hint="eastAsia" w:hAnsi="宋体"/>
          <w:b/>
          <w:color w:val="auto"/>
          <w:sz w:val="24"/>
          <w:highlight w:val="none"/>
        </w:rPr>
        <w:t>八</w:t>
      </w:r>
      <w:r>
        <w:rPr>
          <w:rFonts w:hAnsi="宋体"/>
          <w:b/>
          <w:color w:val="auto"/>
          <w:sz w:val="24"/>
          <w:highlight w:val="none"/>
        </w:rPr>
        <w:t>）评审过程的监控</w:t>
      </w:r>
    </w:p>
    <w:p>
      <w:pPr>
        <w:pStyle w:val="22"/>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本项目评审过程实行全程录音、录像监控，政府采购监管部门视情进行现场监督，供应商在评审过程中所进行的试图影响评审结果的不公正活动，可能导致其被拒绝磋商。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outlineLvl w:val="2"/>
        <w:rPr>
          <w:rFonts w:ascii="宋体" w:hAnsi="宋体"/>
          <w:b/>
          <w:color w:val="auto"/>
          <w:sz w:val="24"/>
          <w:highlight w:val="none"/>
        </w:rPr>
      </w:pPr>
      <w:r>
        <w:rPr>
          <w:rFonts w:hint="eastAsia" w:ascii="宋体" w:hAnsi="宋体"/>
          <w:b/>
          <w:color w:val="auto"/>
          <w:sz w:val="24"/>
          <w:highlight w:val="none"/>
        </w:rPr>
        <w:t>五、磋商结果确定</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成交结果，并将磋商文件随同公告。</w:t>
      </w:r>
      <w:r>
        <w:rPr>
          <w:rFonts w:hint="eastAsia" w:ascii="宋体" w:hAnsi="宋体"/>
          <w:color w:val="auto"/>
          <w:sz w:val="24"/>
          <w:highlight w:val="none"/>
        </w:rPr>
        <w:t>因成交结果公告需要，评审结果排名第一的成交候选人在评审结束后2个工作日内将磋商响应文件附件《成交供应商公告内容》填写完整后，以电子文档形式提交给采购组织机构项目负责人。未按时提供所造成的后果由供应商自行承担。</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outlineLvl w:val="2"/>
        <w:rPr>
          <w:rFonts w:ascii="宋体" w:hAnsi="宋体"/>
          <w:b/>
          <w:color w:val="auto"/>
          <w:sz w:val="24"/>
          <w:highlight w:val="none"/>
        </w:rPr>
      </w:pPr>
      <w:r>
        <w:rPr>
          <w:rFonts w:hint="eastAsia" w:ascii="宋体" w:hAnsi="宋体"/>
          <w:b/>
          <w:color w:val="auto"/>
          <w:sz w:val="24"/>
          <w:highlight w:val="none"/>
        </w:rPr>
        <w:t>六、合同签订及公告</w:t>
      </w:r>
    </w:p>
    <w:p>
      <w:pPr>
        <w:pStyle w:val="9"/>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9"/>
        <w:ind w:firstLine="480" w:firstLineChars="200"/>
        <w:rPr>
          <w:rFonts w:hAnsi="宋体"/>
          <w:color w:val="auto"/>
          <w:szCs w:val="24"/>
          <w:highlight w:val="none"/>
        </w:rPr>
      </w:pPr>
      <w:r>
        <w:rPr>
          <w:rFonts w:hint="eastAsia" w:hAnsi="宋体"/>
          <w:color w:val="auto"/>
          <w:szCs w:val="24"/>
          <w:highlight w:val="none"/>
        </w:rPr>
        <w:t>1、采购人应当自成交通知书发出之日起10个工作日内，</w:t>
      </w:r>
      <w:r>
        <w:rPr>
          <w:color w:val="auto"/>
          <w:szCs w:val="24"/>
          <w:highlight w:val="none"/>
        </w:rPr>
        <w:t>按照磋商采购文件</w:t>
      </w:r>
      <w:r>
        <w:rPr>
          <w:rFonts w:hint="eastAsia"/>
          <w:color w:val="auto"/>
          <w:szCs w:val="24"/>
          <w:highlight w:val="none"/>
        </w:rPr>
        <w:t>确定的合同文本以及采购标的、规格型号、采购金额、采购数量和服务要求等事项签订政府采购合同。</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3、成交供应商无故拖延、拒签合同的,取消成交资格。</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2"/>
        <w:spacing w:before="0" w:beforeAutospacing="0" w:after="0" w:afterAutospacing="0" w:line="360" w:lineRule="auto"/>
        <w:ind w:firstLine="600" w:firstLineChars="250"/>
        <w:jc w:val="both"/>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pStyle w:val="22"/>
        <w:spacing w:line="360" w:lineRule="auto"/>
        <w:ind w:firstLine="602" w:firstLineChars="250"/>
        <w:rPr>
          <w:rFonts w:hint="default" w:ascii="仿宋_GB2312" w:hAnsi="仿宋_GB2312" w:eastAsia="仿宋_GB2312" w:cs="仿宋_GB2312"/>
          <w:b/>
          <w:color w:val="auto"/>
          <w:highlight w:val="none"/>
        </w:rPr>
      </w:pPr>
      <w:r>
        <w:rPr>
          <w:b/>
          <w:color w:val="auto"/>
          <w:highlight w:val="none"/>
        </w:rPr>
        <w:t>（二）合同公告及备案</w:t>
      </w:r>
    </w:p>
    <w:p>
      <w:pPr>
        <w:pStyle w:val="9"/>
        <w:ind w:firstLine="480" w:firstLineChars="200"/>
        <w:rPr>
          <w:rFonts w:hAnsi="宋体"/>
          <w:color w:val="auto"/>
          <w:szCs w:val="24"/>
          <w:highlight w:val="none"/>
        </w:rPr>
      </w:pPr>
      <w:r>
        <w:rPr>
          <w:rFonts w:hint="eastAsia" w:hAnsi="宋体"/>
          <w:color w:val="auto"/>
          <w:szCs w:val="24"/>
          <w:highlight w:val="none"/>
        </w:rPr>
        <w:t>1、采购人应当自政府采购合同签订之日起2个工作日内，</w:t>
      </w:r>
      <w:r>
        <w:rPr>
          <w:rFonts w:hAnsi="宋体"/>
          <w:color w:val="auto"/>
          <w:szCs w:val="24"/>
          <w:highlight w:val="none"/>
        </w:rPr>
        <w:t>在省级以上财政部门指定的</w:t>
      </w:r>
      <w:r>
        <w:rPr>
          <w:rFonts w:hint="eastAsia" w:hAnsi="宋体"/>
          <w:color w:val="auto"/>
          <w:szCs w:val="24"/>
          <w:highlight w:val="none"/>
        </w:rPr>
        <w:t>政府采购信息发布</w:t>
      </w:r>
      <w:r>
        <w:rPr>
          <w:rFonts w:hAnsi="宋体"/>
          <w:color w:val="auto"/>
          <w:szCs w:val="24"/>
          <w:highlight w:val="none"/>
        </w:rPr>
        <w:t>媒体及相关网站</w:t>
      </w:r>
      <w:r>
        <w:rPr>
          <w:rFonts w:hint="eastAsia" w:hAnsi="宋体"/>
          <w:color w:val="auto"/>
          <w:szCs w:val="24"/>
          <w:highlight w:val="none"/>
        </w:rPr>
        <w:t>上</w:t>
      </w:r>
      <w:r>
        <w:rPr>
          <w:rFonts w:hAnsi="宋体"/>
          <w:color w:val="auto"/>
          <w:szCs w:val="24"/>
          <w:highlight w:val="none"/>
        </w:rPr>
        <w:t>公告</w:t>
      </w:r>
      <w:r>
        <w:rPr>
          <w:rFonts w:hint="eastAsia" w:hAnsi="宋体"/>
          <w:color w:val="auto"/>
          <w:szCs w:val="24"/>
          <w:highlight w:val="none"/>
        </w:rPr>
        <w:t>。</w:t>
      </w:r>
    </w:p>
    <w:p>
      <w:pPr>
        <w:pStyle w:val="9"/>
        <w:ind w:firstLine="480" w:firstLineChars="200"/>
        <w:rPr>
          <w:rFonts w:hAnsi="宋体"/>
          <w:color w:val="auto"/>
          <w:szCs w:val="24"/>
          <w:highlight w:val="none"/>
        </w:rPr>
      </w:pPr>
      <w:r>
        <w:rPr>
          <w:rFonts w:hint="eastAsia" w:hAnsi="宋体"/>
          <w:color w:val="auto"/>
          <w:szCs w:val="24"/>
          <w:highlight w:val="none"/>
        </w:rPr>
        <w:t>2、采购人应当自政府采购合同签订之日起7个工作日内，将政府采购合同副本报同级人民政府财政部门备案以及采购组织机构存档。</w:t>
      </w:r>
    </w:p>
    <w:p>
      <w:pPr>
        <w:pStyle w:val="9"/>
        <w:ind w:firstLine="480" w:firstLineChars="200"/>
        <w:rPr>
          <w:rFonts w:hAnsi="宋体"/>
          <w:color w:val="auto"/>
          <w:highlight w:val="none"/>
        </w:rPr>
      </w:pPr>
    </w:p>
    <w:p>
      <w:pPr>
        <w:pStyle w:val="9"/>
        <w:ind w:firstLine="480" w:firstLineChars="200"/>
        <w:rPr>
          <w:rFonts w:hAnsi="宋体"/>
          <w:color w:val="auto"/>
          <w:highlight w:val="none"/>
        </w:rPr>
      </w:pPr>
    </w:p>
    <w:p>
      <w:pPr>
        <w:pStyle w:val="4"/>
        <w:jc w:val="center"/>
        <w:rPr>
          <w:rFonts w:ascii="宋体" w:hAnsi="宋体"/>
          <w:color w:val="auto"/>
          <w:kern w:val="0"/>
          <w:sz w:val="36"/>
          <w:szCs w:val="36"/>
          <w:highlight w:val="none"/>
        </w:rPr>
      </w:pPr>
      <w:r>
        <w:rPr>
          <w:rFonts w:hAnsi="宋体"/>
          <w:color w:val="auto"/>
          <w:highlight w:val="none"/>
        </w:rPr>
        <w:br w:type="page"/>
      </w:r>
      <w:r>
        <w:rPr>
          <w:rFonts w:hint="eastAsia" w:ascii="宋体" w:hAnsi="宋体"/>
          <w:bCs w:val="0"/>
          <w:color w:val="auto"/>
          <w:sz w:val="36"/>
          <w:szCs w:val="36"/>
          <w:highlight w:val="none"/>
        </w:rPr>
        <w:t>第三</w:t>
      </w:r>
      <w:r>
        <w:rPr>
          <w:rFonts w:hint="eastAsia" w:ascii="宋体" w:hAnsi="宋体"/>
          <w:color w:val="auto"/>
          <w:kern w:val="2"/>
          <w:sz w:val="36"/>
          <w:szCs w:val="36"/>
          <w:highlight w:val="none"/>
        </w:rPr>
        <w:t>章 评审办法及评审标准</w:t>
      </w:r>
    </w:p>
    <w:p>
      <w:pPr>
        <w:autoSpaceDE w:val="0"/>
        <w:autoSpaceDN w:val="0"/>
        <w:spacing w:line="360" w:lineRule="auto"/>
        <w:ind w:firstLine="480" w:firstLineChars="200"/>
        <w:rPr>
          <w:rFonts w:ascii="宋体" w:hAnsi="宋体"/>
          <w:b/>
          <w:i/>
          <w:color w:val="auto"/>
          <w:kern w:val="0"/>
          <w:sz w:val="24"/>
          <w:highlight w:val="none"/>
        </w:rPr>
      </w:pPr>
      <w:r>
        <w:rPr>
          <w:rFonts w:hint="eastAsia" w:ascii="宋体" w:hAnsi="宋体"/>
          <w:color w:val="auto"/>
          <w:kern w:val="0"/>
          <w:sz w:val="24"/>
          <w:highlight w:val="none"/>
        </w:rPr>
        <w:t>一、采购组织机构将组织</w:t>
      </w:r>
      <w:r>
        <w:rPr>
          <w:rFonts w:hint="eastAsia" w:ascii="宋体" w:hAnsi="宋体"/>
          <w:color w:val="auto"/>
          <w:sz w:val="24"/>
          <w:highlight w:val="none"/>
        </w:rPr>
        <w:t>磋商小组</w:t>
      </w:r>
      <w:r>
        <w:rPr>
          <w:rFonts w:hint="eastAsia" w:ascii="宋体" w:hAnsi="宋体"/>
          <w:color w:val="auto"/>
          <w:kern w:val="0"/>
          <w:sz w:val="24"/>
          <w:highlight w:val="none"/>
        </w:rPr>
        <w:t>，对</w:t>
      </w:r>
      <w:r>
        <w:rPr>
          <w:rFonts w:hint="eastAsia" w:ascii="宋体" w:hAnsi="宋体"/>
          <w:color w:val="auto"/>
          <w:sz w:val="24"/>
          <w:highlight w:val="none"/>
        </w:rPr>
        <w:t>供应商</w:t>
      </w:r>
      <w:r>
        <w:rPr>
          <w:rFonts w:hint="eastAsia" w:ascii="宋体" w:hAnsi="宋体"/>
          <w:color w:val="auto"/>
          <w:kern w:val="0"/>
          <w:sz w:val="24"/>
          <w:highlight w:val="none"/>
        </w:rPr>
        <w:t>提供的</w:t>
      </w:r>
      <w:r>
        <w:rPr>
          <w:rFonts w:hint="eastAsia" w:ascii="宋体" w:hAnsi="宋体"/>
          <w:color w:val="auto"/>
          <w:sz w:val="24"/>
          <w:highlight w:val="none"/>
        </w:rPr>
        <w:t>磋商响应文件</w:t>
      </w:r>
      <w:r>
        <w:rPr>
          <w:rFonts w:hint="eastAsia" w:ascii="宋体" w:hAnsi="宋体"/>
          <w:color w:val="auto"/>
          <w:kern w:val="0"/>
          <w:sz w:val="24"/>
          <w:highlight w:val="none"/>
        </w:rPr>
        <w:t>进行综合评审。</w:t>
      </w:r>
      <w:r>
        <w:rPr>
          <w:rFonts w:ascii="宋体" w:hAnsi="宋体"/>
          <w:color w:val="auto"/>
          <w:kern w:val="0"/>
          <w:sz w:val="24"/>
          <w:highlight w:val="none"/>
        </w:rPr>
        <w:t xml:space="preserve">   </w:t>
      </w:r>
    </w:p>
    <w:p>
      <w:pPr>
        <w:autoSpaceDE w:val="0"/>
        <w:autoSpaceDN w:val="0"/>
        <w:adjustRightInd w:val="0"/>
        <w:spacing w:line="360" w:lineRule="auto"/>
        <w:ind w:left="359" w:leftChars="171" w:firstLine="120" w:firstLineChars="50"/>
        <w:jc w:val="left"/>
        <w:rPr>
          <w:rFonts w:ascii="宋体" w:hAnsi="宋体"/>
          <w:color w:val="auto"/>
          <w:kern w:val="0"/>
          <w:sz w:val="24"/>
          <w:highlight w:val="none"/>
        </w:rPr>
      </w:pPr>
      <w:r>
        <w:rPr>
          <w:rFonts w:hint="eastAsia" w:ascii="宋体" w:hAnsi="宋体"/>
          <w:color w:val="auto"/>
          <w:kern w:val="0"/>
          <w:sz w:val="24"/>
          <w:highlight w:val="none"/>
        </w:rPr>
        <w:t>二、本次磋商项目的评标方法为综合</w:t>
      </w:r>
      <w:r>
        <w:rPr>
          <w:rFonts w:hint="eastAsia" w:ascii="宋体"/>
          <w:bCs/>
          <w:color w:val="auto"/>
          <w:sz w:val="24"/>
          <w:highlight w:val="none"/>
          <w:lang w:val="zh-CN"/>
        </w:rPr>
        <w:t>评分法，总计100分(商务与技术部分为</w:t>
      </w:r>
      <w:r>
        <w:rPr>
          <w:rFonts w:hint="eastAsia" w:ascii="宋体"/>
          <w:bCs/>
          <w:color w:val="auto"/>
          <w:sz w:val="24"/>
          <w:highlight w:val="none"/>
        </w:rPr>
        <w:t>8</w:t>
      </w:r>
      <w:r>
        <w:rPr>
          <w:rFonts w:hint="eastAsia" w:ascii="宋体"/>
          <w:bCs/>
          <w:color w:val="auto"/>
          <w:sz w:val="24"/>
          <w:highlight w:val="none"/>
          <w:lang w:val="zh-CN"/>
        </w:rPr>
        <w:t>0分，报价部分为</w:t>
      </w:r>
      <w:r>
        <w:rPr>
          <w:rFonts w:hint="eastAsia" w:ascii="宋体"/>
          <w:bCs/>
          <w:color w:val="auto"/>
          <w:sz w:val="24"/>
          <w:highlight w:val="none"/>
        </w:rPr>
        <w:t>2</w:t>
      </w:r>
      <w:r>
        <w:rPr>
          <w:rFonts w:hint="eastAsia" w:ascii="宋体"/>
          <w:bCs/>
          <w:color w:val="auto"/>
          <w:sz w:val="24"/>
          <w:highlight w:val="none"/>
          <w:lang w:val="zh-CN"/>
        </w:rPr>
        <w:t>0分)。各供应商的综合得分为其商务与技术部分得分与报价部分得分之和，即综合得分=商务与技术部分得分+报价部分得分。</w:t>
      </w:r>
    </w:p>
    <w:p>
      <w:pPr>
        <w:autoSpaceDE w:val="0"/>
        <w:autoSpaceDN w:val="0"/>
        <w:adjustRightInd w:val="0"/>
        <w:spacing w:line="360" w:lineRule="auto"/>
        <w:ind w:right="84" w:firstLine="472"/>
        <w:rPr>
          <w:rFonts w:ascii="宋体"/>
          <w:bCs/>
          <w:color w:val="auto"/>
          <w:sz w:val="24"/>
          <w:highlight w:val="none"/>
          <w:lang w:val="zh-CN"/>
        </w:rPr>
      </w:pPr>
      <w:r>
        <w:rPr>
          <w:rFonts w:hint="eastAsia" w:ascii="宋体"/>
          <w:bCs/>
          <w:color w:val="auto"/>
          <w:sz w:val="24"/>
          <w:highlight w:val="none"/>
          <w:lang w:val="zh-CN"/>
        </w:rPr>
        <w:t>（一）商务与技术部分中的客观分由</w:t>
      </w:r>
      <w:r>
        <w:rPr>
          <w:rFonts w:hint="eastAsia" w:ascii="宋体" w:hAnsi="宋体"/>
          <w:color w:val="auto"/>
          <w:sz w:val="24"/>
          <w:highlight w:val="none"/>
        </w:rPr>
        <w:t>磋商小组</w:t>
      </w:r>
      <w:r>
        <w:rPr>
          <w:rFonts w:hint="eastAsia" w:ascii="宋体"/>
          <w:bCs/>
          <w:color w:val="auto"/>
          <w:sz w:val="24"/>
          <w:highlight w:val="none"/>
          <w:lang w:val="zh-CN"/>
        </w:rPr>
        <w:t>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（二）各磋商供应商商务与技术部分</w:t>
      </w:r>
      <w:r>
        <w:rPr>
          <w:rFonts w:hint="eastAsia" w:ascii="宋体"/>
          <w:color w:val="auto"/>
          <w:kern w:val="0"/>
          <w:sz w:val="24"/>
          <w:highlight w:val="none"/>
          <w:lang w:val="zh-CN"/>
        </w:rPr>
        <w:t>得分按照</w:t>
      </w:r>
      <w:r>
        <w:rPr>
          <w:rFonts w:hint="eastAsia" w:ascii="宋体" w:hAnsi="宋体"/>
          <w:color w:val="auto"/>
          <w:sz w:val="24"/>
          <w:highlight w:val="none"/>
        </w:rPr>
        <w:t>磋商小组</w:t>
      </w:r>
      <w:r>
        <w:rPr>
          <w:rFonts w:hint="eastAsia" w:ascii="宋体"/>
          <w:color w:val="auto"/>
          <w:kern w:val="0"/>
          <w:sz w:val="24"/>
          <w:highlight w:val="none"/>
          <w:lang w:val="zh-CN"/>
        </w:rPr>
        <w:t>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hAnsi="宋体"/>
          <w:color w:val="auto"/>
          <w:sz w:val="24"/>
          <w:highlight w:val="none"/>
        </w:rPr>
        <w:t>商务与技术</w:t>
      </w:r>
      <w:r>
        <w:rPr>
          <w:rFonts w:hint="eastAsia" w:ascii="宋体"/>
          <w:bCs/>
          <w:color w:val="auto"/>
          <w:sz w:val="24"/>
          <w:highlight w:val="none"/>
          <w:lang w:val="zh-CN"/>
        </w:rPr>
        <w:t>部分</w:t>
      </w:r>
      <w:r>
        <w:rPr>
          <w:rFonts w:hint="eastAsia" w:ascii="宋体" w:hAnsi="宋体"/>
          <w:color w:val="auto"/>
          <w:sz w:val="24"/>
          <w:highlight w:val="none"/>
        </w:rPr>
        <w:t>得分</w:t>
      </w:r>
      <w:r>
        <w:rPr>
          <w:rFonts w:hint="eastAsia" w:ascii="宋体"/>
          <w:bCs/>
          <w:color w:val="auto"/>
          <w:sz w:val="24"/>
          <w:highlight w:val="none"/>
          <w:lang w:val="zh-CN"/>
        </w:rPr>
        <w:t>=</w:t>
      </w:r>
      <w:r>
        <w:rPr>
          <w:rFonts w:hint="eastAsia" w:ascii="宋体" w:hAnsi="宋体"/>
          <w:color w:val="auto"/>
          <w:sz w:val="24"/>
          <w:highlight w:val="none"/>
        </w:rPr>
        <w:t>磋商小组</w:t>
      </w:r>
      <w:r>
        <w:rPr>
          <w:rFonts w:hint="eastAsia" w:ascii="宋体"/>
          <w:bCs/>
          <w:color w:val="auto"/>
          <w:sz w:val="24"/>
          <w:highlight w:val="none"/>
          <w:lang w:val="zh-CN"/>
        </w:rPr>
        <w:t>所有成员评分合计数/</w:t>
      </w:r>
      <w:r>
        <w:rPr>
          <w:rFonts w:hint="eastAsia" w:ascii="宋体" w:hAnsi="宋体"/>
          <w:color w:val="auto"/>
          <w:sz w:val="24"/>
          <w:highlight w:val="none"/>
        </w:rPr>
        <w:t>磋商小组</w:t>
      </w:r>
      <w:r>
        <w:rPr>
          <w:rFonts w:hint="eastAsia" w:ascii="宋体"/>
          <w:bCs/>
          <w:color w:val="auto"/>
          <w:sz w:val="24"/>
          <w:highlight w:val="none"/>
          <w:lang w:val="zh-CN"/>
        </w:rPr>
        <w:t>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color w:val="auto"/>
          <w:sz w:val="24"/>
          <w:highlight w:val="none"/>
          <w:u w:val="single"/>
        </w:rPr>
        <w:t>综合评分法中的价格分统一</w:t>
      </w:r>
      <w:r>
        <w:rPr>
          <w:rFonts w:hint="eastAsia" w:ascii="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磋商报价得</w:t>
      </w:r>
      <w:r>
        <w:rPr>
          <w:color w:val="auto"/>
          <w:sz w:val="24"/>
          <w:highlight w:val="none"/>
          <w:u w:val="single"/>
        </w:rPr>
        <w:t>分=(</w:t>
      </w:r>
      <w:r>
        <w:rPr>
          <w:rFonts w:hint="eastAsia" w:ascii="宋体"/>
          <w:color w:val="auto"/>
          <w:sz w:val="24"/>
          <w:highlight w:val="none"/>
          <w:u w:val="single"/>
          <w:lang w:val="zh-CN"/>
        </w:rPr>
        <w:t>磋商基准价</w:t>
      </w:r>
      <w:r>
        <w:rPr>
          <w:color w:val="auto"/>
          <w:sz w:val="24"/>
          <w:highlight w:val="none"/>
          <w:u w:val="single"/>
        </w:rPr>
        <w:t>／</w:t>
      </w:r>
      <w:r>
        <w:rPr>
          <w:rFonts w:hint="eastAsia"/>
          <w:color w:val="auto"/>
          <w:sz w:val="24"/>
          <w:highlight w:val="none"/>
          <w:u w:val="single"/>
        </w:rPr>
        <w:t>最后磋商报价</w:t>
      </w:r>
      <w:r>
        <w:rPr>
          <w:rFonts w:ascii="宋体" w:hAnsi="宋体"/>
          <w:color w:val="auto"/>
          <w:sz w:val="24"/>
          <w:highlight w:val="none"/>
          <w:u w:val="single"/>
        </w:rPr>
        <w:t>)×</w:t>
      </w:r>
      <w:r>
        <w:rPr>
          <w:rFonts w:hint="eastAsia" w:ascii="宋体" w:hAnsi="宋体"/>
          <w:color w:val="auto"/>
          <w:sz w:val="24"/>
          <w:highlight w:val="none"/>
          <w:u w:val="single"/>
        </w:rPr>
        <w:t>20%</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政府采购政策及优惠：（1）关于小型、微型企业（简称小微企业）磋商：小微企业是指符合《中小企业划型标准规定》的供应商，通过磋商提供本企业制造的货物、承担的工程或者服务，或者提供其他小微企业制造的货物。本项所指货物不包括使用大、中型企业注册商标的货物。小微企业</w:t>
      </w:r>
      <w:r>
        <w:rPr>
          <w:rFonts w:hint="eastAsia"/>
          <w:color w:val="auto"/>
          <w:sz w:val="24"/>
          <w:highlight w:val="none"/>
          <w:u w:val="single"/>
        </w:rPr>
        <w:t>磋商</w:t>
      </w:r>
      <w:r>
        <w:rPr>
          <w:rFonts w:hint="eastAsia" w:ascii="宋体"/>
          <w:color w:val="auto"/>
          <w:sz w:val="24"/>
          <w:highlight w:val="none"/>
          <w:lang w:val="zh-CN"/>
        </w:rPr>
        <w:t>应提供《小微企业声明函》、国家企业信用信息公示系统——小微企业名录”页面查询结果（查询时间为</w:t>
      </w:r>
      <w:r>
        <w:rPr>
          <w:rFonts w:hint="eastAsia"/>
          <w:color w:val="auto"/>
          <w:sz w:val="24"/>
          <w:highlight w:val="none"/>
          <w:u w:val="single"/>
        </w:rPr>
        <w:t>磋商</w:t>
      </w:r>
      <w:r>
        <w:rPr>
          <w:rFonts w:hint="eastAsia" w:ascii="宋体"/>
          <w:color w:val="auto"/>
          <w:sz w:val="24"/>
          <w:highlight w:val="none"/>
          <w:lang w:val="zh-CN"/>
        </w:rPr>
        <w:t>前一周内，并加盖单位公章）等相关证明材料（磋商小组据此进行核查）、《产品适用政府采购政策情况表》（见附件），如供应商提供其他小微企业制造的货物，应同时提供制造商的《小微企业声明函（制造商）》和国家企业信用信息公示系统——小微企业名录”页面查询结果（查询时间为</w:t>
      </w:r>
      <w:r>
        <w:rPr>
          <w:rFonts w:hint="eastAsia"/>
          <w:color w:val="auto"/>
          <w:sz w:val="24"/>
          <w:highlight w:val="none"/>
          <w:u w:val="single"/>
        </w:rPr>
        <w:t>磋商</w:t>
      </w:r>
      <w:r>
        <w:rPr>
          <w:rFonts w:hint="eastAsia" w:ascii="宋体"/>
          <w:color w:val="auto"/>
          <w:sz w:val="24"/>
          <w:highlight w:val="none"/>
          <w:lang w:val="zh-CN"/>
        </w:rPr>
        <w:t>前一周内，并加盖单位公章）等相关证明材料（磋商小组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具体优惠：对于小型微型企业产品的价格给予</w:t>
      </w:r>
      <w:r>
        <w:rPr>
          <w:rFonts w:hint="eastAsia" w:ascii="宋体"/>
          <w:color w:val="auto"/>
          <w:sz w:val="24"/>
          <w:highlight w:val="none"/>
          <w:u w:val="single"/>
          <w:lang w:val="zh-CN"/>
        </w:rPr>
        <w:t xml:space="preserve">  6 </w:t>
      </w:r>
      <w:r>
        <w:rPr>
          <w:rFonts w:hint="eastAsia" w:ascii="宋体"/>
          <w:color w:val="auto"/>
          <w:sz w:val="24"/>
          <w:highlight w:val="none"/>
          <w:lang w:val="zh-CN"/>
        </w:rPr>
        <w:t>%的扣除，用扣除后的价格计算评审基准价和最后报价。同一供应商（包括联合体），小微企业、监狱企业、残疾人福利性单位价格扣除优惠只享受一次，不得重复享受。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三、在最大限度地满足磋商文件实质性要求前提下，</w:t>
      </w:r>
      <w:r>
        <w:rPr>
          <w:rFonts w:hint="eastAsia" w:ascii="宋体" w:hAnsi="宋体"/>
          <w:color w:val="auto"/>
          <w:sz w:val="24"/>
          <w:highlight w:val="none"/>
        </w:rPr>
        <w:t>磋商小组</w:t>
      </w:r>
      <w:r>
        <w:rPr>
          <w:rFonts w:hint="eastAsia" w:ascii="宋体"/>
          <w:color w:val="auto"/>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hAnsi="宋体"/>
          <w:color w:val="auto"/>
          <w:sz w:val="24"/>
          <w:highlight w:val="none"/>
          <w:lang w:val="zh-CN"/>
        </w:rPr>
      </w:pPr>
      <w:r>
        <w:rPr>
          <w:rFonts w:hint="eastAsia" w:ascii="宋体" w:hAnsi="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磋商小组集体确定一个供应商参加磋商，其他</w:t>
      </w:r>
      <w:r>
        <w:rPr>
          <w:rFonts w:hint="eastAsia" w:ascii="宋体"/>
          <w:color w:val="auto"/>
          <w:sz w:val="24"/>
          <w:highlight w:val="none"/>
          <w:lang w:val="zh-CN"/>
        </w:rPr>
        <w:t>供应商不再参加</w:t>
      </w:r>
      <w:r>
        <w:rPr>
          <w:rFonts w:hint="eastAsia" w:ascii="宋体" w:hAnsi="宋体"/>
          <w:color w:val="auto"/>
          <w:sz w:val="24"/>
          <w:highlight w:val="none"/>
          <w:lang w:val="zh-CN"/>
        </w:rPr>
        <w:t>。（2）使用综合评分法的采购项目，评审后得分最高的同品牌供应商获得成交推荐资格；评审得分相同的，由磋商小组集体推荐一个供应商作为成交候选人，其他同品牌供应商不作为成交候选人。</w:t>
      </w:r>
    </w:p>
    <w:p>
      <w:pPr>
        <w:pStyle w:val="7"/>
        <w:spacing w:after="156"/>
        <w:ind w:left="0" w:firstLine="0"/>
        <w:rPr>
          <w:rFonts w:ascii="宋体" w:hAnsi="宋体"/>
          <w:color w:val="auto"/>
          <w:kern w:val="2"/>
          <w:szCs w:val="24"/>
          <w:highlight w:val="none"/>
          <w:lang w:val="zh-CN"/>
        </w:rPr>
      </w:pPr>
      <w:r>
        <w:rPr>
          <w:rFonts w:hint="eastAsia" w:ascii="宋体" w:hAnsi="宋体"/>
          <w:color w:val="auto"/>
          <w:kern w:val="2"/>
          <w:szCs w:val="24"/>
          <w:highlight w:val="none"/>
          <w:lang w:val="zh-CN"/>
        </w:rPr>
        <w:t>商务与技术文件评审内容及标准：（</w:t>
      </w:r>
      <w:r>
        <w:rPr>
          <w:rFonts w:hint="eastAsia" w:ascii="宋体" w:hAnsi="宋体"/>
          <w:color w:val="auto"/>
          <w:kern w:val="2"/>
          <w:szCs w:val="24"/>
          <w:highlight w:val="none"/>
        </w:rPr>
        <w:t>8</w:t>
      </w:r>
      <w:r>
        <w:rPr>
          <w:rFonts w:hint="eastAsia" w:ascii="宋体" w:hAnsi="宋体"/>
          <w:color w:val="auto"/>
          <w:kern w:val="2"/>
          <w:szCs w:val="24"/>
          <w:highlight w:val="none"/>
          <w:lang w:val="zh-CN"/>
        </w:rPr>
        <w:t xml:space="preserve">0分） </w:t>
      </w:r>
    </w:p>
    <w:tbl>
      <w:tblPr>
        <w:tblStyle w:val="25"/>
        <w:tblW w:w="89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57"/>
        <w:gridCol w:w="5593"/>
        <w:gridCol w:w="9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snapToGrid w:val="0"/>
                <w:color w:val="auto"/>
                <w:szCs w:val="21"/>
                <w:highlight w:val="none"/>
              </w:rPr>
            </w:pPr>
            <w:r>
              <w:rPr>
                <w:rFonts w:hint="eastAsia" w:ascii="宋体" w:hAnsi="宋体" w:cs="宋体"/>
                <w:color w:val="auto"/>
                <w:szCs w:val="21"/>
                <w:highlight w:val="none"/>
              </w:rPr>
              <w:t>序号</w:t>
            </w:r>
          </w:p>
        </w:tc>
        <w:tc>
          <w:tcPr>
            <w:tcW w:w="1157"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snapToGrid w:val="0"/>
                <w:color w:val="auto"/>
                <w:szCs w:val="21"/>
                <w:highlight w:val="none"/>
              </w:rPr>
            </w:pPr>
            <w:r>
              <w:rPr>
                <w:rFonts w:hint="eastAsia" w:ascii="宋体" w:hAnsi="宋体" w:cs="宋体"/>
                <w:color w:val="auto"/>
                <w:szCs w:val="21"/>
                <w:highlight w:val="none"/>
              </w:rPr>
              <w:t>评分项目</w:t>
            </w:r>
          </w:p>
        </w:tc>
        <w:tc>
          <w:tcPr>
            <w:tcW w:w="5593"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color w:val="auto"/>
                <w:highlight w:val="none"/>
              </w:rPr>
            </w:pPr>
            <w:r>
              <w:rPr>
                <w:rFonts w:hint="eastAsia" w:ascii="宋体" w:hAnsi="宋体" w:cs="宋体"/>
                <w:color w:val="auto"/>
                <w:szCs w:val="21"/>
                <w:highlight w:val="none"/>
              </w:rPr>
              <w:t>分值及评分标准</w:t>
            </w:r>
          </w:p>
        </w:tc>
        <w:tc>
          <w:tcPr>
            <w:tcW w:w="917" w:type="dxa"/>
            <w:tcBorders>
              <w:top w:val="single" w:color="auto" w:sz="8"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9" w:hRule="atLeast"/>
          <w:jc w:val="center"/>
        </w:trPr>
        <w:tc>
          <w:tcPr>
            <w:tcW w:w="1318" w:type="dxa"/>
            <w:vMerge w:val="restart"/>
            <w:tcBorders>
              <w:top w:val="single" w:color="auto" w:sz="8" w:space="0"/>
              <w:left w:val="single" w:color="auto" w:sz="8" w:space="0"/>
              <w:right w:val="single" w:color="auto" w:sz="8" w:space="0"/>
            </w:tcBorders>
            <w:vAlign w:val="center"/>
          </w:tcPr>
          <w:p>
            <w:pPr>
              <w:pStyle w:val="3"/>
              <w:jc w:val="center"/>
              <w:rPr>
                <w:color w:val="auto"/>
                <w:highlight w:val="none"/>
              </w:rPr>
            </w:pPr>
            <w:r>
              <w:rPr>
                <w:rFonts w:hint="eastAsia"/>
                <w:color w:val="auto"/>
                <w:highlight w:val="none"/>
              </w:rPr>
              <w:t>1.供应商实力</w:t>
            </w: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w:t>
            </w:r>
            <w:r>
              <w:rPr>
                <w:rFonts w:hint="eastAsia"/>
                <w:color w:val="auto"/>
                <w:highlight w:val="none"/>
              </w:rPr>
              <w:t>综合</w:t>
            </w:r>
            <w:r>
              <w:rPr>
                <w:rFonts w:hint="eastAsia" w:ascii="宋体" w:hAnsi="宋体" w:cs="宋体"/>
                <w:snapToGrid w:val="0"/>
                <w:color w:val="auto"/>
                <w:szCs w:val="21"/>
                <w:highlight w:val="none"/>
              </w:rPr>
              <w:t>实力</w:t>
            </w:r>
          </w:p>
        </w:tc>
        <w:tc>
          <w:tcPr>
            <w:tcW w:w="55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宋体" w:hAnsi="宋体"/>
                <w:color w:val="auto"/>
                <w:szCs w:val="21"/>
                <w:highlight w:val="none"/>
              </w:rPr>
            </w:pPr>
            <w:r>
              <w:rPr>
                <w:rFonts w:hint="eastAsia" w:ascii="宋体" w:hAnsi="宋体"/>
                <w:color w:val="auto"/>
                <w:szCs w:val="21"/>
                <w:highlight w:val="none"/>
              </w:rPr>
              <w:t>投标人近3年获得政政府部门颁发的AAA级信用等级认证、全国地理信息产业百强企业认证、CMMI5认证的，每个得1分，最高得3分。</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宋体" w:hAnsi="宋体"/>
                <w:color w:val="auto"/>
                <w:szCs w:val="21"/>
                <w:highlight w:val="none"/>
              </w:rPr>
            </w:pPr>
            <w:r>
              <w:rPr>
                <w:rFonts w:hint="eastAsia" w:ascii="宋体" w:hAnsi="宋体"/>
                <w:color w:val="auto"/>
                <w:szCs w:val="21"/>
                <w:highlight w:val="none"/>
              </w:rPr>
              <w:t>投标人开发的县（市）级的数据库建库软件并通过国家级权威机构测评并推荐使用的得3分，通过省级机构测评并推荐使用的得2分，无不得分。</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hint="eastAsia" w:ascii="宋体" w:hAnsi="宋体"/>
                <w:color w:val="auto"/>
                <w:szCs w:val="21"/>
                <w:highlight w:val="none"/>
              </w:rPr>
            </w:pPr>
            <w:r>
              <w:rPr>
                <w:rFonts w:hint="eastAsia" w:ascii="宋体" w:hAnsi="宋体" w:cs="宋体"/>
                <w:snapToGrid w:val="0"/>
                <w:color w:val="auto"/>
                <w:szCs w:val="21"/>
                <w:highlight w:val="none"/>
              </w:rPr>
              <w:t>投标人开发的</w:t>
            </w:r>
            <w:r>
              <w:rPr>
                <w:rFonts w:hint="eastAsia" w:ascii="宋体" w:hAnsi="宋体"/>
                <w:color w:val="auto"/>
                <w:szCs w:val="21"/>
                <w:highlight w:val="none"/>
              </w:rPr>
              <w:t>县（市）级的</w:t>
            </w:r>
            <w:r>
              <w:rPr>
                <w:rFonts w:hint="eastAsia" w:ascii="宋体" w:hAnsi="宋体" w:cs="宋体"/>
                <w:snapToGrid w:val="0"/>
                <w:color w:val="auto"/>
                <w:szCs w:val="21"/>
                <w:highlight w:val="none"/>
              </w:rPr>
              <w:t>土地利用现状管理系统、地籍管理信息系统</w:t>
            </w:r>
            <w:r>
              <w:rPr>
                <w:rFonts w:hint="eastAsia" w:ascii="宋体" w:hAnsi="宋体"/>
                <w:color w:val="auto"/>
                <w:szCs w:val="21"/>
                <w:highlight w:val="none"/>
              </w:rPr>
              <w:t>等管理软件</w:t>
            </w:r>
            <w:r>
              <w:rPr>
                <w:rFonts w:hint="eastAsia" w:ascii="宋体" w:hAnsi="宋体" w:cs="宋体"/>
                <w:snapToGrid w:val="0"/>
                <w:color w:val="auto"/>
                <w:szCs w:val="21"/>
                <w:highlight w:val="none"/>
              </w:rPr>
              <w:t>并</w:t>
            </w:r>
            <w:r>
              <w:rPr>
                <w:rFonts w:hint="eastAsia" w:ascii="宋体" w:hAnsi="宋体"/>
                <w:color w:val="auto"/>
                <w:szCs w:val="21"/>
                <w:highlight w:val="none"/>
              </w:rPr>
              <w:t>通过国家级权威机构测评并推荐使用的得2分，通过省级机构测评并推荐使用的得1分，无不得分。</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宋体" w:hAnsi="宋体" w:cs="宋体"/>
                <w:snapToGrid w:val="0"/>
                <w:color w:val="auto"/>
                <w:szCs w:val="21"/>
                <w:highlight w:val="none"/>
              </w:rPr>
            </w:pPr>
            <w:r>
              <w:rPr>
                <w:rFonts w:hint="eastAsia" w:ascii="宋体" w:hAnsi="宋体" w:cs="宋体"/>
                <w:snapToGrid w:val="0"/>
                <w:color w:val="auto"/>
                <w:szCs w:val="21"/>
                <w:highlight w:val="none"/>
              </w:rPr>
              <w:t>投标人承担过部级土地管理类数据库标准研制课题并通过验收的，得2分，承担过省级的得1分，无不得分。</w:t>
            </w:r>
          </w:p>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宋体" w:hAnsi="宋体" w:cs="宋体"/>
                <w:snapToGrid w:val="0"/>
                <w:color w:val="auto"/>
                <w:szCs w:val="21"/>
                <w:highlight w:val="none"/>
              </w:rPr>
            </w:pPr>
            <w:r>
              <w:rPr>
                <w:rFonts w:hint="eastAsia" w:ascii="宋体" w:hAnsi="宋体" w:cs="宋体"/>
                <w:b/>
                <w:bCs/>
                <w:snapToGrid w:val="0"/>
                <w:color w:val="auto"/>
                <w:szCs w:val="21"/>
                <w:highlight w:val="none"/>
              </w:rPr>
              <w:t>注：（以上需提供相应的电子证明材料并加盖公章，不提供不得分）</w:t>
            </w:r>
          </w:p>
        </w:tc>
        <w:tc>
          <w:tcPr>
            <w:tcW w:w="91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宋体" w:hAnsi="宋体"/>
                <w:color w:val="auto"/>
                <w:szCs w:val="21"/>
                <w:highlight w:val="none"/>
              </w:rPr>
            </w:pPr>
            <w:r>
              <w:rPr>
                <w:rFonts w:hint="eastAsia" w:ascii="宋体" w:hAnsi="宋体"/>
                <w:color w:val="auto"/>
                <w:szCs w:val="21"/>
                <w:highlight w:val="none"/>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本地化服务</w:t>
            </w:r>
          </w:p>
        </w:tc>
        <w:tc>
          <w:tcPr>
            <w:tcW w:w="55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textAlignment w:val="auto"/>
              <w:rPr>
                <w:rFonts w:ascii="宋体" w:hAnsi="宋体" w:cs="宋体"/>
                <w:snapToGrid w:val="0"/>
                <w:color w:val="auto"/>
                <w:szCs w:val="21"/>
                <w:highlight w:val="none"/>
              </w:rPr>
            </w:pPr>
            <w:r>
              <w:rPr>
                <w:rFonts w:hint="eastAsia" w:ascii="宋体" w:hAnsi="宋体"/>
                <w:color w:val="auto"/>
                <w:szCs w:val="21"/>
                <w:highlight w:val="none"/>
              </w:rPr>
              <w:t>就近服务机构：已有在台州地区注册分公司的得2分，在浙江省设常驻服务机构的(包括本省公司或在浙江省注册分公司)，得1分。（需提供工商注册营业执照电子扫描件并加盖公章）。</w:t>
            </w:r>
          </w:p>
        </w:tc>
        <w:tc>
          <w:tcPr>
            <w:tcW w:w="91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50" w:afterLines="50" w:line="240" w:lineRule="exact"/>
              <w:jc w:val="center"/>
              <w:textAlignment w:val="auto"/>
              <w:rPr>
                <w:rFonts w:ascii="宋体" w:hAnsi="宋体"/>
                <w:color w:val="auto"/>
                <w:szCs w:val="21"/>
                <w:highlight w:val="none"/>
              </w:rPr>
            </w:pPr>
            <w:r>
              <w:rPr>
                <w:rFonts w:hint="eastAsia" w:ascii="宋体" w:hAnsi="宋体" w:cs="宋体"/>
                <w:snapToGrid w:val="0"/>
                <w:color w:val="auto"/>
                <w:szCs w:val="21"/>
                <w:highlight w:val="none"/>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18" w:type="dxa"/>
            <w:vMerge w:val="restart"/>
            <w:tcBorders>
              <w:top w:val="single" w:color="auto" w:sz="8" w:space="0"/>
              <w:left w:val="single" w:color="auto" w:sz="8" w:space="0"/>
              <w:right w:val="single" w:color="auto" w:sz="8" w:space="0"/>
            </w:tcBorders>
            <w:vAlign w:val="center"/>
          </w:tcPr>
          <w:p>
            <w:pPr>
              <w:pStyle w:val="3"/>
              <w:jc w:val="center"/>
              <w:rPr>
                <w:color w:val="auto"/>
                <w:highlight w:val="none"/>
              </w:rPr>
            </w:pPr>
            <w:r>
              <w:rPr>
                <w:rFonts w:hint="eastAsia"/>
                <w:color w:val="auto"/>
                <w:highlight w:val="none"/>
              </w:rPr>
              <w:t>2.项目团队</w:t>
            </w:r>
          </w:p>
          <w:p>
            <w:pPr>
              <w:pStyle w:val="2"/>
              <w:ind w:firstLine="210"/>
              <w:rPr>
                <w:color w:val="auto"/>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项目负责人</w:t>
            </w:r>
          </w:p>
        </w:tc>
        <w:tc>
          <w:tcPr>
            <w:tcW w:w="5593" w:type="dxa"/>
            <w:tcBorders>
              <w:top w:val="single" w:color="auto" w:sz="8" w:space="0"/>
              <w:left w:val="single" w:color="auto" w:sz="8" w:space="0"/>
              <w:bottom w:val="single" w:color="auto" w:sz="8" w:space="0"/>
              <w:right w:val="single" w:color="auto" w:sz="8" w:space="0"/>
            </w:tcBorders>
            <w:vAlign w:val="center"/>
          </w:tcPr>
          <w:p>
            <w:pPr>
              <w:tabs>
                <w:tab w:val="left" w:pos="4200"/>
              </w:tabs>
              <w:rPr>
                <w:color w:val="auto"/>
                <w:highlight w:val="none"/>
              </w:rPr>
            </w:pPr>
            <w:r>
              <w:rPr>
                <w:rFonts w:hint="eastAsia"/>
                <w:color w:val="auto"/>
                <w:highlight w:val="none"/>
              </w:rPr>
              <w:t>项目负责人同时具备高级职称、注册测绘师、涉密测绘成果管理人员岗位培训证书、第三次全国土地调查业务培训证书的，每一项得1分，最高得4分。</w:t>
            </w:r>
            <w:r>
              <w:rPr>
                <w:rFonts w:hint="eastAsia" w:ascii="宋体" w:hAnsi="宋体" w:cs="宋体"/>
                <w:color w:val="auto"/>
                <w:kern w:val="0"/>
                <w:szCs w:val="21"/>
                <w:highlight w:val="none"/>
              </w:rPr>
              <w:t>（需提供职称证书和连续三个月社保证明电子扫描件并加盖公章，人员不可重复，未提供不得分)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18" w:type="dxa"/>
            <w:vMerge w:val="continue"/>
            <w:tcBorders>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color w:val="auto"/>
                <w:kern w:val="0"/>
                <w:szCs w:val="21"/>
                <w:highlight w:val="none"/>
              </w:rPr>
              <w:t>项目组成员（除项目负责人外）</w:t>
            </w:r>
          </w:p>
        </w:tc>
        <w:tc>
          <w:tcPr>
            <w:tcW w:w="5593" w:type="dxa"/>
            <w:tcBorders>
              <w:top w:val="single" w:color="auto" w:sz="8" w:space="0"/>
              <w:left w:val="single" w:color="auto" w:sz="8" w:space="0"/>
              <w:bottom w:val="single" w:color="auto" w:sz="8" w:space="0"/>
              <w:right w:val="single" w:color="auto" w:sz="8" w:space="0"/>
            </w:tcBorders>
            <w:vAlign w:val="center"/>
          </w:tcPr>
          <w:p>
            <w:pPr>
              <w:tabs>
                <w:tab w:val="left" w:pos="4200"/>
              </w:tabs>
              <w:rPr>
                <w:rFonts w:ascii="宋体" w:hAnsi="宋体" w:cs="宋体"/>
                <w:color w:val="auto"/>
                <w:kern w:val="0"/>
                <w:szCs w:val="21"/>
                <w:highlight w:val="none"/>
              </w:rPr>
            </w:pPr>
            <w:r>
              <w:rPr>
                <w:rFonts w:hint="eastAsia" w:ascii="宋体" w:hAnsi="宋体" w:cs="宋体"/>
                <w:color w:val="auto"/>
                <w:kern w:val="0"/>
                <w:szCs w:val="21"/>
                <w:highlight w:val="none"/>
              </w:rPr>
              <w:t>根据投入人员的数量、资历、经验、专业以及人员构成的合理性，由评委排序打分，1-2分，未表述不得分。</w:t>
            </w:r>
          </w:p>
          <w:p>
            <w:pPr>
              <w:tabs>
                <w:tab w:val="left" w:pos="4200"/>
              </w:tabs>
              <w:rPr>
                <w:rFonts w:ascii="宋体" w:hAnsi="宋体" w:cs="宋体"/>
                <w:snapToGrid w:val="0"/>
                <w:color w:val="auto"/>
                <w:szCs w:val="21"/>
                <w:highlight w:val="none"/>
              </w:rPr>
            </w:pPr>
            <w:r>
              <w:rPr>
                <w:rFonts w:hint="eastAsia" w:ascii="宋体" w:hAnsi="宋体" w:cs="宋体"/>
                <w:color w:val="auto"/>
                <w:kern w:val="0"/>
                <w:szCs w:val="21"/>
                <w:highlight w:val="none"/>
              </w:rPr>
              <w:t>项目组人员（不含项目负责人）中具有高级职称的每有1人得1分，具有中级职称的每有1人得0.5分；本项最多得3分。（需提供职称证书和连续三个月社保证明电子扫描件并加盖公章，未提供不得分，人员不可重复。)</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color w:val="auto"/>
                <w:kern w:val="0"/>
                <w:szCs w:val="21"/>
                <w:highlight w:val="none"/>
              </w:rPr>
            </w:pPr>
            <w:r>
              <w:rPr>
                <w:rFonts w:hint="eastAsia" w:ascii="宋体" w:hAnsi="宋体" w:cs="宋体"/>
                <w:snapToGrid w:val="0"/>
                <w:color w:val="auto"/>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18" w:type="dxa"/>
            <w:vMerge w:val="restart"/>
            <w:tcBorders>
              <w:top w:val="single" w:color="auto" w:sz="8" w:space="0"/>
              <w:left w:val="single" w:color="auto" w:sz="8" w:space="0"/>
              <w:right w:val="single" w:color="auto" w:sz="8" w:space="0"/>
            </w:tcBorders>
            <w:vAlign w:val="center"/>
          </w:tcPr>
          <w:p>
            <w:pPr>
              <w:tabs>
                <w:tab w:val="left" w:pos="4200"/>
              </w:tabs>
              <w:jc w:val="center"/>
              <w:rPr>
                <w:color w:val="auto"/>
                <w:highlight w:val="none"/>
              </w:rPr>
            </w:pPr>
            <w:r>
              <w:rPr>
                <w:rFonts w:hint="eastAsia"/>
                <w:color w:val="auto"/>
                <w:highlight w:val="none"/>
              </w:rPr>
              <w:t>3.投标技术方案</w:t>
            </w:r>
          </w:p>
          <w:p>
            <w:pPr>
              <w:pStyle w:val="3"/>
              <w:jc w:val="center"/>
              <w:rPr>
                <w:color w:val="auto"/>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color w:val="auto"/>
                <w:kern w:val="0"/>
                <w:szCs w:val="21"/>
                <w:highlight w:val="none"/>
              </w:rPr>
            </w:pPr>
            <w:r>
              <w:rPr>
                <w:rFonts w:hint="eastAsia" w:ascii="宋体" w:hAnsi="宋体" w:cs="宋体"/>
                <w:snapToGrid w:val="0"/>
                <w:color w:val="auto"/>
                <w:szCs w:val="21"/>
                <w:highlight w:val="none"/>
              </w:rPr>
              <w:t>对项目的理解</w:t>
            </w:r>
          </w:p>
        </w:tc>
        <w:tc>
          <w:tcPr>
            <w:tcW w:w="559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snapToGrid w:val="0"/>
                <w:color w:val="auto"/>
                <w:szCs w:val="21"/>
                <w:highlight w:val="none"/>
              </w:rPr>
            </w:pPr>
            <w:r>
              <w:rPr>
                <w:rFonts w:hint="eastAsia" w:ascii="宋体" w:hAnsi="宋体" w:cs="宋体"/>
                <w:snapToGrid w:val="0"/>
                <w:color w:val="auto"/>
                <w:szCs w:val="21"/>
                <w:highlight w:val="none"/>
              </w:rPr>
              <w:t>对项目背景和资源现状情况认识较为充分，对存在的问题理解到位。</w:t>
            </w:r>
          </w:p>
          <w:p>
            <w:pPr>
              <w:rPr>
                <w:rFonts w:ascii="宋体" w:hAnsi="宋体" w:cs="宋体"/>
                <w:color w:val="auto"/>
                <w:kern w:val="0"/>
                <w:szCs w:val="21"/>
                <w:highlight w:val="none"/>
              </w:rPr>
            </w:pPr>
            <w:r>
              <w:rPr>
                <w:rFonts w:hint="eastAsia" w:ascii="宋体" w:hAnsi="宋体" w:cs="宋体"/>
                <w:snapToGrid w:val="0"/>
                <w:color w:val="auto"/>
                <w:szCs w:val="21"/>
                <w:highlight w:val="none"/>
              </w:rPr>
              <w:t>优秀（6-7分），良好（</w:t>
            </w:r>
            <w:r>
              <w:rPr>
                <w:rFonts w:ascii="宋体" w:hAnsi="宋体" w:cs="宋体"/>
                <w:snapToGrid w:val="0"/>
                <w:color w:val="auto"/>
                <w:szCs w:val="21"/>
                <w:highlight w:val="none"/>
              </w:rPr>
              <w:t>3</w:t>
            </w:r>
            <w:r>
              <w:rPr>
                <w:rFonts w:hint="eastAsia" w:ascii="宋体" w:hAnsi="宋体" w:cs="宋体"/>
                <w:snapToGrid w:val="0"/>
                <w:color w:val="auto"/>
                <w:szCs w:val="21"/>
                <w:highlight w:val="none"/>
              </w:rPr>
              <w:t>-5</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ascii="宋体" w:hAnsi="宋体" w:cs="宋体"/>
                <w:snapToGrid w:val="0"/>
                <w:color w:val="auto"/>
                <w:szCs w:val="21"/>
                <w:highlight w:val="none"/>
              </w:rPr>
              <w:t>0</w:t>
            </w:r>
            <w:r>
              <w:rPr>
                <w:rFonts w:hint="eastAsia" w:ascii="宋体" w:hAnsi="宋体" w:cs="宋体"/>
                <w:snapToGrid w:val="0"/>
                <w:color w:val="auto"/>
                <w:szCs w:val="21"/>
                <w:highlight w:val="none"/>
              </w:rPr>
              <w:t>-7分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8" w:space="0"/>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方案总体思路及工作方案</w:t>
            </w:r>
          </w:p>
        </w:tc>
        <w:tc>
          <w:tcPr>
            <w:tcW w:w="5593" w:type="dxa"/>
            <w:tcBorders>
              <w:top w:val="single" w:color="auto" w:sz="8" w:space="0"/>
              <w:left w:val="single" w:color="auto" w:sz="8" w:space="0"/>
              <w:bottom w:val="single" w:color="auto" w:sz="8" w:space="0"/>
              <w:right w:val="single" w:color="auto" w:sz="8" w:space="0"/>
            </w:tcBorders>
            <w:vAlign w:val="center"/>
          </w:tcPr>
          <w:p>
            <w:pPr>
              <w:tabs>
                <w:tab w:val="left" w:pos="4200"/>
              </w:tabs>
              <w:rPr>
                <w:rFonts w:ascii="宋体" w:hAnsi="宋体"/>
                <w:color w:val="auto"/>
                <w:szCs w:val="21"/>
                <w:highlight w:val="none"/>
              </w:rPr>
            </w:pPr>
            <w:r>
              <w:rPr>
                <w:rFonts w:hint="eastAsia" w:ascii="宋体" w:hAnsi="宋体"/>
                <w:color w:val="auto"/>
                <w:szCs w:val="21"/>
                <w:highlight w:val="none"/>
              </w:rPr>
              <w:t>根据投标单位对实施方案需求分析到位，解决问题思路清晰、内容全面；思路符合实际且具有先进性；工作方案周密，可操作性强，响应招标人要求。</w:t>
            </w:r>
          </w:p>
          <w:p>
            <w:pPr>
              <w:tabs>
                <w:tab w:val="left" w:pos="4200"/>
              </w:tabs>
              <w:rPr>
                <w:rFonts w:ascii="宋体" w:hAnsi="宋体" w:cs="宋体"/>
                <w:snapToGrid w:val="0"/>
                <w:color w:val="auto"/>
                <w:szCs w:val="21"/>
                <w:highlight w:val="none"/>
              </w:rPr>
            </w:pPr>
            <w:r>
              <w:rPr>
                <w:rFonts w:hint="eastAsia" w:ascii="宋体" w:hAnsi="宋体" w:cs="宋体"/>
                <w:snapToGrid w:val="0"/>
                <w:color w:val="auto"/>
                <w:szCs w:val="21"/>
                <w:highlight w:val="none"/>
              </w:rPr>
              <w:t>优秀（8-11分），良好（5-7</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-4</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ascii="宋体" w:hAnsi="宋体" w:cs="宋体"/>
                <w:snapToGrid w:val="0"/>
                <w:color w:val="auto"/>
                <w:szCs w:val="21"/>
                <w:highlight w:val="none"/>
              </w:rPr>
              <w:t>0</w:t>
            </w:r>
            <w:r>
              <w:rPr>
                <w:rFonts w:hint="eastAsia" w:ascii="宋体" w:hAnsi="宋体" w:cs="宋体"/>
                <w:snapToGrid w:val="0"/>
                <w:color w:val="auto"/>
                <w:szCs w:val="21"/>
                <w:highlight w:val="none"/>
              </w:rPr>
              <w:t>-11分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对方案重点和难点的认识</w:t>
            </w:r>
          </w:p>
        </w:tc>
        <w:tc>
          <w:tcPr>
            <w:tcW w:w="5593" w:type="dxa"/>
            <w:tcBorders>
              <w:top w:val="single" w:color="auto" w:sz="8" w:space="0"/>
              <w:left w:val="single" w:color="auto" w:sz="8" w:space="0"/>
              <w:bottom w:val="single" w:color="auto" w:sz="8" w:space="0"/>
              <w:right w:val="single" w:color="auto" w:sz="8" w:space="0"/>
            </w:tcBorders>
            <w:vAlign w:val="center"/>
          </w:tcPr>
          <w:p>
            <w:pPr>
              <w:rPr>
                <w:rFonts w:cs="宋体"/>
                <w:color w:val="auto"/>
                <w:szCs w:val="21"/>
                <w:highlight w:val="none"/>
              </w:rPr>
            </w:pPr>
            <w:r>
              <w:rPr>
                <w:rFonts w:hint="eastAsia" w:cs="宋体"/>
                <w:color w:val="auto"/>
                <w:szCs w:val="21"/>
                <w:highlight w:val="none"/>
              </w:rPr>
              <w:t>根据投标单位对方案重点的认识准确、全面，对方案难点认识清晰并有切实可行的解决思路。</w:t>
            </w:r>
          </w:p>
          <w:p>
            <w:pPr>
              <w:tabs>
                <w:tab w:val="left" w:pos="4200"/>
              </w:tabs>
              <w:rPr>
                <w:rFonts w:ascii="宋体" w:hAnsi="宋体" w:cs="宋体"/>
                <w:color w:val="auto"/>
                <w:spacing w:val="4"/>
                <w:kern w:val="0"/>
                <w:szCs w:val="21"/>
                <w:highlight w:val="none"/>
              </w:rPr>
            </w:pPr>
            <w:r>
              <w:rPr>
                <w:rFonts w:hint="eastAsia" w:ascii="宋体" w:hAnsi="宋体" w:cs="宋体"/>
                <w:snapToGrid w:val="0"/>
                <w:color w:val="auto"/>
                <w:szCs w:val="21"/>
                <w:highlight w:val="none"/>
              </w:rPr>
              <w:t>优秀（10-12分），良好（5-9</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-4</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cs="宋体"/>
                <w:color w:val="auto"/>
                <w:szCs w:val="21"/>
                <w:highlight w:val="none"/>
              </w:rPr>
            </w:pPr>
            <w:r>
              <w:rPr>
                <w:rFonts w:ascii="宋体" w:hAnsi="宋体" w:cs="宋体"/>
                <w:snapToGrid w:val="0"/>
                <w:color w:val="auto"/>
                <w:szCs w:val="21"/>
                <w:highlight w:val="none"/>
              </w:rPr>
              <w:t>0</w:t>
            </w:r>
            <w:r>
              <w:rPr>
                <w:rFonts w:hint="eastAsia" w:ascii="宋体" w:hAnsi="宋体" w:cs="宋体"/>
                <w:snapToGrid w:val="0"/>
                <w:color w:val="auto"/>
                <w:szCs w:val="21"/>
                <w:highlight w:val="none"/>
              </w:rPr>
              <w:t>-12分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8" w:space="0"/>
              <w:left w:val="single" w:color="auto" w:sz="8" w:space="0"/>
              <w:bottom w:val="single" w:color="auto" w:sz="4"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color w:val="auto"/>
                <w:kern w:val="0"/>
                <w:szCs w:val="21"/>
                <w:highlight w:val="none"/>
              </w:rPr>
              <w:t>方案成果及进度安排</w:t>
            </w:r>
          </w:p>
        </w:tc>
        <w:tc>
          <w:tcPr>
            <w:tcW w:w="5593" w:type="dxa"/>
            <w:tcBorders>
              <w:top w:val="single" w:color="auto" w:sz="8" w:space="0"/>
              <w:left w:val="single" w:color="auto" w:sz="8" w:space="0"/>
              <w:bottom w:val="single" w:color="auto" w:sz="4" w:space="0"/>
              <w:right w:val="single" w:color="auto" w:sz="8" w:space="0"/>
            </w:tcBorders>
            <w:vAlign w:val="center"/>
          </w:tcPr>
          <w:p>
            <w:pPr>
              <w:tabs>
                <w:tab w:val="left" w:pos="4200"/>
              </w:tabs>
              <w:rPr>
                <w:rFonts w:ascii="宋体" w:hAnsi="宋体" w:cs="宋体"/>
                <w:color w:val="auto"/>
                <w:kern w:val="0"/>
                <w:szCs w:val="21"/>
                <w:highlight w:val="none"/>
              </w:rPr>
            </w:pPr>
            <w:r>
              <w:rPr>
                <w:rFonts w:hint="eastAsia" w:ascii="宋体" w:hAnsi="宋体" w:cs="宋体"/>
                <w:color w:val="auto"/>
                <w:kern w:val="0"/>
                <w:szCs w:val="21"/>
                <w:highlight w:val="none"/>
              </w:rPr>
              <w:t>根据投标单位方案成果及进度安排科学合理，有完善的章节安排及工期管理措施的。</w:t>
            </w:r>
          </w:p>
          <w:p>
            <w:pPr>
              <w:tabs>
                <w:tab w:val="left" w:pos="4200"/>
              </w:tabs>
              <w:rPr>
                <w:rFonts w:ascii="宋体" w:hAnsi="宋体" w:cs="宋体"/>
                <w:color w:val="auto"/>
                <w:szCs w:val="21"/>
                <w:highlight w:val="none"/>
              </w:rPr>
            </w:pPr>
            <w:r>
              <w:rPr>
                <w:rFonts w:hint="eastAsia" w:ascii="宋体" w:hAnsi="宋体" w:cs="宋体"/>
                <w:snapToGrid w:val="0"/>
                <w:color w:val="auto"/>
                <w:szCs w:val="21"/>
                <w:highlight w:val="none"/>
              </w:rPr>
              <w:t>优秀（6-7分），良好（3-5</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8" w:space="0"/>
              <w:left w:val="single" w:color="auto" w:sz="8" w:space="0"/>
              <w:bottom w:val="single" w:color="auto" w:sz="4" w:space="0"/>
              <w:right w:val="single" w:color="auto" w:sz="8" w:space="0"/>
            </w:tcBorders>
            <w:vAlign w:val="center"/>
          </w:tcPr>
          <w:p>
            <w:pPr>
              <w:tabs>
                <w:tab w:val="left" w:pos="4200"/>
              </w:tabs>
              <w:jc w:val="center"/>
              <w:rPr>
                <w:rFonts w:ascii="宋体" w:hAnsi="宋体" w:cs="宋体"/>
                <w:color w:val="auto"/>
                <w:kern w:val="0"/>
                <w:szCs w:val="21"/>
                <w:highlight w:val="none"/>
              </w:rPr>
            </w:pPr>
            <w:r>
              <w:rPr>
                <w:rFonts w:ascii="宋体" w:hAnsi="宋体" w:cs="宋体"/>
                <w:snapToGrid w:val="0"/>
                <w:color w:val="auto"/>
                <w:szCs w:val="21"/>
                <w:highlight w:val="none"/>
              </w:rPr>
              <w:t>0</w:t>
            </w:r>
            <w:r>
              <w:rPr>
                <w:rFonts w:hint="eastAsia" w:ascii="宋体" w:hAnsi="宋体" w:cs="宋体"/>
                <w:snapToGrid w:val="0"/>
                <w:color w:val="auto"/>
                <w:szCs w:val="21"/>
                <w:highlight w:val="none"/>
              </w:rPr>
              <w:t>-7分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4" w:space="0"/>
              <w:left w:val="single" w:color="auto" w:sz="8" w:space="0"/>
              <w:bottom w:val="single" w:color="auto" w:sz="8" w:space="0"/>
              <w:right w:val="single" w:color="auto" w:sz="8" w:space="0"/>
            </w:tcBorders>
            <w:vAlign w:val="center"/>
          </w:tcPr>
          <w:p>
            <w:pPr>
              <w:tabs>
                <w:tab w:val="left" w:pos="4200"/>
              </w:tabs>
              <w:jc w:val="center"/>
              <w:rPr>
                <w:rFonts w:ascii="宋体" w:hAnsi="宋体" w:cs="宋体"/>
                <w:color w:val="auto"/>
                <w:kern w:val="0"/>
                <w:szCs w:val="21"/>
                <w:highlight w:val="none"/>
              </w:rPr>
            </w:pPr>
            <w:r>
              <w:rPr>
                <w:rFonts w:hint="eastAsia" w:ascii="宋体" w:hAnsi="宋体" w:cs="宋体"/>
                <w:color w:val="auto"/>
                <w:kern w:val="0"/>
                <w:szCs w:val="21"/>
                <w:highlight w:val="none"/>
              </w:rPr>
              <w:t>项目管理及制度保证</w:t>
            </w:r>
          </w:p>
        </w:tc>
        <w:tc>
          <w:tcPr>
            <w:tcW w:w="5593" w:type="dxa"/>
            <w:tcBorders>
              <w:top w:val="single" w:color="auto" w:sz="4" w:space="0"/>
              <w:left w:val="single" w:color="auto" w:sz="8" w:space="0"/>
              <w:bottom w:val="single" w:color="auto" w:sz="8" w:space="0"/>
              <w:right w:val="single" w:color="auto" w:sz="8" w:space="0"/>
            </w:tcBorders>
            <w:vAlign w:val="center"/>
          </w:tcPr>
          <w:p>
            <w:pPr>
              <w:tabs>
                <w:tab w:val="left" w:pos="4200"/>
              </w:tabs>
              <w:rPr>
                <w:color w:val="auto"/>
                <w:highlight w:val="none"/>
              </w:rPr>
            </w:pPr>
            <w:r>
              <w:rPr>
                <w:rFonts w:hint="eastAsia"/>
                <w:color w:val="auto"/>
                <w:highlight w:val="none"/>
              </w:rPr>
              <w:t>根据投标技术方案对项目管理及制度的保障程度，有完善的项目管理体系及保障措施的进行综合评分。</w:t>
            </w:r>
          </w:p>
          <w:p>
            <w:pPr>
              <w:pStyle w:val="3"/>
              <w:rPr>
                <w:color w:val="auto"/>
                <w:highlight w:val="none"/>
              </w:rPr>
            </w:pPr>
            <w:r>
              <w:rPr>
                <w:rFonts w:hint="eastAsia" w:ascii="宋体" w:hAnsi="宋体" w:cs="宋体"/>
                <w:snapToGrid w:val="0"/>
                <w:color w:val="auto"/>
                <w:szCs w:val="21"/>
                <w:highlight w:val="none"/>
              </w:rPr>
              <w:t>优秀（5-6分），良好（3-4</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4"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0-6分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18" w:type="dxa"/>
            <w:vMerge w:val="continue"/>
            <w:tcBorders>
              <w:left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质量保证措施及售后服务保障</w:t>
            </w:r>
          </w:p>
        </w:tc>
        <w:tc>
          <w:tcPr>
            <w:tcW w:w="5593" w:type="dxa"/>
            <w:tcBorders>
              <w:top w:val="single" w:color="auto" w:sz="8" w:space="0"/>
              <w:left w:val="single" w:color="auto" w:sz="8" w:space="0"/>
              <w:bottom w:val="single" w:color="auto" w:sz="8" w:space="0"/>
              <w:right w:val="single" w:color="auto" w:sz="8" w:space="0"/>
            </w:tcBorders>
            <w:vAlign w:val="center"/>
          </w:tcPr>
          <w:p>
            <w:pPr>
              <w:tabs>
                <w:tab w:val="left" w:pos="4200"/>
              </w:tabs>
              <w:rPr>
                <w:rFonts w:ascii="宋体" w:hAnsi="宋体" w:cs="宋体"/>
                <w:snapToGrid w:val="0"/>
                <w:color w:val="auto"/>
                <w:szCs w:val="21"/>
                <w:highlight w:val="none"/>
              </w:rPr>
            </w:pPr>
            <w:r>
              <w:rPr>
                <w:rFonts w:hint="eastAsia" w:ascii="宋体" w:hAnsi="宋体" w:cs="宋体"/>
                <w:snapToGrid w:val="0"/>
                <w:color w:val="auto"/>
                <w:szCs w:val="21"/>
                <w:highlight w:val="none"/>
              </w:rPr>
              <w:t>根据投标单位组织机构及服务质量保证措施，做到机构健全，建立完整的工作台账、质量保证措施，质量管理关键点分析及应对合理、得当的。</w:t>
            </w:r>
          </w:p>
          <w:p>
            <w:pPr>
              <w:tabs>
                <w:tab w:val="left" w:pos="4200"/>
              </w:tabs>
              <w:rPr>
                <w:rFonts w:ascii="宋体" w:hAnsi="宋体" w:cs="宋体"/>
                <w:snapToGrid w:val="0"/>
                <w:color w:val="auto"/>
                <w:szCs w:val="21"/>
                <w:highlight w:val="none"/>
              </w:rPr>
            </w:pPr>
            <w:r>
              <w:rPr>
                <w:rFonts w:hint="eastAsia" w:ascii="宋体" w:hAnsi="宋体" w:cs="宋体"/>
                <w:snapToGrid w:val="0"/>
                <w:color w:val="auto"/>
                <w:szCs w:val="21"/>
                <w:highlight w:val="none"/>
              </w:rPr>
              <w:t>优秀（5-6分），良好（3-4</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分），一般（</w:t>
            </w:r>
            <w:r>
              <w:rPr>
                <w:rFonts w:ascii="宋体" w:hAnsi="宋体" w:cs="宋体"/>
                <w:snapToGrid w:val="0"/>
                <w:color w:val="auto"/>
                <w:szCs w:val="21"/>
                <w:highlight w:val="none"/>
              </w:rPr>
              <w:t>0</w:t>
            </w: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val="en-US" w:eastAsia="zh-CN"/>
              </w:rPr>
              <w:t>.99</w:t>
            </w:r>
            <w:r>
              <w:rPr>
                <w:rFonts w:hint="eastAsia" w:ascii="宋体" w:hAnsi="宋体" w:cs="宋体"/>
                <w:snapToGrid w:val="0"/>
                <w:color w:val="auto"/>
                <w:szCs w:val="21"/>
                <w:highlight w:val="none"/>
              </w:rPr>
              <w:t>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ascii="宋体" w:hAnsi="宋体" w:cs="宋体"/>
                <w:snapToGrid w:val="0"/>
                <w:color w:val="auto"/>
                <w:szCs w:val="21"/>
                <w:highlight w:val="none"/>
              </w:rPr>
              <w:t>0</w:t>
            </w:r>
            <w:r>
              <w:rPr>
                <w:rFonts w:hint="eastAsia" w:ascii="宋体" w:hAnsi="宋体" w:cs="宋体"/>
                <w:snapToGrid w:val="0"/>
                <w:color w:val="auto"/>
                <w:szCs w:val="21"/>
                <w:highlight w:val="none"/>
              </w:rPr>
              <w:t>-6分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18" w:type="dxa"/>
            <w:tcBorders>
              <w:left w:val="single" w:color="auto" w:sz="8" w:space="0"/>
              <w:right w:val="single" w:color="auto" w:sz="8" w:space="0"/>
            </w:tcBorders>
            <w:vAlign w:val="center"/>
          </w:tcPr>
          <w:p>
            <w:pPr>
              <w:tabs>
                <w:tab w:val="left" w:pos="4200"/>
              </w:tabs>
              <w:jc w:val="center"/>
              <w:rPr>
                <w:color w:val="auto"/>
                <w:highlight w:val="none"/>
              </w:rPr>
            </w:pPr>
            <w:r>
              <w:rPr>
                <w:rFonts w:hint="eastAsia"/>
                <w:color w:val="auto"/>
                <w:highlight w:val="none"/>
              </w:rPr>
              <w:t>项目业绩</w:t>
            </w:r>
          </w:p>
          <w:p>
            <w:pPr>
              <w:pStyle w:val="3"/>
              <w:jc w:val="center"/>
              <w:rPr>
                <w:color w:val="auto"/>
                <w:highlight w:val="none"/>
              </w:rPr>
            </w:pPr>
          </w:p>
        </w:tc>
        <w:tc>
          <w:tcPr>
            <w:tcW w:w="115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类似业绩</w:t>
            </w:r>
          </w:p>
        </w:tc>
        <w:tc>
          <w:tcPr>
            <w:tcW w:w="5593" w:type="dxa"/>
            <w:tcBorders>
              <w:top w:val="single" w:color="auto" w:sz="8" w:space="0"/>
              <w:left w:val="single" w:color="auto" w:sz="8" w:space="0"/>
              <w:bottom w:val="single" w:color="auto" w:sz="8" w:space="0"/>
              <w:right w:val="single" w:color="auto" w:sz="8" w:space="0"/>
            </w:tcBorders>
            <w:vAlign w:val="center"/>
          </w:tcPr>
          <w:p>
            <w:pPr>
              <w:rPr>
                <w:color w:val="auto"/>
                <w:highlight w:val="none"/>
              </w:rPr>
            </w:pPr>
            <w:r>
              <w:rPr>
                <w:rFonts w:hint="eastAsia"/>
                <w:color w:val="auto"/>
                <w:highlight w:val="none"/>
                <w:lang w:eastAsia="zh-CN"/>
              </w:rPr>
              <w:t>近三年</w:t>
            </w:r>
            <w:r>
              <w:rPr>
                <w:rFonts w:hint="eastAsia"/>
                <w:color w:val="auto"/>
                <w:highlight w:val="none"/>
              </w:rPr>
              <w:t>投标人承担过县级第三次全国土地调查项目案例的，每个得1分，最高3分。</w:t>
            </w:r>
          </w:p>
          <w:p>
            <w:pPr>
              <w:rPr>
                <w:color w:val="auto"/>
                <w:highlight w:val="none"/>
              </w:rPr>
            </w:pPr>
            <w:r>
              <w:rPr>
                <w:rFonts w:hint="eastAsia"/>
                <w:color w:val="auto"/>
                <w:highlight w:val="none"/>
                <w:lang w:eastAsia="zh-CN"/>
              </w:rPr>
              <w:t>近三年</w:t>
            </w:r>
            <w:r>
              <w:rPr>
                <w:rFonts w:hint="eastAsia"/>
                <w:color w:val="auto"/>
                <w:highlight w:val="none"/>
              </w:rPr>
              <w:t>投标人承担过县级土地变更调查项目案例的，每个得1分，最高得3分。</w:t>
            </w:r>
          </w:p>
          <w:p>
            <w:pPr>
              <w:rPr>
                <w:color w:val="auto"/>
                <w:highlight w:val="none"/>
              </w:rPr>
            </w:pPr>
            <w:r>
              <w:rPr>
                <w:rFonts w:hint="eastAsia"/>
                <w:color w:val="auto"/>
                <w:highlight w:val="none"/>
                <w:lang w:eastAsia="zh-CN"/>
              </w:rPr>
              <w:t>近三年</w:t>
            </w:r>
            <w:r>
              <w:rPr>
                <w:rFonts w:hint="eastAsia"/>
                <w:color w:val="auto"/>
                <w:highlight w:val="none"/>
              </w:rPr>
              <w:t>投标人承担过县级三调成果核查、变更调查成果核查等案例的，每个得1分，最高得2分。</w:t>
            </w:r>
          </w:p>
          <w:p>
            <w:pPr>
              <w:rPr>
                <w:color w:val="auto"/>
                <w:highlight w:val="none"/>
              </w:rPr>
            </w:pPr>
            <w:r>
              <w:rPr>
                <w:rFonts w:hint="eastAsia"/>
                <w:color w:val="auto"/>
                <w:highlight w:val="none"/>
              </w:rPr>
              <w:t>注：以上需提供相关业绩的合同电子扫描件并加盖公章，不提供不得分。</w:t>
            </w:r>
          </w:p>
        </w:tc>
        <w:tc>
          <w:tcPr>
            <w:tcW w:w="917" w:type="dxa"/>
            <w:tcBorders>
              <w:top w:val="single" w:color="auto" w:sz="8" w:space="0"/>
              <w:left w:val="single" w:color="auto" w:sz="8" w:space="0"/>
              <w:bottom w:val="single" w:color="auto" w:sz="8" w:space="0"/>
              <w:right w:val="single" w:color="auto" w:sz="8" w:space="0"/>
            </w:tcBorders>
            <w:vAlign w:val="center"/>
          </w:tcPr>
          <w:p>
            <w:pPr>
              <w:tabs>
                <w:tab w:val="left" w:pos="4200"/>
              </w:tabs>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0-8分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318" w:type="dxa"/>
            <w:tcBorders>
              <w:left w:val="single" w:color="auto" w:sz="8" w:space="0"/>
              <w:bottom w:val="single" w:color="auto" w:sz="8" w:space="0"/>
              <w:right w:val="single" w:color="auto" w:sz="8" w:space="0"/>
            </w:tcBorders>
            <w:vAlign w:val="center"/>
          </w:tcPr>
          <w:p>
            <w:pPr>
              <w:tabs>
                <w:tab w:val="left" w:pos="4200"/>
              </w:tabs>
              <w:jc w:val="center"/>
              <w:rPr>
                <w:color w:val="auto"/>
                <w:highlight w:val="none"/>
              </w:rPr>
            </w:pPr>
            <w:r>
              <w:rPr>
                <w:rFonts w:hint="eastAsia"/>
                <w:color w:val="auto"/>
                <w:highlight w:val="none"/>
              </w:rPr>
              <w:t>投标文件</w:t>
            </w:r>
          </w:p>
        </w:tc>
        <w:tc>
          <w:tcPr>
            <w:tcW w:w="1157" w:type="dxa"/>
            <w:tcBorders>
              <w:top w:val="single" w:color="auto" w:sz="8" w:space="0"/>
              <w:left w:val="single" w:color="auto" w:sz="8" w:space="0"/>
              <w:bottom w:val="single" w:color="auto" w:sz="8" w:space="0"/>
              <w:right w:val="single" w:color="auto" w:sz="8" w:space="0"/>
            </w:tcBorders>
            <w:vAlign w:val="center"/>
          </w:tcPr>
          <w:p>
            <w:pPr>
              <w:spacing w:beforeLines="50" w:afterLines="50"/>
              <w:jc w:val="center"/>
              <w:rPr>
                <w:rFonts w:ascii="宋体" w:hAnsi="宋体" w:cs="宋体"/>
                <w:snapToGrid w:val="0"/>
                <w:color w:val="auto"/>
                <w:szCs w:val="21"/>
                <w:highlight w:val="none"/>
              </w:rPr>
            </w:pPr>
            <w:r>
              <w:rPr>
                <w:rFonts w:hint="eastAsia" w:ascii="宋体" w:hAnsi="宋体"/>
                <w:color w:val="auto"/>
                <w:szCs w:val="21"/>
                <w:highlight w:val="none"/>
              </w:rPr>
              <w:t>投标文件编制质量</w:t>
            </w:r>
          </w:p>
        </w:tc>
        <w:tc>
          <w:tcPr>
            <w:tcW w:w="5593" w:type="dxa"/>
            <w:tcBorders>
              <w:top w:val="single" w:color="auto" w:sz="8" w:space="0"/>
              <w:left w:val="single" w:color="auto" w:sz="8" w:space="0"/>
              <w:bottom w:val="single" w:color="auto" w:sz="8" w:space="0"/>
              <w:right w:val="single" w:color="auto" w:sz="8" w:space="0"/>
            </w:tcBorders>
            <w:vAlign w:val="center"/>
          </w:tcPr>
          <w:p>
            <w:pPr>
              <w:spacing w:beforeLines="50" w:afterLines="50"/>
              <w:rPr>
                <w:rFonts w:hint="eastAsia" w:ascii="宋体" w:hAnsi="宋体" w:cs="Times New Roman"/>
                <w:color w:val="auto"/>
                <w:szCs w:val="21"/>
                <w:highlight w:val="none"/>
                <w:lang w:val="zh-CN"/>
              </w:rPr>
            </w:pPr>
            <w:r>
              <w:rPr>
                <w:rFonts w:hint="eastAsia" w:ascii="宋体" w:hAnsi="宋体" w:cs="Times New Roman"/>
                <w:color w:val="auto"/>
                <w:szCs w:val="21"/>
                <w:highlight w:val="none"/>
                <w:lang w:val="zh-CN"/>
              </w:rPr>
              <w:t>编制有序、内容是否完整及详实、装订整齐、书面整洁、。投标文件所有内容按招标文件要求编制完整，不缺项且签字、盖章完整的得1分；投标文件中的投标资料格式规范、装订整齐、无涂改插字现象得1分；有涂改、插字现象但加盖校对章的得0分。0—2分。</w:t>
            </w:r>
          </w:p>
        </w:tc>
        <w:tc>
          <w:tcPr>
            <w:tcW w:w="917" w:type="dxa"/>
            <w:tcBorders>
              <w:top w:val="single" w:color="auto" w:sz="8" w:space="0"/>
              <w:left w:val="single" w:color="auto" w:sz="8" w:space="0"/>
              <w:bottom w:val="single" w:color="auto" w:sz="8" w:space="0"/>
              <w:right w:val="single" w:color="auto" w:sz="8" w:space="0"/>
            </w:tcBorders>
            <w:vAlign w:val="center"/>
          </w:tcPr>
          <w:p>
            <w:pPr>
              <w:spacing w:beforeLines="50" w:afterLines="50"/>
              <w:jc w:val="center"/>
              <w:rPr>
                <w:rFonts w:ascii="宋体" w:hAnsi="宋体"/>
                <w:color w:val="auto"/>
                <w:szCs w:val="21"/>
                <w:highlight w:val="none"/>
                <w:lang w:val="zh-CN"/>
              </w:rPr>
            </w:pPr>
            <w:r>
              <w:rPr>
                <w:rFonts w:hint="eastAsia" w:ascii="宋体" w:hAnsi="宋体"/>
                <w:color w:val="auto"/>
                <w:szCs w:val="21"/>
                <w:highlight w:val="none"/>
              </w:rPr>
              <w:t>0-2分</w:t>
            </w:r>
          </w:p>
        </w:tc>
      </w:tr>
    </w:tbl>
    <w:p>
      <w:pPr>
        <w:jc w:val="left"/>
        <w:rPr>
          <w:rFonts w:ascii="宋体" w:hAnsi="宋体" w:cs="宋体"/>
          <w:b/>
          <w:color w:val="auto"/>
          <w:sz w:val="22"/>
          <w:szCs w:val="22"/>
          <w:highlight w:val="none"/>
        </w:rPr>
      </w:pPr>
      <w:r>
        <w:rPr>
          <w:rFonts w:hint="eastAsia" w:ascii="宋体" w:hAnsi="宋体" w:cs="宋体"/>
          <w:b/>
          <w:color w:val="auto"/>
          <w:sz w:val="22"/>
          <w:szCs w:val="22"/>
          <w:highlight w:val="none"/>
        </w:rPr>
        <w:t>注意：</w:t>
      </w:r>
    </w:p>
    <w:p>
      <w:pPr>
        <w:numPr>
          <w:ilvl w:val="0"/>
          <w:numId w:val="5"/>
        </w:numPr>
        <w:jc w:val="left"/>
        <w:rPr>
          <w:rFonts w:ascii="宋体" w:hAnsi="宋体" w:cs="宋体"/>
          <w:b/>
          <w:color w:val="auto"/>
          <w:sz w:val="22"/>
          <w:szCs w:val="22"/>
          <w:highlight w:val="none"/>
        </w:rPr>
      </w:pPr>
      <w:r>
        <w:rPr>
          <w:rFonts w:ascii="宋体" w:hAnsi="宋体"/>
          <w:b/>
          <w:color w:val="auto"/>
          <w:sz w:val="23"/>
          <w:highlight w:val="none"/>
        </w:rPr>
        <w:t>本表涉及业绩合同、证书、证明等资料的均</w:t>
      </w:r>
      <w:r>
        <w:rPr>
          <w:rFonts w:hint="eastAsia" w:ascii="宋体" w:hAnsi="宋体"/>
          <w:b/>
          <w:color w:val="auto"/>
          <w:sz w:val="23"/>
          <w:highlight w:val="none"/>
        </w:rPr>
        <w:t>须</w:t>
      </w:r>
      <w:r>
        <w:rPr>
          <w:rFonts w:ascii="宋体" w:hAnsi="宋体"/>
          <w:b/>
          <w:color w:val="auto"/>
          <w:sz w:val="23"/>
          <w:highlight w:val="none"/>
        </w:rPr>
        <w:t>在响应文件中提供</w:t>
      </w:r>
      <w:r>
        <w:rPr>
          <w:rFonts w:hint="eastAsia" w:ascii="宋体" w:hAnsi="宋体"/>
          <w:b/>
          <w:color w:val="auto"/>
          <w:sz w:val="23"/>
          <w:highlight w:val="none"/>
        </w:rPr>
        <w:t>电子扫描件</w:t>
      </w:r>
      <w:r>
        <w:rPr>
          <w:rFonts w:ascii="宋体" w:hAnsi="宋体"/>
          <w:b/>
          <w:color w:val="auto"/>
          <w:sz w:val="24"/>
          <w:highlight w:val="none"/>
        </w:rPr>
        <w:t>并加盖供应商单位</w:t>
      </w:r>
      <w:r>
        <w:rPr>
          <w:rFonts w:hint="eastAsia" w:ascii="宋体" w:hAnsi="宋体"/>
          <w:b/>
          <w:color w:val="auto"/>
          <w:sz w:val="24"/>
          <w:highlight w:val="none"/>
        </w:rPr>
        <w:t>电子签章</w:t>
      </w:r>
      <w:r>
        <w:rPr>
          <w:rFonts w:ascii="宋体" w:hAnsi="宋体"/>
          <w:b/>
          <w:color w:val="auto"/>
          <w:sz w:val="24"/>
          <w:highlight w:val="none"/>
        </w:rPr>
        <w:t>，否则评审小组可不予认可。</w:t>
      </w:r>
    </w:p>
    <w:p>
      <w:pPr>
        <w:spacing w:line="360" w:lineRule="auto"/>
        <w:rPr>
          <w:rFonts w:ascii="宋体" w:hAnsi="宋体"/>
          <w:b/>
          <w:color w:val="auto"/>
          <w:sz w:val="36"/>
          <w:szCs w:val="36"/>
          <w:highlight w:val="none"/>
        </w:rPr>
      </w:pPr>
      <w:r>
        <w:rPr>
          <w:rFonts w:hint="eastAsia" w:ascii="宋体" w:hAnsi="宋体" w:cs="宋体"/>
          <w:b/>
          <w:color w:val="auto"/>
          <w:sz w:val="22"/>
          <w:szCs w:val="22"/>
          <w:highlight w:val="none"/>
        </w:rPr>
        <w:t xml:space="preserve">    2、</w:t>
      </w:r>
      <w:r>
        <w:rPr>
          <w:rFonts w:hint="eastAsia" w:ascii="宋体" w:hAnsi="宋体"/>
          <w:b/>
          <w:color w:val="auto"/>
          <w:sz w:val="24"/>
          <w:highlight w:val="none"/>
        </w:rPr>
        <w:t>以上各项得分保留小数点后二位小数，第三位四舍五入。缺项得0分。</w:t>
      </w:r>
    </w:p>
    <w:p>
      <w:pPr>
        <w:pStyle w:val="4"/>
        <w:jc w:val="center"/>
        <w:rPr>
          <w:rFonts w:ascii="宋体" w:hAnsi="宋体"/>
          <w:b w:val="0"/>
          <w:color w:val="auto"/>
          <w:sz w:val="36"/>
          <w:szCs w:val="36"/>
          <w:highlight w:val="none"/>
        </w:rPr>
      </w:pPr>
      <w:r>
        <w:rPr>
          <w:rFonts w:hint="eastAsia" w:ascii="宋体" w:hAnsi="宋体"/>
          <w:b w:val="0"/>
          <w:color w:val="auto"/>
          <w:sz w:val="36"/>
          <w:szCs w:val="36"/>
          <w:highlight w:val="none"/>
        </w:rPr>
        <w:br w:type="page"/>
      </w:r>
      <w:r>
        <w:rPr>
          <w:rFonts w:hint="eastAsia" w:ascii="宋体" w:hAnsi="宋体"/>
          <w:color w:val="auto"/>
          <w:sz w:val="36"/>
          <w:szCs w:val="36"/>
          <w:highlight w:val="none"/>
        </w:rPr>
        <w:t>第四章 招标需求</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t>一、项目背景</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从1996年以后，依据《土地管理法》，我国每年组织开展全国土地变更调查工作，以全面掌握全国土地利用年度变化情况，为国土资源管理和国民经济社会发展提供基础依据。2009年，按照国务院的统一部署，第二次全国土地调查全面完成。2020年，按照国务院的统一部署，第三次全国国土调查全面完成（调查时点2019年12月31日），建成了县—市—省—国家四级覆盖全国每一个地块的国土调查数据库，各级数据库中包括所辖区范围内的每个地块的空间数据和面积、地类的相关属性数据。</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按照《土地调查条例》的要求，充分继承第三次全国国土调查所采用的新技术、新方法，始终坚持“国家总体掌控、地方实地调查”的组织模式，坚持以覆盖全国的遥感监测为手段，不断的优化调查的工作流程，高效科学的组织各地开展年度国土变更调查工作，及时掌握每一块土地利用的年度变化情况，持续的更新第三次全国国土调查的成果。</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t>二、工作依据</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1、《中华人民共和国土地管理法》；</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2、《中华人民共和国土地管理法实施条例》（2014年7月修订）；</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3、《土地调查条例》（中华人民共和国国务院令第518号 2008年2月7日）；</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4、《国务院第三次全国国土调查领导小组办公室关于调整第三次全国国土调查有关内容与要求的补充通知》（国土调查办发〔2019〕7号）；</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5、《自然资源部办公厅关于开展2020年度全国国土变更调查工作的通知》（自然资办发〔2020〕56号）；</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6、《2020年度全国国土变更调查实施方案》；</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t>三、工作目标</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全面掌握辖区内2020年度国土利用变化情况，持续开展耕地“非农化”“非粮化”监测，更新第三次全国国土调查（以下简称“三调”）成果，保持国土调查数据现势性，支撑自然资源“一张图”和综合监管平台平稳运行，不断夯实“以图管地”工作基础，加快推进国家治理体系和治理能力现代化。</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在“三调”统一时点调查成果基础上，以2020年度为周期，以2020年12月31日为标准时点，利用卫星遥感、互联网、云计算等技术，统筹利用现有资料，利用国家下发的遥感监测成果，结合有关专项监测及自然资源管理成果，制作调查底图，组织实地调查举证，全面掌握2020年度的地类、面积、属性及相关单独图层信息的变化情况，更新县级国土利用数据库，形成年度国土变更调查成果。</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t>四、工作任务</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2020年度变更调查的主要任务是：按照国家统一标准，在全县范围内利用卫星遥感、互联网、云计算等技术，统筹利用现有资料，利用2020年底卫星遥感影像，制作正射影像图，提取地类变化信息，结合有关专项监测及自然资源管理成果，开展实地调查举证，全面掌握2020年度的地类、面积、属性及相关单独图层信息的变化情况,更新“三调”数据库。通过调查、统计和分析，掌握2020年度永久基本农田变化，建设占用农用地、耕地非粮化、耕地非农化状况，设施农用地变化，25度和15度以上坡耕地变化，农村建房、临时用地、批而未用土地、退耕还林、围填海、足球场、高尔夫球场、光伏用地和农业结构调整以及不稳定耕地等的变化状况，各类自然保护区及生态保护红线范围内的土地利用变化状况，土地整治、高标准农田、增加挂钩、增存挂钩等项目的实施状况，空间规划的实施状况等有关情况。</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rPr>
        <w:t>五、工作内容及说明</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三门县2020年度变更调查工作一览表：</w:t>
      </w:r>
    </w:p>
    <w:tbl>
      <w:tblPr>
        <w:tblStyle w:val="25"/>
        <w:tblpPr w:leftFromText="180" w:rightFromText="180" w:vertAnchor="text" w:horzAnchor="page" w:tblpXSpec="center" w:tblpY="454"/>
        <w:tblOverlap w:val="never"/>
        <w:tblW w:w="8991" w:type="dxa"/>
        <w:jc w:val="center"/>
        <w:tblLayout w:type="fixed"/>
        <w:tblCellMar>
          <w:top w:w="0" w:type="dxa"/>
          <w:left w:w="108" w:type="dxa"/>
          <w:bottom w:w="0" w:type="dxa"/>
          <w:right w:w="108" w:type="dxa"/>
        </w:tblCellMar>
      </w:tblPr>
      <w:tblGrid>
        <w:gridCol w:w="578"/>
        <w:gridCol w:w="1696"/>
        <w:gridCol w:w="5187"/>
        <w:gridCol w:w="1530"/>
      </w:tblGrid>
      <w:tr>
        <w:tblPrEx>
          <w:tblCellMar>
            <w:top w:w="0" w:type="dxa"/>
            <w:left w:w="108" w:type="dxa"/>
            <w:bottom w:w="0" w:type="dxa"/>
            <w:right w:w="108" w:type="dxa"/>
          </w:tblCellMar>
        </w:tblPrEx>
        <w:trPr>
          <w:trHeight w:val="355" w:hRule="atLeast"/>
          <w:tblHeader/>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ind w:left="105" w:leftChars="50"/>
              <w:rPr>
                <w:rFonts w:ascii="宋体" w:hAnsi="宋体"/>
                <w:b/>
                <w:bCs/>
                <w:color w:val="auto"/>
                <w:sz w:val="24"/>
                <w:highlight w:val="none"/>
              </w:rPr>
            </w:pPr>
            <w:bookmarkStart w:id="0" w:name="OLE_LINK1"/>
            <w:r>
              <w:rPr>
                <w:rFonts w:ascii="宋体" w:hAnsi="宋体"/>
                <w:b/>
                <w:bCs/>
                <w:color w:val="auto"/>
                <w:sz w:val="24"/>
                <w:highlight w:val="none"/>
              </w:rPr>
              <w:t>序号</w:t>
            </w:r>
          </w:p>
        </w:tc>
        <w:tc>
          <w:tcPr>
            <w:tcW w:w="1696" w:type="dxa"/>
            <w:tcBorders>
              <w:top w:val="single" w:color="000000" w:sz="4" w:space="0"/>
              <w:left w:val="single" w:color="000000" w:sz="4" w:space="0"/>
              <w:bottom w:val="single" w:color="000000" w:sz="4" w:space="0"/>
              <w:right w:val="single" w:color="000000" w:sz="4" w:space="0"/>
            </w:tcBorders>
            <w:vAlign w:val="center"/>
          </w:tcPr>
          <w:p>
            <w:pPr>
              <w:ind w:left="105" w:leftChars="50" w:firstLine="241" w:firstLineChars="100"/>
              <w:rPr>
                <w:rFonts w:ascii="宋体" w:hAnsi="宋体"/>
                <w:b/>
                <w:bCs/>
                <w:color w:val="auto"/>
                <w:sz w:val="24"/>
                <w:highlight w:val="none"/>
              </w:rPr>
            </w:pPr>
            <w:r>
              <w:rPr>
                <w:rFonts w:ascii="宋体" w:hAnsi="宋体"/>
                <w:b/>
                <w:bCs/>
                <w:color w:val="auto"/>
                <w:sz w:val="24"/>
                <w:highlight w:val="none"/>
              </w:rPr>
              <w:t>工作阶段</w:t>
            </w:r>
          </w:p>
        </w:tc>
        <w:tc>
          <w:tcPr>
            <w:tcW w:w="5187" w:type="dxa"/>
            <w:tcBorders>
              <w:top w:val="single" w:color="000000" w:sz="4" w:space="0"/>
              <w:left w:val="single" w:color="000000" w:sz="4" w:space="0"/>
              <w:bottom w:val="single" w:color="000000" w:sz="4" w:space="0"/>
              <w:right w:val="single" w:color="000000" w:sz="4" w:space="0"/>
            </w:tcBorders>
            <w:vAlign w:val="center"/>
          </w:tcPr>
          <w:p>
            <w:pPr>
              <w:ind w:left="105" w:leftChars="50" w:firstLine="241" w:firstLineChars="100"/>
              <w:rPr>
                <w:rFonts w:ascii="宋体" w:hAnsi="宋体"/>
                <w:b/>
                <w:bCs/>
                <w:color w:val="auto"/>
                <w:sz w:val="24"/>
                <w:highlight w:val="none"/>
              </w:rPr>
            </w:pPr>
            <w:r>
              <w:rPr>
                <w:rFonts w:ascii="宋体" w:hAnsi="宋体"/>
                <w:b/>
                <w:bCs/>
                <w:color w:val="auto"/>
                <w:sz w:val="24"/>
                <w:highlight w:val="none"/>
              </w:rPr>
              <w:t>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ind w:left="105" w:leftChars="50"/>
              <w:rPr>
                <w:rFonts w:ascii="宋体" w:hAnsi="宋体"/>
                <w:b/>
                <w:bCs/>
                <w:color w:val="auto"/>
                <w:sz w:val="24"/>
                <w:highlight w:val="none"/>
              </w:rPr>
            </w:pPr>
            <w:r>
              <w:rPr>
                <w:rFonts w:hint="eastAsia" w:ascii="宋体" w:hAnsi="宋体"/>
                <w:b/>
                <w:bCs/>
                <w:color w:val="auto"/>
                <w:sz w:val="24"/>
                <w:highlight w:val="none"/>
              </w:rPr>
              <w:t>备注</w:t>
            </w:r>
          </w:p>
        </w:tc>
      </w:tr>
      <w:tr>
        <w:tblPrEx>
          <w:tblCellMar>
            <w:top w:w="0" w:type="dxa"/>
            <w:left w:w="108" w:type="dxa"/>
            <w:bottom w:w="0" w:type="dxa"/>
            <w:right w:w="108" w:type="dxa"/>
          </w:tblCellMar>
        </w:tblPrEx>
        <w:trPr>
          <w:trHeight w:val="52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bookmarkStart w:id="1" w:name="OLE_LINK2" w:colFirst="0" w:colLast="2"/>
            <w:r>
              <w:rPr>
                <w:rFonts w:ascii="宋体" w:hAnsi="宋体"/>
                <w:color w:val="auto"/>
                <w:sz w:val="24"/>
                <w:highlight w:val="none"/>
              </w:rPr>
              <w:t>1</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资料收集和编制方案</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编制该工作方案、实施技术方案，收集相关数据资料</w:t>
            </w:r>
            <w:r>
              <w:rPr>
                <w:rFonts w:hint="eastAsia" w:ascii="宋体" w:hAnsi="宋体"/>
                <w:color w:val="auto"/>
                <w:sz w:val="24"/>
                <w:highlight w:val="none"/>
              </w:rPr>
              <w:t>、国家下发数据分析</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52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2</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界线调整</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县级行政界线调整及基础库修改（是否含有该项工作要视具体县市情况）</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525"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3</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补充备案用地信息</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补充备案用地信息工作具体由局各业务科室负责。</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4</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外业</w:t>
            </w:r>
            <w:r>
              <w:rPr>
                <w:rFonts w:hint="eastAsia" w:ascii="宋体" w:hAnsi="宋体"/>
                <w:color w:val="auto"/>
                <w:sz w:val="24"/>
                <w:highlight w:val="none"/>
              </w:rPr>
              <w:t>调查举证</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外业调查人员的技术培训，开展外业实地调查和</w:t>
            </w:r>
            <w:r>
              <w:rPr>
                <w:rFonts w:hint="eastAsia" w:ascii="宋体" w:hAnsi="宋体"/>
                <w:color w:val="auto"/>
                <w:sz w:val="24"/>
                <w:highlight w:val="none"/>
              </w:rPr>
              <w:t>举证</w:t>
            </w:r>
            <w:r>
              <w:rPr>
                <w:rFonts w:ascii="宋体" w:hAnsi="宋体"/>
                <w:color w:val="auto"/>
                <w:sz w:val="24"/>
                <w:highlight w:val="none"/>
              </w:rPr>
              <w:t>工作</w:t>
            </w:r>
            <w:r>
              <w:rPr>
                <w:rFonts w:hint="eastAsia" w:ascii="宋体" w:hAnsi="宋体"/>
                <w:color w:val="auto"/>
                <w:sz w:val="24"/>
                <w:highlight w:val="none"/>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1036个图斑</w:t>
            </w: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5</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举证审核、上图</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对外业调查举证的图斑进行逐图斑审核，并对拟变化的区域进行内业上图工作。</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6</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数据建库</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对变化图斑进行数据库规范化处理、对单独图层进行处理。</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7</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增量包及举证成果制作</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按规程要求进行增量包及举证成果制作，国检软件。</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8</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省级检查反馈修改</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对省级检查反馈问题，在规定的时间内进行修改或进行补充举证，提高成果质量。</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9</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国家级核查反馈修改</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收到国家级内核查反馈的</w:t>
            </w:r>
            <w:r>
              <w:rPr>
                <w:rFonts w:ascii="宋体" w:hAnsi="宋体"/>
                <w:color w:val="auto"/>
                <w:sz w:val="24"/>
                <w:highlight w:val="none"/>
              </w:rPr>
              <w:t>疑似错误图斑</w:t>
            </w:r>
            <w:r>
              <w:rPr>
                <w:rFonts w:hint="eastAsia" w:ascii="宋体" w:hAnsi="宋体"/>
                <w:color w:val="auto"/>
                <w:sz w:val="24"/>
                <w:highlight w:val="none"/>
              </w:rPr>
              <w:t>，进行</w:t>
            </w:r>
            <w:r>
              <w:rPr>
                <w:rFonts w:ascii="宋体" w:hAnsi="宋体"/>
                <w:color w:val="auto"/>
                <w:sz w:val="24"/>
                <w:highlight w:val="none"/>
              </w:rPr>
              <w:t>实地核实修改或补充举证，并将整改成果上报</w:t>
            </w:r>
            <w:r>
              <w:rPr>
                <w:rFonts w:hint="eastAsia" w:ascii="宋体" w:hAnsi="宋体"/>
                <w:color w:val="auto"/>
                <w:sz w:val="24"/>
                <w:highlight w:val="none"/>
              </w:rPr>
              <w:t>。</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10</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“互联网+”在线举证</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按照</w:t>
            </w:r>
            <w:r>
              <w:rPr>
                <w:rFonts w:ascii="宋体" w:hAnsi="宋体"/>
                <w:color w:val="auto"/>
                <w:sz w:val="24"/>
                <w:highlight w:val="none"/>
              </w:rPr>
              <w:t>“互联网+”在线核查</w:t>
            </w:r>
            <w:r>
              <w:rPr>
                <w:rFonts w:hint="eastAsia" w:ascii="宋体" w:hAnsi="宋体"/>
                <w:color w:val="auto"/>
                <w:sz w:val="24"/>
                <w:highlight w:val="none"/>
              </w:rPr>
              <w:t>时间安排，组织人员配合进行</w:t>
            </w:r>
            <w:r>
              <w:rPr>
                <w:rFonts w:ascii="宋体" w:hAnsi="宋体"/>
                <w:color w:val="auto"/>
                <w:sz w:val="24"/>
                <w:highlight w:val="none"/>
              </w:rPr>
              <w:t>互联网+”在线核查</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626"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11</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县级管理系统数据更新</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对通过部级检查的2020年国土变更调查数据库，更新至县级管理系统。</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tr>
        <w:tblPrEx>
          <w:tblCellMar>
            <w:top w:w="0" w:type="dxa"/>
            <w:left w:w="108" w:type="dxa"/>
            <w:bottom w:w="0" w:type="dxa"/>
            <w:right w:w="108" w:type="dxa"/>
          </w:tblCellMar>
        </w:tblPrEx>
        <w:trPr>
          <w:trHeight w:val="410" w:hRule="atLeast"/>
          <w:jc w:val="center"/>
        </w:trPr>
        <w:tc>
          <w:tcPr>
            <w:tcW w:w="57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12</w:t>
            </w:r>
          </w:p>
        </w:tc>
        <w:tc>
          <w:tcPr>
            <w:tcW w:w="1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ascii="宋体" w:hAnsi="宋体"/>
                <w:color w:val="auto"/>
                <w:sz w:val="24"/>
                <w:highlight w:val="none"/>
              </w:rPr>
              <w:t>成果</w:t>
            </w:r>
            <w:r>
              <w:rPr>
                <w:rFonts w:hint="eastAsia" w:ascii="宋体" w:hAnsi="宋体"/>
                <w:color w:val="auto"/>
                <w:sz w:val="24"/>
                <w:highlight w:val="none"/>
              </w:rPr>
              <w:t>提交</w:t>
            </w:r>
          </w:p>
        </w:tc>
        <w:tc>
          <w:tcPr>
            <w:tcW w:w="518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r>
              <w:rPr>
                <w:rFonts w:hint="eastAsia" w:ascii="宋体" w:hAnsi="宋体"/>
                <w:color w:val="auto"/>
                <w:sz w:val="24"/>
                <w:highlight w:val="none"/>
              </w:rPr>
              <w:t>编制分析报告、提交成果</w:t>
            </w:r>
          </w:p>
        </w:tc>
        <w:tc>
          <w:tcPr>
            <w:tcW w:w="15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 w:val="24"/>
                <w:highlight w:val="none"/>
              </w:rPr>
            </w:pPr>
          </w:p>
        </w:tc>
      </w:tr>
      <w:bookmarkEnd w:id="0"/>
      <w:bookmarkEnd w:id="1"/>
    </w:tbl>
    <w:p>
      <w:pPr>
        <w:pStyle w:val="3"/>
        <w:rPr>
          <w:color w:val="auto"/>
          <w:highlight w:val="none"/>
        </w:rPr>
      </w:pPr>
    </w:p>
    <w:p>
      <w:pPr>
        <w:pStyle w:val="14"/>
        <w:snapToGrid w:val="0"/>
        <w:spacing w:before="120" w:after="120" w:line="360" w:lineRule="auto"/>
        <w:outlineLvl w:val="2"/>
        <w:rPr>
          <w:rFonts w:hint="eastAsia" w:hAnsi="宋体" w:eastAsia="宋体"/>
          <w:b/>
          <w:color w:val="auto"/>
          <w:sz w:val="24"/>
          <w:highlight w:val="none"/>
          <w:lang w:eastAsia="zh-CN"/>
        </w:rPr>
      </w:pPr>
      <w:r>
        <w:rPr>
          <w:rFonts w:hint="eastAsia" w:hAnsi="宋体"/>
          <w:b/>
          <w:color w:val="auto"/>
          <w:sz w:val="24"/>
          <w:highlight w:val="none"/>
        </w:rPr>
        <w:t>六、</w:t>
      </w:r>
      <w:r>
        <w:rPr>
          <w:rFonts w:hint="eastAsia" w:hAnsi="宋体"/>
          <w:b/>
          <w:color w:val="auto"/>
          <w:sz w:val="24"/>
          <w:highlight w:val="none"/>
          <w:lang w:eastAsia="zh-CN"/>
        </w:rPr>
        <w:t>项目进度要求</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1、2021年1月15日前，接收部下发确认数据版本的“三调”统一时点调查数据库，作为年度国土变更调查的基础库。接收部下发的2020年国土变更调查遥感影像和监测图斑数据。</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2、2021年1月31日前，各辖区完成补充报备用地管理信息。</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3、2021年2月2</w:t>
      </w:r>
      <w:r>
        <w:rPr>
          <w:rFonts w:hint="eastAsia" w:ascii="宋体" w:hAnsi="宋体"/>
          <w:color w:val="auto"/>
          <w:sz w:val="24"/>
          <w:highlight w:val="none"/>
          <w:lang w:val="en-US" w:eastAsia="zh-CN"/>
        </w:rPr>
        <w:t>0</w:t>
      </w:r>
      <w:r>
        <w:rPr>
          <w:rFonts w:hint="eastAsia" w:ascii="宋体" w:hAnsi="宋体"/>
          <w:color w:val="auto"/>
          <w:sz w:val="24"/>
          <w:highlight w:val="none"/>
        </w:rPr>
        <w:t>日前，县级调查单元完成县级国土变更调查工作，向省级自然资源主管部门报送变更调查更新数据增量包。</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4、2021年3月31日前，省级自然资源主管部门组织完成省级检查和整改工作，向部报送省级检查合格的县级国土变更调查更新数据。</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5、2021年6月30日前，部组织完成国土变更调查更新数据增量包的国家级内业核查、数据库质量检查、“互联网+”在线核查、数据库修改工作。县级调查单元完成国土变更调查成果整改和完善工作。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7、2021年7月31日前，完成国土变更调查最终数据库质检和更新入库及数据汇总分析工作，并启用2020年度国土变更调查数据成果。</w:t>
      </w:r>
    </w:p>
    <w:p>
      <w:pPr>
        <w:pStyle w:val="14"/>
        <w:snapToGrid w:val="0"/>
        <w:spacing w:before="120" w:after="120" w:line="360" w:lineRule="auto"/>
        <w:outlineLvl w:val="2"/>
        <w:rPr>
          <w:rFonts w:hint="eastAsia" w:hAnsi="宋体"/>
          <w:b/>
          <w:color w:val="auto"/>
          <w:sz w:val="24"/>
          <w:highlight w:val="none"/>
          <w:lang w:eastAsia="zh-CN"/>
        </w:rPr>
      </w:pPr>
      <w:r>
        <w:rPr>
          <w:rFonts w:hint="eastAsia" w:hAnsi="宋体"/>
          <w:b/>
          <w:color w:val="auto"/>
          <w:sz w:val="24"/>
          <w:highlight w:val="none"/>
          <w:lang w:eastAsia="zh-CN"/>
        </w:rPr>
        <w:t>七、工期要求</w:t>
      </w:r>
    </w:p>
    <w:p>
      <w:pPr>
        <w:pStyle w:val="14"/>
        <w:snapToGrid w:val="0"/>
        <w:spacing w:before="120" w:after="120" w:line="360" w:lineRule="auto"/>
        <w:ind w:firstLine="240" w:firstLineChars="100"/>
        <w:outlineLvl w:val="2"/>
        <w:rPr>
          <w:rFonts w:hint="eastAsia" w:hAnsi="宋体"/>
          <w:b/>
          <w:color w:val="auto"/>
          <w:sz w:val="24"/>
          <w:highlight w:val="none"/>
          <w:lang w:eastAsia="zh-CN"/>
        </w:rPr>
      </w:pPr>
      <w:r>
        <w:rPr>
          <w:rFonts w:hint="eastAsia" w:ascii="宋体" w:hAnsi="宋体" w:eastAsia="宋体" w:cs="Times New Roman"/>
          <w:color w:val="auto"/>
          <w:kern w:val="2"/>
          <w:sz w:val="24"/>
          <w:szCs w:val="24"/>
          <w:highlight w:val="none"/>
          <w:lang w:val="en-US" w:eastAsia="zh-CN" w:bidi="ar-SA"/>
        </w:rPr>
        <w:t>2021 年2 月20 日前，县级调查单元完成三门县国土变更调查工作，并向省自然资源厅报送变更调查更新数据增量包。</w:t>
      </w:r>
    </w:p>
    <w:p>
      <w:pPr>
        <w:pStyle w:val="14"/>
        <w:snapToGrid w:val="0"/>
        <w:spacing w:before="120" w:after="120" w:line="360" w:lineRule="auto"/>
        <w:outlineLvl w:val="2"/>
        <w:rPr>
          <w:rFonts w:hAnsi="宋体"/>
          <w:b/>
          <w:color w:val="auto"/>
          <w:sz w:val="24"/>
          <w:highlight w:val="none"/>
        </w:rPr>
      </w:pPr>
      <w:r>
        <w:rPr>
          <w:rFonts w:hint="eastAsia" w:hAnsi="宋体"/>
          <w:b/>
          <w:color w:val="auto"/>
          <w:sz w:val="24"/>
          <w:highlight w:val="none"/>
          <w:lang w:eastAsia="zh-CN"/>
        </w:rPr>
        <w:t>八</w:t>
      </w:r>
      <w:r>
        <w:rPr>
          <w:rFonts w:hint="eastAsia" w:hAnsi="宋体"/>
          <w:b/>
          <w:color w:val="auto"/>
          <w:sz w:val="24"/>
          <w:highlight w:val="none"/>
        </w:rPr>
        <w:t>、项目成果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2020年度国土变更调查主要成果：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（一）增量数据库成果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1、2020年度变更调查更新数据包（UPD格式）；</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（二）举证成果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1、“互联网+”举证成果（DB格式）；</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2、举证信息表（mdb格式）；</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（三）统计报表</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1、《遥感监测图斑信息核实记录表》（mdb格式）；</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2、其他统计表格，在2020年度变更调查更新数据包存放；</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（四）文字报告</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1、2020年度国土变更调查分析报告；</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2、相关专题报告；</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（五）数据库成果</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1、2020年度国土调查数据库全库（GDB或MDB）</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2、县级管理系统数据库更新。</w:t>
      </w:r>
    </w:p>
    <w:p>
      <w:pPr>
        <w:pStyle w:val="14"/>
        <w:snapToGrid w:val="0"/>
        <w:spacing w:before="120" w:after="120" w:line="360" w:lineRule="auto"/>
        <w:outlineLvl w:val="2"/>
        <w:rPr>
          <w:rFonts w:hint="eastAsia"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、付款方式</w:t>
      </w:r>
    </w:p>
    <w:p>
      <w:pPr>
        <w:pStyle w:val="14"/>
        <w:snapToGrid w:val="0"/>
        <w:spacing w:before="120" w:after="120" w:line="360" w:lineRule="auto"/>
        <w:ind w:firstLine="240" w:firstLineChars="100"/>
        <w:outlineLvl w:val="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1、中标人完成内业数据处理并经过采购人认可后，支付15万元；</w:t>
      </w:r>
    </w:p>
    <w:p>
      <w:pPr>
        <w:pStyle w:val="14"/>
        <w:snapToGrid w:val="0"/>
        <w:spacing w:before="120" w:after="120" w:line="360" w:lineRule="auto"/>
        <w:ind w:firstLine="240" w:firstLineChars="100"/>
        <w:outlineLvl w:val="2"/>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hAnsi="宋体"/>
          <w:color w:val="auto"/>
          <w:sz w:val="24"/>
          <w:highlight w:val="none"/>
          <w:lang w:val="en-US" w:eastAsia="zh-CN"/>
        </w:rPr>
        <w:t>余</w:t>
      </w:r>
      <w:r>
        <w:rPr>
          <w:rFonts w:hint="eastAsia" w:ascii="宋体" w:hAnsi="宋体"/>
          <w:color w:val="auto"/>
          <w:sz w:val="24"/>
          <w:highlight w:val="none"/>
          <w:lang w:val="en-US" w:eastAsia="zh-CN"/>
        </w:rPr>
        <w:t>款</w:t>
      </w:r>
      <w:r>
        <w:rPr>
          <w:rFonts w:hint="eastAsia" w:hAnsi="宋体"/>
          <w:color w:val="auto"/>
          <w:sz w:val="24"/>
          <w:highlight w:val="none"/>
          <w:lang w:val="en-US" w:eastAsia="zh-CN"/>
        </w:rPr>
        <w:t>在全部</w:t>
      </w:r>
      <w:r>
        <w:rPr>
          <w:rFonts w:hint="eastAsia" w:ascii="宋体" w:hAnsi="宋体"/>
          <w:color w:val="auto"/>
          <w:sz w:val="24"/>
          <w:highlight w:val="none"/>
          <w:lang w:val="en-US" w:eastAsia="zh-CN"/>
        </w:rPr>
        <w:t>成果通过验收后根据2022年</w:t>
      </w:r>
      <w:r>
        <w:rPr>
          <w:rFonts w:hint="eastAsia" w:hAnsi="宋体"/>
          <w:color w:val="auto"/>
          <w:sz w:val="24"/>
          <w:highlight w:val="none"/>
          <w:lang w:val="en-US" w:eastAsia="zh-CN"/>
        </w:rPr>
        <w:t>财政预算安排</w:t>
      </w:r>
      <w:r>
        <w:rPr>
          <w:rFonts w:hint="eastAsia" w:ascii="宋体" w:hAnsi="宋体"/>
          <w:color w:val="auto"/>
          <w:sz w:val="24"/>
          <w:highlight w:val="none"/>
          <w:lang w:val="en-US" w:eastAsia="zh-CN"/>
        </w:rPr>
        <w:t>支付（余额如超过当年</w:t>
      </w:r>
      <w:r>
        <w:rPr>
          <w:rFonts w:hint="eastAsia" w:hAnsi="宋体"/>
          <w:color w:val="auto"/>
          <w:sz w:val="24"/>
          <w:highlight w:val="none"/>
          <w:lang w:val="en-US" w:eastAsia="zh-CN"/>
        </w:rPr>
        <w:t>财政</w:t>
      </w:r>
      <w:r>
        <w:rPr>
          <w:rFonts w:hint="eastAsia" w:ascii="宋体" w:hAnsi="宋体"/>
          <w:color w:val="auto"/>
          <w:sz w:val="24"/>
          <w:highlight w:val="none"/>
          <w:lang w:val="en-US" w:eastAsia="zh-CN"/>
        </w:rPr>
        <w:t>预算额度，则超额部分转下一年度结算）；</w:t>
      </w:r>
    </w:p>
    <w:p>
      <w:pPr>
        <w:pStyle w:val="14"/>
        <w:snapToGrid w:val="0"/>
        <w:spacing w:before="120" w:after="120" w:line="360" w:lineRule="auto"/>
        <w:outlineLvl w:val="2"/>
        <w:rPr>
          <w:rFonts w:hAnsi="宋体"/>
          <w:b/>
          <w:color w:val="auto"/>
          <w:sz w:val="24"/>
          <w:highlight w:val="none"/>
        </w:rPr>
      </w:pPr>
      <w:r>
        <w:rPr>
          <w:rFonts w:hint="eastAsia" w:hAnsi="宋体"/>
          <w:color w:val="auto"/>
          <w:sz w:val="24"/>
          <w:highlight w:val="none"/>
          <w:lang w:val="en-US" w:eastAsia="zh-CN"/>
        </w:rPr>
        <w:t xml:space="preserve"> </w:t>
      </w:r>
      <w:r>
        <w:rPr>
          <w:rFonts w:hint="eastAsia" w:hAnsi="宋体"/>
          <w:b/>
          <w:color w:val="auto"/>
          <w:sz w:val="24"/>
          <w:highlight w:val="none"/>
          <w:lang w:eastAsia="zh-CN"/>
        </w:rPr>
        <w:t>十</w:t>
      </w:r>
      <w:r>
        <w:rPr>
          <w:rFonts w:hint="eastAsia" w:hAnsi="宋体"/>
          <w:b/>
          <w:color w:val="auto"/>
          <w:sz w:val="24"/>
          <w:highlight w:val="none"/>
        </w:rPr>
        <w:t>、其他</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（一）拟派驻本项目人员要求</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本项目拟派驻人员不得少于15人，要求配备项目负责人、技术负责人、数据处理负责人、质量检查负责人、驻三门负责人，其余人员由投标人自行安排。</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（二）成果提交后服务要求</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1.项目维护期：中标人承诺在项目成果提交并通过检查后对提交的成果质量免费服务的期限为一年。</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2.中标人负责免费对项目成果错误进行及时更正、并对调查成果按规定进行调整或补充。</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（三）项目质量要求</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需通过台州市自然资源和规划局、浙江省自然资源厅、自然资源部的核查。</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（四）验收标准</w:t>
      </w:r>
    </w:p>
    <w:p>
      <w:pPr>
        <w:tabs>
          <w:tab w:val="left" w:pos="0"/>
        </w:tabs>
        <w:spacing w:line="360" w:lineRule="auto"/>
        <w:ind w:firstLine="540" w:firstLineChars="225"/>
        <w:rPr>
          <w:rFonts w:ascii="宋体" w:hAnsi="宋体"/>
          <w:color w:val="auto"/>
          <w:sz w:val="24"/>
          <w:highlight w:val="none"/>
        </w:rPr>
      </w:pPr>
      <w:r>
        <w:rPr>
          <w:rFonts w:hint="eastAsia" w:ascii="宋体" w:hAnsi="宋体"/>
          <w:color w:val="auto"/>
          <w:sz w:val="24"/>
          <w:highlight w:val="none"/>
        </w:rPr>
        <w:t>按照国家规定时间完成国土调查与建库工作，且通过省自然资源厅检查。</w:t>
      </w:r>
    </w:p>
    <w:p>
      <w:pPr>
        <w:pStyle w:val="4"/>
        <w:jc w:val="center"/>
        <w:rPr>
          <w:rFonts w:ascii="宋体" w:hAnsi="宋体"/>
          <w:b w:val="0"/>
          <w:color w:val="auto"/>
          <w:sz w:val="36"/>
          <w:szCs w:val="36"/>
          <w:highlight w:val="none"/>
        </w:rPr>
      </w:pPr>
      <w:r>
        <w:rPr>
          <w:rFonts w:hint="eastAsia" w:ascii="宋体" w:hAnsi="宋体"/>
          <w:b w:val="0"/>
          <w:color w:val="auto"/>
          <w:sz w:val="36"/>
          <w:szCs w:val="36"/>
          <w:highlight w:val="none"/>
        </w:rPr>
        <w:br w:type="page"/>
      </w:r>
      <w:r>
        <w:rPr>
          <w:rFonts w:hint="eastAsia" w:ascii="宋体" w:hAnsi="宋体"/>
          <w:color w:val="auto"/>
          <w:sz w:val="36"/>
          <w:szCs w:val="36"/>
          <w:highlight w:val="none"/>
        </w:rPr>
        <w:t>第五章 政府采购合同主要条款指引</w:t>
      </w:r>
    </w:p>
    <w:p>
      <w:pPr>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（备注：竞争性磋商文件中仅提供合同主要条款，最终合同以双方签章的书面文本为准；竞争性磋商文件中的任一部分和条款均可视采购人的需要在签订合同时列入合同文本内）</w:t>
      </w:r>
    </w:p>
    <w:p>
      <w:pPr>
        <w:spacing w:line="460" w:lineRule="atLeast"/>
        <w:rPr>
          <w:rFonts w:ascii="宋体" w:hAnsi="宋体" w:cs="宋体"/>
          <w:color w:val="auto"/>
          <w:sz w:val="24"/>
          <w:highlight w:val="none"/>
        </w:rPr>
      </w:pPr>
      <w:r>
        <w:rPr>
          <w:rFonts w:hint="eastAsia" w:ascii="宋体" w:hAnsi="宋体" w:cs="宋体"/>
          <w:color w:val="auto"/>
          <w:sz w:val="24"/>
          <w:highlight w:val="none"/>
        </w:rPr>
        <w:t>甲方(采购人）：  三门县自然资源和规划局</w:t>
      </w:r>
    </w:p>
    <w:p>
      <w:pPr>
        <w:spacing w:line="460" w:lineRule="atLeast"/>
        <w:rPr>
          <w:rFonts w:ascii="宋体" w:hAnsi="宋体" w:cs="宋体"/>
          <w:color w:val="auto"/>
          <w:sz w:val="24"/>
          <w:highlight w:val="none"/>
        </w:rPr>
      </w:pPr>
      <w:r>
        <w:rPr>
          <w:rFonts w:hint="eastAsia" w:ascii="宋体" w:hAnsi="宋体" w:cs="宋体"/>
          <w:color w:val="auto"/>
          <w:sz w:val="24"/>
          <w:highlight w:val="none"/>
        </w:rPr>
        <w:t>法定代表人：</w:t>
      </w:r>
    </w:p>
    <w:p>
      <w:pPr>
        <w:spacing w:line="460" w:lineRule="atLeast"/>
        <w:rPr>
          <w:rFonts w:ascii="宋体" w:hAnsi="宋体" w:cs="宋体"/>
          <w:color w:val="auto"/>
          <w:sz w:val="24"/>
          <w:highlight w:val="none"/>
        </w:rPr>
      </w:pPr>
      <w:r>
        <w:rPr>
          <w:rFonts w:hint="eastAsia" w:ascii="宋体" w:hAnsi="宋体" w:cs="宋体"/>
          <w:color w:val="auto"/>
          <w:sz w:val="24"/>
          <w:highlight w:val="none"/>
        </w:rPr>
        <w:t>乙方（成交供应商）：</w:t>
      </w:r>
    </w:p>
    <w:p>
      <w:pPr>
        <w:spacing w:line="460" w:lineRule="atLeast"/>
        <w:rPr>
          <w:rFonts w:ascii="宋体" w:hAnsi="宋体" w:cs="宋体"/>
          <w:color w:val="auto"/>
          <w:sz w:val="24"/>
          <w:highlight w:val="none"/>
        </w:rPr>
      </w:pPr>
      <w:r>
        <w:rPr>
          <w:rFonts w:hint="eastAsia" w:ascii="宋体" w:hAnsi="宋体" w:cs="宋体"/>
          <w:color w:val="auto"/>
          <w:sz w:val="24"/>
          <w:highlight w:val="none"/>
        </w:rPr>
        <w:t>法定代表人：</w:t>
      </w:r>
    </w:p>
    <w:p>
      <w:pPr>
        <w:spacing w:line="460" w:lineRule="atLeast"/>
        <w:ind w:firstLine="360" w:firstLineChars="150"/>
        <w:rPr>
          <w:rFonts w:ascii="宋体" w:hAnsi="宋体" w:cs="宋体"/>
          <w:color w:val="auto"/>
          <w:sz w:val="24"/>
          <w:highlight w:val="none"/>
        </w:rPr>
      </w:pPr>
      <w:r>
        <w:rPr>
          <w:rFonts w:hint="eastAsia" w:ascii="宋体" w:hAnsi="宋体" w:cs="宋体"/>
          <w:color w:val="auto"/>
          <w:sz w:val="24"/>
          <w:highlight w:val="none"/>
        </w:rPr>
        <w:t>双方经协商，就乙方向甲方提供服务事宜达成以下条款：</w:t>
      </w:r>
    </w:p>
    <w:p>
      <w:pPr>
        <w:widowControl/>
        <w:autoSpaceDE w:val="0"/>
        <w:autoSpaceDN w:val="0"/>
        <w:adjustRightInd w:val="0"/>
        <w:spacing w:line="400" w:lineRule="exact"/>
        <w:ind w:left="2" w:leftChars="1" w:firstLine="480" w:firstLineChars="200"/>
        <w:rPr>
          <w:rFonts w:ascii="宋体" w:hAnsi="宋体" w:cs="宋体"/>
          <w:bCs/>
          <w:color w:val="auto"/>
          <w:sz w:val="24"/>
          <w:highlight w:val="none"/>
        </w:rPr>
      </w:pPr>
      <w:r>
        <w:rPr>
          <w:rFonts w:hint="eastAsia" w:ascii="宋体" w:hAnsi="宋体" w:cs="宋体"/>
          <w:color w:val="auto"/>
          <w:sz w:val="24"/>
          <w:highlight w:val="none"/>
        </w:rPr>
        <w:t>甲方采购的</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 xml:space="preserve">在国内以竞争性磋商方式进行采购，并确定 </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rPr>
        <w:t>为本项目成交供应商。双方同意按照下面条款和条件，签署本合同。</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一、合同金额</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合同金额为（大写）：_____________元（￥_______________）</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二、  服务范围</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甲方聘请乙方提供以下服务：</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1．本合同项下的服务指......。</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2．......</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3．......</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三、  甲方乙方的权利和义务</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（一） 甲方的权利和义务</w:t>
      </w:r>
    </w:p>
    <w:p>
      <w:pPr>
        <w:pStyle w:val="22"/>
        <w:shd w:val="clear" w:color="auto" w:fill="FFFFFF"/>
        <w:spacing w:before="0" w:beforeAutospacing="0" w:after="150" w:afterAutospacing="0" w:line="375" w:lineRule="atLeast"/>
        <w:ind w:firstLine="480"/>
        <w:rPr>
          <w:rFonts w:cs="Arial"/>
          <w:color w:val="auto"/>
          <w:highlight w:val="none"/>
        </w:rPr>
      </w:pPr>
      <w:r>
        <w:rPr>
          <w:rFonts w:cs="Arial"/>
          <w:color w:val="auto"/>
          <w:highlight w:val="none"/>
        </w:rPr>
        <w:t>（根据磋商采购结果确定）</w:t>
      </w:r>
    </w:p>
    <w:p>
      <w:pPr>
        <w:pStyle w:val="22"/>
        <w:shd w:val="clear" w:color="auto" w:fill="FFFFFF"/>
        <w:spacing w:before="0" w:beforeAutospacing="0" w:after="150" w:afterAutospacing="0" w:line="375" w:lineRule="atLeast"/>
        <w:ind w:firstLine="480"/>
        <w:rPr>
          <w:rFonts w:ascii="宋体" w:hAnsi="宋体" w:cs="宋体"/>
          <w:color w:val="auto"/>
          <w:sz w:val="24"/>
          <w:highlight w:val="none"/>
        </w:rPr>
      </w:pPr>
      <w:r>
        <w:rPr>
          <w:rFonts w:hint="eastAsia" w:ascii="宋体" w:hAnsi="宋体" w:cs="宋体"/>
          <w:color w:val="auto"/>
          <w:sz w:val="24"/>
          <w:highlight w:val="none"/>
        </w:rPr>
        <w:t>......</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（二） 乙方的权利和义务</w:t>
      </w:r>
    </w:p>
    <w:p>
      <w:pPr>
        <w:pStyle w:val="22"/>
        <w:shd w:val="clear" w:color="auto" w:fill="FFFFFF"/>
        <w:spacing w:before="0" w:beforeAutospacing="0" w:after="150" w:afterAutospacing="0" w:line="375" w:lineRule="atLeast"/>
        <w:ind w:firstLine="480"/>
        <w:rPr>
          <w:rFonts w:hint="default" w:cs="Arial"/>
          <w:color w:val="auto"/>
          <w:highlight w:val="none"/>
        </w:rPr>
      </w:pPr>
      <w:r>
        <w:rPr>
          <w:rFonts w:cs="Arial"/>
          <w:color w:val="auto"/>
          <w:highlight w:val="none"/>
        </w:rPr>
        <w:t>（根据磋商采购结果确定）</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w:t>
      </w:r>
    </w:p>
    <w:p>
      <w:pPr>
        <w:spacing w:line="460" w:lineRule="atLeast"/>
        <w:ind w:firstLine="482"/>
        <w:rPr>
          <w:rFonts w:hint="eastAsia" w:ascii="宋体" w:hAnsi="宋体" w:cs="宋体"/>
          <w:color w:val="auto"/>
          <w:sz w:val="24"/>
          <w:highlight w:val="none"/>
        </w:rPr>
      </w:pPr>
      <w:r>
        <w:rPr>
          <w:rFonts w:hint="eastAsia" w:ascii="宋体" w:hAnsi="宋体" w:cs="宋体"/>
          <w:color w:val="auto"/>
          <w:sz w:val="24"/>
          <w:highlight w:val="none"/>
        </w:rPr>
        <w:t>四、工期要求</w:t>
      </w:r>
    </w:p>
    <w:p>
      <w:pPr>
        <w:spacing w:line="460" w:lineRule="atLeast"/>
        <w:ind w:firstLine="482"/>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须在</w:t>
      </w:r>
      <w:r>
        <w:rPr>
          <w:rFonts w:hint="eastAsia" w:ascii="宋体" w:hAnsi="宋体" w:cs="宋体"/>
          <w:color w:val="auto"/>
          <w:sz w:val="24"/>
          <w:highlight w:val="none"/>
        </w:rPr>
        <w:t>2021 年2 月20 日前，县级调查单元完成三门县国土变更调查工作，并向省自然资源厅报送变更调查更新数据增量包。</w:t>
      </w:r>
      <w:r>
        <w:rPr>
          <w:rFonts w:hint="eastAsia" w:ascii="宋体" w:hAnsi="宋体" w:cs="宋体"/>
          <w:color w:val="auto"/>
          <w:sz w:val="24"/>
          <w:highlight w:val="none"/>
          <w:lang w:val="en-US" w:eastAsia="zh-CN"/>
        </w:rPr>
        <w:t xml:space="preserve"> </w:t>
      </w:r>
    </w:p>
    <w:p>
      <w:pPr>
        <w:pStyle w:val="2"/>
        <w:ind w:firstLine="240"/>
        <w:rPr>
          <w:rFonts w:ascii="宋体" w:hAnsi="宋体" w:cs="宋体"/>
          <w:color w:val="auto"/>
          <w:sz w:val="24"/>
          <w:highlight w:val="none"/>
        </w:rPr>
      </w:pPr>
    </w:p>
    <w:p>
      <w:pPr>
        <w:pStyle w:val="7"/>
        <w:numPr>
          <w:ilvl w:val="0"/>
          <w:numId w:val="0"/>
        </w:numPr>
        <w:bidi w:val="0"/>
        <w:ind w:leftChars="0"/>
        <w:rPr>
          <w:rFonts w:hint="eastAsia"/>
          <w:color w:val="auto"/>
          <w:highlight w:val="none"/>
        </w:rPr>
      </w:pPr>
      <w:r>
        <w:rPr>
          <w:rFonts w:hint="eastAsia"/>
          <w:color w:val="auto"/>
          <w:highlight w:val="none"/>
          <w:lang w:eastAsia="zh-CN"/>
        </w:rPr>
        <w:t>五、</w:t>
      </w:r>
      <w:r>
        <w:rPr>
          <w:rFonts w:hint="eastAsia"/>
          <w:color w:val="auto"/>
          <w:highlight w:val="none"/>
        </w:rPr>
        <w:t>付款方式：</w:t>
      </w:r>
    </w:p>
    <w:p>
      <w:pPr>
        <w:pStyle w:val="7"/>
        <w:numPr>
          <w:ilvl w:val="0"/>
          <w:numId w:val="0"/>
        </w:numPr>
        <w:bidi w:val="0"/>
        <w:ind w:leftChars="0" w:firstLine="240" w:firstLineChars="100"/>
        <w:rPr>
          <w:rFonts w:hint="eastAsia"/>
          <w:color w:val="auto"/>
          <w:highlight w:val="none"/>
        </w:rPr>
      </w:pPr>
      <w:r>
        <w:rPr>
          <w:rFonts w:hint="eastAsia"/>
          <w:color w:val="auto"/>
          <w:highlight w:val="none"/>
        </w:rPr>
        <w:t>1、中标人完成内业数据处理并经过采购人认可后，支付15万元；</w:t>
      </w:r>
    </w:p>
    <w:p>
      <w:pPr>
        <w:pStyle w:val="14"/>
        <w:snapToGrid w:val="0"/>
        <w:spacing w:before="120" w:after="120" w:line="360" w:lineRule="auto"/>
        <w:ind w:firstLine="240" w:firstLineChars="100"/>
        <w:outlineLvl w:val="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hAnsi="宋体"/>
          <w:color w:val="auto"/>
          <w:sz w:val="24"/>
          <w:highlight w:val="none"/>
          <w:lang w:val="en-US" w:eastAsia="zh-CN"/>
        </w:rPr>
        <w:t>余</w:t>
      </w:r>
      <w:r>
        <w:rPr>
          <w:rFonts w:hint="eastAsia" w:ascii="宋体" w:hAnsi="宋体"/>
          <w:color w:val="auto"/>
          <w:sz w:val="24"/>
          <w:highlight w:val="none"/>
          <w:lang w:val="en-US" w:eastAsia="zh-CN"/>
        </w:rPr>
        <w:t>款</w:t>
      </w:r>
      <w:r>
        <w:rPr>
          <w:rFonts w:hint="eastAsia" w:hAnsi="宋体"/>
          <w:color w:val="auto"/>
          <w:sz w:val="24"/>
          <w:highlight w:val="none"/>
          <w:lang w:val="en-US" w:eastAsia="zh-CN"/>
        </w:rPr>
        <w:t>在全部</w:t>
      </w:r>
      <w:r>
        <w:rPr>
          <w:rFonts w:hint="eastAsia" w:ascii="宋体" w:hAnsi="宋体"/>
          <w:color w:val="auto"/>
          <w:sz w:val="24"/>
          <w:highlight w:val="none"/>
          <w:lang w:val="en-US" w:eastAsia="zh-CN"/>
        </w:rPr>
        <w:t>成果通过验收后根据2022年</w:t>
      </w:r>
      <w:r>
        <w:rPr>
          <w:rFonts w:hint="eastAsia" w:hAnsi="宋体"/>
          <w:color w:val="auto"/>
          <w:sz w:val="24"/>
          <w:highlight w:val="none"/>
          <w:lang w:val="en-US" w:eastAsia="zh-CN"/>
        </w:rPr>
        <w:t>财政预算安排</w:t>
      </w:r>
      <w:r>
        <w:rPr>
          <w:rFonts w:hint="eastAsia" w:ascii="宋体" w:hAnsi="宋体"/>
          <w:color w:val="auto"/>
          <w:sz w:val="24"/>
          <w:highlight w:val="none"/>
          <w:lang w:val="en-US" w:eastAsia="zh-CN"/>
        </w:rPr>
        <w:t>支付（余额如超过当年</w:t>
      </w:r>
      <w:r>
        <w:rPr>
          <w:rFonts w:hint="eastAsia" w:hAnsi="宋体"/>
          <w:color w:val="auto"/>
          <w:sz w:val="24"/>
          <w:highlight w:val="none"/>
          <w:lang w:val="en-US" w:eastAsia="zh-CN"/>
        </w:rPr>
        <w:t>财政</w:t>
      </w:r>
      <w:r>
        <w:rPr>
          <w:rFonts w:hint="eastAsia" w:ascii="宋体" w:hAnsi="宋体"/>
          <w:color w:val="auto"/>
          <w:sz w:val="24"/>
          <w:highlight w:val="none"/>
          <w:lang w:val="en-US" w:eastAsia="zh-CN"/>
        </w:rPr>
        <w:t>预算额度，则超额部分转下一年度结算）；</w:t>
      </w:r>
    </w:p>
    <w:p>
      <w:pPr>
        <w:pStyle w:val="14"/>
        <w:snapToGrid w:val="0"/>
        <w:spacing w:before="120" w:after="120" w:line="360" w:lineRule="auto"/>
        <w:outlineLvl w:val="2"/>
        <w:rPr>
          <w:rFonts w:hint="eastAsia" w:ascii="宋体" w:hAnsi="宋体" w:cs="宋体"/>
          <w:color w:val="auto"/>
          <w:sz w:val="24"/>
          <w:highlight w:val="none"/>
        </w:rPr>
      </w:pPr>
      <w:r>
        <w:rPr>
          <w:rFonts w:hint="eastAsia" w:hAnsi="宋体" w:cs="宋体"/>
          <w:color w:val="auto"/>
          <w:sz w:val="24"/>
          <w:highlight w:val="none"/>
          <w:lang w:eastAsia="zh-CN"/>
        </w:rPr>
        <w:t>六</w:t>
      </w:r>
      <w:r>
        <w:rPr>
          <w:rFonts w:hint="eastAsia" w:ascii="宋体" w:hAnsi="宋体" w:cs="宋体"/>
          <w:color w:val="auto"/>
          <w:sz w:val="24"/>
          <w:highlight w:val="none"/>
        </w:rPr>
        <w:t>、知识产权产权归属</w:t>
      </w:r>
    </w:p>
    <w:p>
      <w:pPr>
        <w:pStyle w:val="14"/>
        <w:snapToGrid w:val="0"/>
        <w:spacing w:before="120" w:after="120" w:line="360" w:lineRule="auto"/>
        <w:ind w:firstLine="240" w:firstLineChars="100"/>
        <w:outlineLvl w:val="2"/>
        <w:rPr>
          <w:rFonts w:hint="eastAsia" w:ascii="宋体" w:hAnsi="宋体" w:cs="宋体"/>
          <w:color w:val="auto"/>
          <w:sz w:val="24"/>
          <w:highlight w:val="none"/>
        </w:rPr>
      </w:pPr>
      <w:r>
        <w:rPr>
          <w:rFonts w:hint="eastAsia" w:ascii="宋体" w:hAnsi="宋体" w:cs="宋体"/>
          <w:color w:val="auto"/>
          <w:sz w:val="24"/>
          <w:highlight w:val="none"/>
        </w:rPr>
        <w:t>1）乙方应保证，甲方在中华人民共和国使用服务/货物或服务/货物的任何一部分时，甲方免受第三方提出侵犯其专利权、商标权或其它知识产权的起诉。</w:t>
      </w:r>
    </w:p>
    <w:p>
      <w:pPr>
        <w:pStyle w:val="14"/>
        <w:snapToGrid w:val="0"/>
        <w:spacing w:before="120" w:after="120" w:line="360" w:lineRule="auto"/>
        <w:ind w:firstLine="240" w:firstLineChars="100"/>
        <w:outlineLvl w:val="2"/>
        <w:rPr>
          <w:rFonts w:hint="eastAsia" w:ascii="宋体" w:hAnsi="宋体" w:cs="宋体"/>
          <w:color w:val="auto"/>
          <w:sz w:val="24"/>
          <w:highlight w:val="none"/>
        </w:rPr>
      </w:pPr>
      <w:r>
        <w:rPr>
          <w:rFonts w:hint="eastAsia" w:ascii="宋体" w:hAnsi="宋体" w:cs="宋体"/>
          <w:color w:val="auto"/>
          <w:sz w:val="24"/>
          <w:highlight w:val="none"/>
        </w:rPr>
        <w:t>2）合同总价应包括所有应支付的对专利权和版权、设计或其他知识产权而需要向其他方支付的版税。</w:t>
      </w:r>
    </w:p>
    <w:p>
      <w:pPr>
        <w:pStyle w:val="14"/>
        <w:snapToGrid w:val="0"/>
        <w:spacing w:before="120" w:after="120" w:line="360" w:lineRule="auto"/>
        <w:ind w:firstLine="240" w:firstLineChars="100"/>
        <w:outlineLvl w:val="2"/>
        <w:rPr>
          <w:rFonts w:ascii="宋体" w:hAnsi="宋体" w:cs="宋体"/>
          <w:color w:val="auto"/>
          <w:sz w:val="24"/>
          <w:highlight w:val="none"/>
        </w:rPr>
      </w:pPr>
      <w:r>
        <w:rPr>
          <w:rFonts w:hint="eastAsia" w:ascii="宋体" w:hAnsi="宋体" w:cs="宋体"/>
          <w:color w:val="auto"/>
          <w:sz w:val="24"/>
          <w:highlight w:val="none"/>
        </w:rPr>
        <w:t>3）本合同涉及内容的知识产权归甲方所有。</w:t>
      </w:r>
    </w:p>
    <w:p>
      <w:pPr>
        <w:spacing w:line="460" w:lineRule="atLeast"/>
        <w:rPr>
          <w:rFonts w:ascii="宋体" w:hAnsi="宋体" w:cs="宋体"/>
          <w:color w:val="auto"/>
          <w:sz w:val="24"/>
          <w:highlight w:val="none"/>
        </w:rPr>
      </w:pPr>
      <w:r>
        <w:rPr>
          <w:rFonts w:hint="eastAsia" w:ascii="宋体" w:hAnsi="宋体" w:cs="宋体"/>
          <w:color w:val="auto"/>
          <w:sz w:val="24"/>
          <w:highlight w:val="none"/>
          <w:lang w:eastAsia="zh-CN"/>
        </w:rPr>
        <w:t>七</w:t>
      </w:r>
      <w:r>
        <w:rPr>
          <w:rFonts w:hint="eastAsia" w:ascii="宋体" w:hAnsi="宋体" w:cs="宋体"/>
          <w:color w:val="auto"/>
          <w:sz w:val="24"/>
          <w:highlight w:val="none"/>
        </w:rPr>
        <w:t>、保密</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由甲方向乙方提供的采购项目内容、图纸、样品、模型、模件和所有资料，乙方获得后，应对其保密。除非甲方同意，乙方不得向第三方透露或将其用于本次公开招标政府采购以外的任何用途。</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乙方在甲方要求的时间内须按甲方的要求归还甲方认为需保密的文件和资料，并销毁所有需保密的备份文件和资料。</w:t>
      </w:r>
    </w:p>
    <w:p>
      <w:pPr>
        <w:spacing w:line="460" w:lineRule="atLeast"/>
        <w:rPr>
          <w:rFonts w:ascii="宋体" w:hAnsi="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cs="宋体"/>
          <w:color w:val="auto"/>
          <w:sz w:val="24"/>
          <w:highlight w:val="none"/>
        </w:rPr>
        <w:t>、违约责任与赔偿损失</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1) 乙方提供的服务不符合采购文件、投标文件或本合同规定的，甲方有权拒收，并且乙方须向甲方支付本合同总价 5%的违约金。</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2) 乙方未能按本合同规定的交货时间提供服务，从逾期之日起每日按本合同总价3‰的数额向甲方支付违约金；逾期</w:t>
      </w:r>
      <w:r>
        <w:rPr>
          <w:rFonts w:hint="eastAsia" w:ascii="宋体" w:hAnsi="宋体" w:cs="宋体"/>
          <w:color w:val="auto"/>
          <w:sz w:val="24"/>
          <w:highlight w:val="none"/>
          <w:lang w:val="en-US" w:eastAsia="zh-CN"/>
        </w:rPr>
        <w:t>15日</w:t>
      </w:r>
      <w:r>
        <w:rPr>
          <w:rFonts w:hint="eastAsia" w:ascii="宋体" w:hAnsi="宋体" w:cs="宋体"/>
          <w:color w:val="auto"/>
          <w:sz w:val="24"/>
          <w:highlight w:val="none"/>
        </w:rPr>
        <w:t>以上的，甲方有权</w:t>
      </w:r>
      <w:r>
        <w:rPr>
          <w:rFonts w:hint="eastAsia" w:ascii="宋体" w:hAnsi="宋体" w:cs="宋体"/>
          <w:strike w:val="0"/>
          <w:dstrike w:val="0"/>
          <w:color w:val="auto"/>
          <w:sz w:val="24"/>
          <w:highlight w:val="none"/>
          <w:lang w:val="en-US" w:eastAsia="zh-CN"/>
        </w:rPr>
        <w:t>立即单方解除</w:t>
      </w:r>
      <w:r>
        <w:rPr>
          <w:rFonts w:hint="eastAsia" w:ascii="宋体" w:hAnsi="宋体" w:cs="宋体"/>
          <w:color w:val="auto"/>
          <w:sz w:val="24"/>
          <w:highlight w:val="none"/>
        </w:rPr>
        <w:t>合同，由此造成的甲方经济损失由乙方承担。</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3) 甲方无正当理由拒收接受服务，到期拒付服务款项的，甲方向乙方偿付本合同总价的 5%的违约金。</w:t>
      </w:r>
    </w:p>
    <w:p>
      <w:pPr>
        <w:spacing w:line="460" w:lineRule="atLeast"/>
        <w:ind w:firstLine="482"/>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4）乙方提供的服务成果在质保期内发生故障或错误，乙方应负责免费更正，若更正后仍达不到质量要求，甲方有权解除合同并要求乙方支付合同金额5%的违约金。</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其它违约责任按《中华人民共和国合同法》处理。</w:t>
      </w:r>
    </w:p>
    <w:p>
      <w:pPr>
        <w:spacing w:line="460" w:lineRule="atLeast"/>
        <w:rPr>
          <w:rFonts w:ascii="宋体" w:hAnsi="宋体" w:cs="宋体"/>
          <w:color w:val="auto"/>
          <w:sz w:val="24"/>
          <w:highlight w:val="none"/>
        </w:rPr>
      </w:pPr>
      <w:r>
        <w:rPr>
          <w:rFonts w:hint="eastAsia" w:ascii="宋体" w:hAnsi="宋体" w:cs="宋体"/>
          <w:color w:val="auto"/>
          <w:sz w:val="24"/>
          <w:highlight w:val="none"/>
          <w:lang w:eastAsia="zh-CN"/>
        </w:rPr>
        <w:t>九</w:t>
      </w:r>
      <w:r>
        <w:rPr>
          <w:rFonts w:hint="eastAsia" w:ascii="宋体" w:hAnsi="宋体" w:cs="宋体"/>
          <w:color w:val="auto"/>
          <w:sz w:val="24"/>
          <w:highlight w:val="none"/>
        </w:rPr>
        <w:t>、争端的解决</w:t>
      </w:r>
    </w:p>
    <w:p>
      <w:pPr>
        <w:spacing w:line="460" w:lineRule="atLeast"/>
        <w:ind w:firstLine="482"/>
        <w:rPr>
          <w:rFonts w:hint="eastAsia" w:ascii="宋体" w:hAnsi="宋体" w:cs="宋体"/>
          <w:strike w:val="0"/>
          <w:dstrike w:val="0"/>
          <w:color w:val="auto"/>
          <w:sz w:val="24"/>
          <w:highlight w:val="none"/>
          <w:lang w:val="en-US" w:eastAsia="zh-CN"/>
        </w:rPr>
      </w:pPr>
      <w:r>
        <w:rPr>
          <w:rFonts w:hint="eastAsia" w:ascii="宋体" w:hAnsi="宋体" w:cs="宋体"/>
          <w:color w:val="auto"/>
          <w:sz w:val="24"/>
          <w:highlight w:val="none"/>
        </w:rPr>
        <w:t>1)合同执行过程中发生的任何争议，</w:t>
      </w:r>
      <w:r>
        <w:rPr>
          <w:rFonts w:hint="eastAsia" w:ascii="宋体" w:hAnsi="宋体" w:cs="宋体"/>
          <w:strike w:val="0"/>
          <w:dstrike w:val="0"/>
          <w:color w:val="auto"/>
          <w:sz w:val="24"/>
          <w:highlight w:val="none"/>
          <w:lang w:val="en-US" w:eastAsia="zh-CN"/>
        </w:rPr>
        <w:t>双方应友好协商解决，协商不成的，双方均有权向三门县人民法院提起诉讼。</w:t>
      </w:r>
    </w:p>
    <w:p>
      <w:pPr>
        <w:spacing w:line="460" w:lineRule="atLeast"/>
        <w:rPr>
          <w:rFonts w:ascii="宋体" w:hAnsi="宋体" w:cs="宋体"/>
          <w:color w:val="auto"/>
          <w:sz w:val="24"/>
          <w:highlight w:val="none"/>
        </w:rPr>
      </w:pPr>
      <w:r>
        <w:rPr>
          <w:rFonts w:hint="eastAsia" w:ascii="宋体" w:hAnsi="宋体" w:cs="宋体"/>
          <w:color w:val="auto"/>
          <w:sz w:val="24"/>
          <w:highlight w:val="none"/>
        </w:rPr>
        <w:t>十、不可抗力</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pPr>
        <w:spacing w:line="460" w:lineRule="atLeas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cs="宋体"/>
          <w:color w:val="auto"/>
          <w:sz w:val="24"/>
          <w:highlight w:val="none"/>
        </w:rPr>
        <w:t>、税费</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在中国境内、外发生的与本合同执行有关的一切税费均由乙方负担。</w:t>
      </w:r>
    </w:p>
    <w:p>
      <w:pPr>
        <w:spacing w:line="460" w:lineRule="atLeas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cs="宋体"/>
          <w:color w:val="auto"/>
          <w:sz w:val="24"/>
          <w:highlight w:val="none"/>
        </w:rPr>
        <w:t>、其它</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1) 本合同所有附件、磋商文件、响应文件、成交通知书均为合同的有效组成部分，与本合同具有同等法律效力。</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2) 在执行本合同的过程中，所有经双方签署确认的文件（包括会议纪要、补充协议、往来信函）即成为本合同的有效组成部分。</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3) 如一方地址、电话、传真号码有变更，应在变更当日内书面通知对方，否则，应承担相应责任。</w:t>
      </w:r>
    </w:p>
    <w:p>
      <w:pPr>
        <w:spacing w:line="460" w:lineRule="atLeas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三</w:t>
      </w:r>
      <w:r>
        <w:rPr>
          <w:rFonts w:hint="eastAsia" w:ascii="宋体" w:hAnsi="宋体" w:cs="宋体"/>
          <w:color w:val="auto"/>
          <w:sz w:val="24"/>
          <w:highlight w:val="none"/>
        </w:rPr>
        <w:t>、合同生效：</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1）本合同在甲乙双方法人代表或其授权代表签字、盖章后生效。</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2）合同一式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份，双方各持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十五、合同附件</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1、甲方的磋商文件与补充文件；</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2、乙方响应文件；</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3、询标纪要和承诺书；</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4、成交通知书。</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甲方：(印章)                                             乙方：(印章)</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法定代表人/授权代表(签字)：             法定代表人/授权代表(签字)：</w:t>
      </w:r>
    </w:p>
    <w:p>
      <w:pPr>
        <w:spacing w:line="460" w:lineRule="atLeast"/>
        <w:ind w:firstLine="482"/>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460" w:lineRule="atLeast"/>
        <w:ind w:firstLine="7365" w:firstLineChars="3069"/>
        <w:rPr>
          <w:rFonts w:ascii="宋体" w:hAnsi="宋体" w:cs="宋体"/>
          <w:color w:val="auto"/>
          <w:sz w:val="24"/>
          <w:highlight w:val="none"/>
        </w:rPr>
      </w:pPr>
      <w:r>
        <w:rPr>
          <w:rFonts w:hint="eastAsia" w:ascii="宋体" w:hAnsi="宋体" w:cs="宋体"/>
          <w:color w:val="auto"/>
          <w:sz w:val="24"/>
          <w:highlight w:val="none"/>
        </w:rPr>
        <w:t>开户银行：</w:t>
      </w:r>
    </w:p>
    <w:p>
      <w:pPr>
        <w:spacing w:line="460" w:lineRule="atLeast"/>
        <w:ind w:firstLine="7365" w:firstLineChars="3069"/>
        <w:rPr>
          <w:rFonts w:ascii="宋体" w:hAnsi="宋体" w:cs="宋体"/>
          <w:color w:val="auto"/>
          <w:sz w:val="24"/>
          <w:highlight w:val="none"/>
        </w:rPr>
      </w:pPr>
      <w:r>
        <w:rPr>
          <w:rFonts w:hint="eastAsia" w:ascii="宋体" w:hAnsi="宋体" w:cs="宋体"/>
          <w:color w:val="auto"/>
          <w:sz w:val="24"/>
          <w:highlight w:val="none"/>
        </w:rPr>
        <w:t xml:space="preserve">开户名称： </w:t>
      </w:r>
    </w:p>
    <w:p>
      <w:pPr>
        <w:spacing w:line="460" w:lineRule="atLeast"/>
        <w:ind w:firstLine="7365" w:firstLineChars="3069"/>
        <w:rPr>
          <w:rFonts w:ascii="宋体" w:hAnsi="宋体" w:cs="宋体"/>
          <w:color w:val="auto"/>
          <w:sz w:val="24"/>
          <w:highlight w:val="none"/>
        </w:rPr>
      </w:pPr>
      <w:r>
        <w:rPr>
          <w:rFonts w:hint="eastAsia" w:ascii="宋体" w:hAnsi="宋体" w:cs="宋体"/>
          <w:color w:val="auto"/>
          <w:sz w:val="24"/>
          <w:highlight w:val="none"/>
        </w:rPr>
        <w:t>账号：</w:t>
      </w:r>
    </w:p>
    <w:p>
      <w:pPr>
        <w:rPr>
          <w:rFonts w:hint="eastAsia" w:ascii="宋体" w:hAnsi="宋体"/>
          <w:b w:val="0"/>
          <w:color w:val="auto"/>
          <w:sz w:val="36"/>
          <w:szCs w:val="36"/>
          <w:highlight w:val="none"/>
        </w:rPr>
      </w:pPr>
      <w:r>
        <w:rPr>
          <w:rFonts w:hint="eastAsia" w:ascii="宋体" w:hAnsi="宋体"/>
          <w:b w:val="0"/>
          <w:color w:val="auto"/>
          <w:sz w:val="36"/>
          <w:szCs w:val="36"/>
          <w:highlight w:val="none"/>
        </w:rPr>
        <w:br w:type="page"/>
      </w:r>
    </w:p>
    <w:p>
      <w:pPr>
        <w:pStyle w:val="4"/>
        <w:jc w:val="center"/>
        <w:rPr>
          <w:rFonts w:ascii="宋体" w:hAnsi="宋体"/>
          <w:b w:val="0"/>
          <w:color w:val="auto"/>
          <w:sz w:val="36"/>
          <w:szCs w:val="36"/>
          <w:highlight w:val="none"/>
        </w:rPr>
      </w:pPr>
      <w:r>
        <w:rPr>
          <w:rFonts w:hint="eastAsia" w:ascii="宋体" w:hAnsi="宋体"/>
          <w:b w:val="0"/>
          <w:color w:val="auto"/>
          <w:sz w:val="36"/>
          <w:szCs w:val="36"/>
          <w:highlight w:val="none"/>
        </w:rPr>
        <w:t>第六章 响应文件格式附件</w:t>
      </w:r>
    </w:p>
    <w:p>
      <w:pPr>
        <w:tabs>
          <w:tab w:val="left" w:pos="8280"/>
        </w:tabs>
        <w:autoSpaceDE w:val="0"/>
        <w:autoSpaceDN w:val="0"/>
        <w:adjustRightInd w:val="0"/>
        <w:spacing w:line="240" w:lineRule="atLeast"/>
        <w:ind w:right="25"/>
        <w:rPr>
          <w:rFonts w:ascii="宋体" w:hAnsi="宋体"/>
          <w:color w:val="auto"/>
          <w:kern w:val="0"/>
          <w:sz w:val="24"/>
          <w:highlight w:val="none"/>
        </w:rPr>
      </w:pPr>
    </w:p>
    <w:p>
      <w:pPr>
        <w:pStyle w:val="14"/>
        <w:snapToGrid w:val="0"/>
        <w:spacing w:before="120" w:after="120" w:line="360" w:lineRule="auto"/>
        <w:outlineLvl w:val="2"/>
        <w:rPr>
          <w:rFonts w:hAnsi="宋体"/>
          <w:color w:val="auto"/>
          <w:sz w:val="32"/>
          <w:szCs w:val="32"/>
          <w:highlight w:val="none"/>
        </w:rPr>
      </w:pPr>
      <w:r>
        <w:rPr>
          <w:rFonts w:hint="eastAsia" w:hAnsi="宋体"/>
          <w:b/>
          <w:color w:val="auto"/>
          <w:sz w:val="24"/>
          <w:highlight w:val="none"/>
        </w:rPr>
        <w:t>附件1 封面</w:t>
      </w:r>
    </w:p>
    <w:p>
      <w:pPr>
        <w:spacing w:beforeLines="100" w:line="240" w:lineRule="atLeast"/>
        <w:ind w:right="-108"/>
        <w:jc w:val="center"/>
        <w:rPr>
          <w:rFonts w:ascii="宋体" w:hAnsi="宋体"/>
          <w:b/>
          <w:color w:val="auto"/>
          <w:kern w:val="0"/>
          <w:sz w:val="28"/>
          <w:szCs w:val="28"/>
          <w:highlight w:val="none"/>
        </w:rPr>
      </w:pPr>
      <w:r>
        <w:rPr>
          <w:rFonts w:hint="eastAsia" w:ascii="宋体" w:hAnsi="宋体"/>
          <w:color w:val="auto"/>
          <w:sz w:val="32"/>
          <w:szCs w:val="32"/>
          <w:highlight w:val="none"/>
        </w:rPr>
        <w:t xml:space="preserve">                             </w:t>
      </w:r>
      <w:r>
        <w:rPr>
          <w:rFonts w:hint="eastAsia" w:ascii="宋体" w:hAnsi="宋体"/>
          <w:color w:val="auto"/>
          <w:sz w:val="30"/>
          <w:szCs w:val="30"/>
          <w:highlight w:val="none"/>
        </w:rPr>
        <w:t>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ind w:right="-108" w:firstLine="3420" w:firstLineChars="950"/>
        <w:rPr>
          <w:rFonts w:ascii="宋体" w:hAnsi="宋体"/>
          <w:color w:val="auto"/>
          <w:sz w:val="36"/>
          <w:szCs w:val="36"/>
          <w:highlight w:val="none"/>
        </w:rPr>
      </w:pPr>
      <w:r>
        <w:rPr>
          <w:rFonts w:hint="eastAsia" w:ascii="宋体" w:hAnsi="宋体"/>
          <w:color w:val="auto"/>
          <w:sz w:val="36"/>
          <w:szCs w:val="36"/>
          <w:highlight w:val="none"/>
        </w:rPr>
        <w:t xml:space="preserve">项目编号： </w:t>
      </w:r>
    </w:p>
    <w:p>
      <w:pPr>
        <w:spacing w:beforeLines="100" w:line="240" w:lineRule="atLeast"/>
        <w:ind w:right="-108"/>
        <w:jc w:val="center"/>
        <w:rPr>
          <w:rFonts w:ascii="宋体" w:hAnsi="宋体"/>
          <w:color w:val="auto"/>
          <w:sz w:val="32"/>
          <w:szCs w:val="32"/>
          <w:highlight w:val="none"/>
        </w:rPr>
      </w:pP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磋</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商</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件</w:t>
      </w:r>
    </w:p>
    <w:p>
      <w:pPr>
        <w:spacing w:line="5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wordWrap w:val="0"/>
        <w:spacing w:line="500" w:lineRule="exact"/>
        <w:ind w:right="-108" w:firstLine="720" w:firstLineChars="200"/>
        <w:rPr>
          <w:rFonts w:ascii="宋体" w:hAnsi="宋体"/>
          <w:b/>
          <w:bCs/>
          <w:color w:val="auto"/>
          <w:sz w:val="32"/>
          <w:szCs w:val="32"/>
          <w:highlight w:val="none"/>
        </w:rPr>
      </w:pPr>
      <w:r>
        <w:rPr>
          <w:rFonts w:hint="eastAsia" w:ascii="宋体" w:hAnsi="宋体"/>
          <w:color w:val="auto"/>
          <w:sz w:val="36"/>
          <w:szCs w:val="36"/>
          <w:highlight w:val="none"/>
        </w:rPr>
        <w:t>时    间：</w:t>
      </w:r>
    </w:p>
    <w:p>
      <w:pPr>
        <w:rPr>
          <w:rFonts w:ascii="宋体" w:hAnsi="宋体"/>
          <w:b/>
          <w:color w:val="auto"/>
          <w:sz w:val="28"/>
          <w:highlight w:val="none"/>
        </w:rPr>
      </w:pPr>
      <w:r>
        <w:rPr>
          <w:rFonts w:hint="eastAsia" w:ascii="宋体" w:hAnsi="宋体"/>
          <w:color w:val="auto"/>
          <w:sz w:val="30"/>
          <w:szCs w:val="30"/>
          <w:highlight w:val="none"/>
        </w:rPr>
        <w:t>　　</w:t>
      </w:r>
      <w:r>
        <w:rPr>
          <w:rFonts w:hint="eastAsia" w:ascii="宋体" w:hAnsi="宋体"/>
          <w:b/>
          <w:color w:val="auto"/>
          <w:sz w:val="28"/>
          <w:highlight w:val="none"/>
        </w:rPr>
        <w:t xml:space="preserve">                                  </w:t>
      </w:r>
    </w:p>
    <w:p>
      <w:pPr>
        <w:pStyle w:val="14"/>
        <w:snapToGrid w:val="0"/>
        <w:spacing w:before="120" w:after="120" w:line="360" w:lineRule="auto"/>
        <w:outlineLvl w:val="2"/>
        <w:rPr>
          <w:rFonts w:hAnsi="宋体"/>
          <w:b/>
          <w:color w:val="auto"/>
          <w:kern w:val="0"/>
          <w:sz w:val="28"/>
          <w:szCs w:val="28"/>
          <w:highlight w:val="none"/>
        </w:rPr>
      </w:pPr>
    </w:p>
    <w:p>
      <w:pPr>
        <w:pStyle w:val="14"/>
        <w:snapToGrid w:val="0"/>
        <w:spacing w:before="120" w:after="120" w:line="360" w:lineRule="auto"/>
        <w:outlineLvl w:val="2"/>
        <w:rPr>
          <w:rFonts w:hint="eastAsia" w:hAnsi="宋体"/>
          <w:b/>
          <w:color w:val="auto"/>
          <w:kern w:val="0"/>
          <w:sz w:val="28"/>
          <w:szCs w:val="28"/>
          <w:highlight w:val="none"/>
        </w:rPr>
        <w:sectPr>
          <w:headerReference r:id="rId3" w:type="default"/>
          <w:footerReference r:id="rId4" w:type="default"/>
          <w:pgSz w:w="11906" w:h="16838"/>
          <w:pgMar w:top="1013" w:right="1295" w:bottom="329" w:left="1371" w:header="851" w:footer="687" w:gutter="0"/>
          <w:pgBorders>
            <w:top w:val="none" w:sz="0" w:space="0"/>
            <w:left w:val="none" w:sz="0" w:space="0"/>
            <w:bottom w:val="none" w:sz="0" w:space="0"/>
            <w:right w:val="none" w:sz="0" w:space="0"/>
          </w:pgBorders>
          <w:cols w:space="0" w:num="1"/>
          <w:rtlGutter w:val="0"/>
          <w:docGrid w:type="lines" w:linePitch="312" w:charSpace="0"/>
        </w:sectPr>
      </w:pPr>
    </w:p>
    <w:p>
      <w:pPr>
        <w:pStyle w:val="14"/>
        <w:snapToGrid w:val="0"/>
        <w:spacing w:before="120" w:after="120" w:line="360" w:lineRule="auto"/>
        <w:outlineLvl w:val="2"/>
        <w:rPr>
          <w:color w:val="auto"/>
          <w:highlight w:val="none"/>
        </w:rPr>
      </w:pPr>
      <w:r>
        <w:rPr>
          <w:rFonts w:hint="eastAsia" w:hAnsi="宋体"/>
          <w:b/>
          <w:color w:val="auto"/>
          <w:sz w:val="30"/>
          <w:szCs w:val="30"/>
          <w:highlight w:val="none"/>
          <w:lang w:val="en-GB"/>
        </w:rPr>
        <w:t>附件</w:t>
      </w:r>
      <w:r>
        <w:rPr>
          <w:rFonts w:hint="eastAsia" w:hAnsi="宋体"/>
          <w:b/>
          <w:color w:val="auto"/>
          <w:sz w:val="30"/>
          <w:szCs w:val="30"/>
          <w:highlight w:val="none"/>
          <w:lang w:val="en-US" w:eastAsia="zh-CN"/>
        </w:rPr>
        <w:t>2</w:t>
      </w:r>
      <w:r>
        <w:rPr>
          <w:rFonts w:hint="eastAsia" w:hAnsi="宋体"/>
          <w:b/>
          <w:color w:val="auto"/>
          <w:sz w:val="30"/>
          <w:szCs w:val="30"/>
          <w:highlight w:val="none"/>
        </w:rPr>
        <w:t xml:space="preserve"> 采购项目自评分索引表（范例）  </w:t>
      </w:r>
      <w:r>
        <w:rPr>
          <w:rFonts w:hint="eastAsia"/>
          <w:b/>
          <w:bCs/>
          <w:color w:val="auto"/>
          <w:highlight w:val="none"/>
        </w:rPr>
        <w:t xml:space="preserve"> </w:t>
      </w:r>
      <w:r>
        <w:rPr>
          <w:rFonts w:hint="eastAsia"/>
          <w:color w:val="auto"/>
          <w:highlight w:val="none"/>
        </w:rPr>
        <w:t xml:space="preserve">               </w:t>
      </w:r>
    </w:p>
    <w:p>
      <w:pPr>
        <w:jc w:val="center"/>
        <w:rPr>
          <w:rFonts w:ascii="宋体" w:hAnsi="宋体"/>
          <w:b/>
          <w:color w:val="auto"/>
          <w:sz w:val="24"/>
          <w:highlight w:val="none"/>
        </w:rPr>
      </w:pPr>
      <w:r>
        <w:rPr>
          <w:rFonts w:hint="eastAsia" w:ascii="宋体" w:hAnsi="宋体"/>
          <w:b/>
          <w:color w:val="auto"/>
          <w:sz w:val="30"/>
          <w:szCs w:val="30"/>
          <w:highlight w:val="none"/>
        </w:rPr>
        <w:t>采购项目自评分索引表（范例）</w:t>
      </w:r>
    </w:p>
    <w:p>
      <w:pPr>
        <w:snapToGrid w:val="0"/>
        <w:spacing w:before="100" w:beforeAutospacing="1" w:after="100" w:afterAutospacing="1" w:line="400" w:lineRule="exact"/>
        <w:jc w:val="left"/>
        <w:rPr>
          <w:rFonts w:ascii="宋体" w:hAnsi="宋体"/>
          <w:color w:val="auto"/>
          <w:spacing w:val="-4"/>
          <w:sz w:val="24"/>
          <w:highlight w:val="none"/>
        </w:rPr>
      </w:pPr>
      <w:r>
        <w:rPr>
          <w:rFonts w:hint="eastAsia" w:ascii="宋体" w:hAnsi="宋体"/>
          <w:b/>
          <w:color w:val="auto"/>
          <w:spacing w:val="-4"/>
          <w:sz w:val="24"/>
          <w:highlight w:val="none"/>
        </w:rPr>
        <w:t>（本采购项目评分索引表</w:t>
      </w:r>
      <w:r>
        <w:rPr>
          <w:rFonts w:ascii="宋体" w:hAnsi="宋体"/>
          <w:b/>
          <w:color w:val="auto"/>
          <w:spacing w:val="-4"/>
          <w:sz w:val="24"/>
          <w:highlight w:val="none"/>
        </w:rPr>
        <w:t>放在商务技术文件目录的前</w:t>
      </w:r>
      <w:r>
        <w:rPr>
          <w:rFonts w:hint="eastAsia" w:ascii="宋体" w:hAnsi="宋体"/>
          <w:b/>
          <w:color w:val="auto"/>
          <w:spacing w:val="-4"/>
          <w:sz w:val="24"/>
          <w:highlight w:val="none"/>
        </w:rPr>
        <w:t>页</w:t>
      </w:r>
      <w:r>
        <w:rPr>
          <w:rFonts w:ascii="宋体" w:hAnsi="宋体"/>
          <w:b/>
          <w:color w:val="auto"/>
          <w:spacing w:val="-4"/>
          <w:sz w:val="24"/>
          <w:highlight w:val="none"/>
        </w:rPr>
        <w:t>，</w:t>
      </w:r>
      <w:r>
        <w:rPr>
          <w:rFonts w:hint="eastAsia" w:ascii="宋体" w:hAnsi="宋体"/>
          <w:b/>
          <w:color w:val="auto"/>
          <w:spacing w:val="-4"/>
          <w:sz w:val="24"/>
          <w:highlight w:val="none"/>
        </w:rPr>
        <w:t>以方便评委进行评审)</w:t>
      </w:r>
    </w:p>
    <w:p>
      <w:pPr>
        <w:rPr>
          <w:rFonts w:ascii="宋体" w:hAnsi="宋体"/>
          <w:b/>
          <w:color w:val="auto"/>
          <w:sz w:val="24"/>
          <w:highlight w:val="none"/>
        </w:rPr>
      </w:pPr>
      <w:r>
        <w:rPr>
          <w:rFonts w:hint="eastAsia" w:ascii="宋体" w:hAnsi="宋体"/>
          <w:b/>
          <w:color w:val="auto"/>
          <w:sz w:val="24"/>
          <w:highlight w:val="none"/>
        </w:rPr>
        <w:t>项目名称：</w:t>
      </w:r>
    </w:p>
    <w:p>
      <w:pPr>
        <w:rPr>
          <w:rFonts w:ascii="宋体" w:hAnsi="宋体"/>
          <w:b/>
          <w:color w:val="auto"/>
          <w:sz w:val="24"/>
          <w:highlight w:val="none"/>
        </w:rPr>
      </w:pPr>
    </w:p>
    <w:p>
      <w:pPr>
        <w:rPr>
          <w:rFonts w:ascii="宋体" w:hAnsi="宋体"/>
          <w:b/>
          <w:color w:val="auto"/>
          <w:sz w:val="24"/>
          <w:highlight w:val="none"/>
        </w:rPr>
      </w:pPr>
      <w:r>
        <w:rPr>
          <w:rFonts w:hint="eastAsia" w:ascii="宋体" w:hAnsi="宋体"/>
          <w:b/>
          <w:color w:val="auto"/>
          <w:sz w:val="24"/>
          <w:highlight w:val="none"/>
        </w:rPr>
        <w:t>投标人名称：</w:t>
      </w:r>
    </w:p>
    <w:p>
      <w:pPr>
        <w:rPr>
          <w:color w:val="auto"/>
          <w:highlight w:val="none"/>
        </w:rPr>
      </w:pPr>
      <w:r>
        <w:rPr>
          <w:rFonts w:hint="eastAsia"/>
          <w:color w:val="auto"/>
          <w:highlight w:val="none"/>
        </w:rPr>
        <w:t xml:space="preserve">       </w:t>
      </w:r>
    </w:p>
    <w:tbl>
      <w:tblPr>
        <w:tblStyle w:val="25"/>
        <w:tblW w:w="0" w:type="auto"/>
        <w:jc w:val="center"/>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自评</w:t>
            </w:r>
          </w:p>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评分</w:t>
            </w:r>
          </w:p>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评分对</w:t>
            </w:r>
          </w:p>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应页码</w:t>
            </w:r>
          </w:p>
        </w:tc>
      </w:tr>
      <w:tr>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r>
      <w:tr>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r>
      <w:tr>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r>
      <w:tr>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宋体" w:hAnsi="宋体"/>
                <w:color w:val="auto"/>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注：评审项目、评分标准、分值对应“第三章 评审办法及评审标准”商务与技术文件评审内容。</w:t>
      </w:r>
    </w:p>
    <w:p>
      <w:pPr>
        <w:pStyle w:val="24"/>
        <w:tabs>
          <w:tab w:val="left" w:pos="720"/>
          <w:tab w:val="left" w:pos="1260"/>
          <w:tab w:val="left" w:pos="2160"/>
          <w:tab w:val="left" w:pos="2880"/>
          <w:tab w:val="left" w:pos="3600"/>
          <w:tab w:val="left" w:pos="4320"/>
          <w:tab w:val="left" w:pos="5040"/>
          <w:tab w:val="left" w:pos="5760"/>
        </w:tabs>
        <w:rPr>
          <w:color w:val="auto"/>
          <w:highlight w:val="none"/>
        </w:rPr>
      </w:pPr>
    </w:p>
    <w:p>
      <w:pPr>
        <w:pStyle w:val="14"/>
        <w:snapToGrid w:val="0"/>
        <w:spacing w:before="120" w:after="120" w:line="360" w:lineRule="auto"/>
        <w:outlineLvl w:val="2"/>
        <w:rPr>
          <w:rFonts w:hint="eastAsia" w:hAnsi="宋体"/>
          <w:b/>
          <w:color w:val="auto"/>
          <w:kern w:val="0"/>
          <w:sz w:val="28"/>
          <w:szCs w:val="28"/>
          <w:highlight w:val="none"/>
        </w:rPr>
        <w:sectPr>
          <w:pgSz w:w="11906" w:h="16838"/>
          <w:pgMar w:top="1013" w:right="1295" w:bottom="329" w:left="1371" w:header="851" w:footer="687" w:gutter="0"/>
          <w:pgBorders>
            <w:top w:val="none" w:sz="0" w:space="0"/>
            <w:left w:val="none" w:sz="0" w:space="0"/>
            <w:bottom w:val="none" w:sz="0" w:space="0"/>
            <w:right w:val="none" w:sz="0" w:space="0"/>
          </w:pgBorders>
          <w:cols w:space="0" w:num="1"/>
          <w:rtlGutter w:val="0"/>
          <w:docGrid w:type="lines" w:linePitch="312" w:charSpace="0"/>
        </w:sectPr>
      </w:pPr>
    </w:p>
    <w:p>
      <w:pPr>
        <w:pStyle w:val="14"/>
        <w:snapToGrid w:val="0"/>
        <w:spacing w:before="120" w:after="120" w:line="360" w:lineRule="auto"/>
        <w:outlineLvl w:val="2"/>
        <w:rPr>
          <w:rFonts w:hAnsi="宋体"/>
          <w:b/>
          <w:color w:val="auto"/>
          <w:sz w:val="30"/>
          <w:szCs w:val="30"/>
          <w:highlight w:val="none"/>
        </w:rPr>
      </w:pPr>
      <w:r>
        <w:rPr>
          <w:rFonts w:hint="eastAsia" w:hAnsi="宋体"/>
          <w:b/>
          <w:color w:val="auto"/>
          <w:kern w:val="0"/>
          <w:sz w:val="28"/>
          <w:szCs w:val="28"/>
          <w:highlight w:val="none"/>
        </w:rPr>
        <w:t>附件</w:t>
      </w:r>
      <w:r>
        <w:rPr>
          <w:rFonts w:hint="eastAsia" w:hAnsi="宋体"/>
          <w:b/>
          <w:color w:val="auto"/>
          <w:kern w:val="0"/>
          <w:sz w:val="28"/>
          <w:szCs w:val="28"/>
          <w:highlight w:val="none"/>
          <w:lang w:val="en-US" w:eastAsia="zh-CN"/>
        </w:rPr>
        <w:t>3</w:t>
      </w:r>
      <w:r>
        <w:rPr>
          <w:rFonts w:hint="eastAsia" w:hAnsi="宋体"/>
          <w:b/>
          <w:color w:val="auto"/>
          <w:sz w:val="30"/>
          <w:szCs w:val="30"/>
          <w:highlight w:val="none"/>
        </w:rPr>
        <w:t xml:space="preserve"> 磋商响应文件目录</w:t>
      </w:r>
    </w:p>
    <w:p>
      <w:pPr>
        <w:pStyle w:val="14"/>
        <w:snapToGrid w:val="0"/>
        <w:spacing w:before="120" w:after="120" w:line="360" w:lineRule="auto"/>
        <w:jc w:val="center"/>
        <w:rPr>
          <w:rFonts w:hAnsi="宋体"/>
          <w:b/>
          <w:bCs/>
          <w:color w:val="auto"/>
          <w:sz w:val="32"/>
          <w:szCs w:val="32"/>
          <w:highlight w:val="none"/>
        </w:rPr>
      </w:pPr>
      <w:r>
        <w:rPr>
          <w:rFonts w:hint="eastAsia" w:hAnsi="宋体"/>
          <w:b/>
          <w:bCs/>
          <w:color w:val="auto"/>
          <w:sz w:val="32"/>
          <w:szCs w:val="32"/>
          <w:highlight w:val="none"/>
        </w:rPr>
        <w:t>磋商响应文件目录</w:t>
      </w:r>
    </w:p>
    <w:p>
      <w:pPr>
        <w:snapToGrid w:val="0"/>
        <w:spacing w:line="360" w:lineRule="auto"/>
        <w:ind w:firstLine="482" w:firstLineChars="200"/>
        <w:jc w:val="center"/>
        <w:rPr>
          <w:rFonts w:ascii="宋体" w:hAnsi="宋体" w:cs="宋体"/>
          <w:color w:val="auto"/>
          <w:kern w:val="0"/>
          <w:sz w:val="24"/>
          <w:highlight w:val="none"/>
        </w:rPr>
      </w:pPr>
      <w:r>
        <w:rPr>
          <w:rFonts w:hint="eastAsia" w:ascii="宋体" w:hAnsi="宋体"/>
          <w:b/>
          <w:bCs/>
          <w:color w:val="auto"/>
          <w:sz w:val="24"/>
          <w:highlight w:val="none"/>
        </w:rPr>
        <w:t>（目录依据投标文件组成内容自行编制）</w:t>
      </w:r>
    </w:p>
    <w:p>
      <w:pPr>
        <w:snapToGrid w:val="0"/>
        <w:spacing w:line="360" w:lineRule="auto"/>
        <w:ind w:left="791" w:leftChars="223" w:hanging="323" w:hangingChars="154"/>
        <w:rPr>
          <w:rFonts w:ascii="宋体" w:hAnsi="宋体" w:cs="宋体"/>
          <w:color w:val="auto"/>
          <w:kern w:val="0"/>
          <w:szCs w:val="21"/>
          <w:highlight w:val="none"/>
        </w:rPr>
      </w:pPr>
      <w:r>
        <w:rPr>
          <w:rFonts w:hint="eastAsia" w:ascii="宋体" w:hAnsi="宋体" w:cs="宋体"/>
          <w:color w:val="auto"/>
          <w:kern w:val="0"/>
          <w:szCs w:val="21"/>
          <w:highlight w:val="none"/>
        </w:rPr>
        <w:t>（以上内容具体描述详见“第二章 供应商须知”中“二、磋商响应文件”的组成说明）</w:t>
      </w:r>
    </w:p>
    <w:p>
      <w:pPr>
        <w:spacing w:line="360" w:lineRule="auto"/>
        <w:ind w:left="420"/>
        <w:rPr>
          <w:rFonts w:ascii="宋体" w:hAnsi="宋体"/>
          <w:b/>
          <w:color w:val="auto"/>
          <w:sz w:val="28"/>
          <w:highlight w:val="none"/>
        </w:rPr>
      </w:pPr>
    </w:p>
    <w:p>
      <w:pPr>
        <w:pStyle w:val="14"/>
        <w:snapToGrid w:val="0"/>
        <w:spacing w:before="120" w:after="120" w:line="360" w:lineRule="auto"/>
        <w:outlineLvl w:val="2"/>
        <w:rPr>
          <w:rFonts w:hint="eastAsia"/>
          <w:color w:val="auto"/>
          <w:highlight w:val="none"/>
        </w:rPr>
      </w:pPr>
      <w:r>
        <w:rPr>
          <w:rFonts w:hint="eastAsia"/>
          <w:color w:val="auto"/>
          <w:highlight w:val="none"/>
        </w:rPr>
        <w:br w:type="page"/>
      </w:r>
    </w:p>
    <w:p>
      <w:pPr>
        <w:pStyle w:val="14"/>
        <w:snapToGrid w:val="0"/>
        <w:spacing w:before="120" w:after="120" w:line="360" w:lineRule="auto"/>
        <w:outlineLvl w:val="2"/>
        <w:rPr>
          <w:rFonts w:hAnsi="宋体"/>
          <w:b/>
          <w:color w:val="auto"/>
          <w:sz w:val="28"/>
          <w:highlight w:val="none"/>
        </w:rPr>
      </w:pPr>
      <w:r>
        <w:rPr>
          <w:rFonts w:hint="eastAsia" w:hAnsi="宋体"/>
          <w:b/>
          <w:color w:val="auto"/>
          <w:sz w:val="28"/>
          <w:highlight w:val="none"/>
        </w:rPr>
        <w:t>附件</w:t>
      </w:r>
      <w:r>
        <w:rPr>
          <w:rFonts w:hint="eastAsia" w:hAnsi="宋体"/>
          <w:b/>
          <w:color w:val="auto"/>
          <w:sz w:val="28"/>
          <w:highlight w:val="none"/>
          <w:lang w:val="en-US" w:eastAsia="zh-CN"/>
        </w:rPr>
        <w:t>4</w:t>
      </w:r>
      <w:r>
        <w:rPr>
          <w:rFonts w:hint="eastAsia" w:hAnsi="宋体"/>
          <w:b/>
          <w:color w:val="auto"/>
          <w:sz w:val="28"/>
          <w:highlight w:val="none"/>
        </w:rPr>
        <w:t xml:space="preserve"> 磋商说明书</w:t>
      </w:r>
    </w:p>
    <w:p>
      <w:pPr>
        <w:snapToGrid w:val="0"/>
        <w:spacing w:beforeLines="50" w:after="50" w:line="360" w:lineRule="auto"/>
        <w:ind w:firstLine="643" w:firstLineChars="200"/>
        <w:jc w:val="center"/>
        <w:rPr>
          <w:rStyle w:val="31"/>
          <w:b/>
          <w:color w:val="auto"/>
          <w:sz w:val="32"/>
          <w:szCs w:val="32"/>
          <w:highlight w:val="none"/>
          <w:u w:val="none"/>
        </w:rPr>
      </w:pPr>
      <w:r>
        <w:rPr>
          <w:rStyle w:val="31"/>
          <w:rFonts w:hint="eastAsia"/>
          <w:b/>
          <w:color w:val="auto"/>
          <w:sz w:val="32"/>
          <w:szCs w:val="32"/>
          <w:highlight w:val="none"/>
          <w:u w:val="none"/>
        </w:rPr>
        <w:t>磋商声明书</w:t>
      </w:r>
    </w:p>
    <w:p>
      <w:pPr>
        <w:snapToGrid w:val="0"/>
        <w:spacing w:beforeLines="50" w:after="50" w:line="288"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r>
        <w:rPr>
          <w:rFonts w:hint="eastAsia" w:ascii="宋体" w:hAnsi="宋体" w:cs="宋体"/>
          <w:color w:val="auto"/>
          <w:kern w:val="0"/>
          <w:sz w:val="24"/>
          <w:highlight w:val="none"/>
          <w:u w:val="single"/>
        </w:rPr>
        <w:t xml:space="preserve">                 。</w:t>
      </w:r>
    </w:p>
    <w:p>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（磋商</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 xml:space="preserve">）（编号为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）的磋商，为此，我公司就本次磋商有关事项郑重声明如下：</w:t>
      </w:r>
    </w:p>
    <w:p>
      <w:pPr>
        <w:numPr>
          <w:ilvl w:val="0"/>
          <w:numId w:val="6"/>
        </w:numPr>
        <w:snapToGrid w:val="0"/>
        <w:spacing w:beforeLines="50" w:after="50" w:line="288"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6"/>
        </w:num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磋商</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磋商采购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Lines="50" w:after="50" w:line="288"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Lines="50" w:after="50" w:line="288"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4"/>
          <w:highlight w:val="none"/>
        </w:rPr>
      </w:pP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pStyle w:val="3"/>
        <w:rPr>
          <w:rFonts w:ascii="宋体" w:hAnsi="宋体" w:cs="仿宋_GB2312"/>
          <w:color w:val="auto"/>
          <w:kern w:val="0"/>
          <w:sz w:val="24"/>
          <w:highlight w:val="none"/>
          <w:lang w:val="zh-CN"/>
        </w:rPr>
      </w:pPr>
    </w:p>
    <w:p>
      <w:pPr>
        <w:pStyle w:val="3"/>
        <w:rPr>
          <w:rFonts w:ascii="宋体" w:hAnsi="宋体" w:cs="仿宋_GB2312"/>
          <w:color w:val="auto"/>
          <w:kern w:val="0"/>
          <w:sz w:val="24"/>
          <w:highlight w:val="none"/>
          <w:lang w:val="zh-CN"/>
        </w:rPr>
      </w:pPr>
    </w:p>
    <w:p>
      <w:pPr>
        <w:pStyle w:val="3"/>
        <w:rPr>
          <w:rFonts w:ascii="宋体" w:hAnsi="宋体" w:cs="仿宋_GB2312"/>
          <w:color w:val="auto"/>
          <w:kern w:val="0"/>
          <w:sz w:val="24"/>
          <w:highlight w:val="none"/>
          <w:lang w:val="zh-CN"/>
        </w:rPr>
      </w:pPr>
    </w:p>
    <w:p>
      <w:pPr>
        <w:adjustRightInd w:val="0"/>
        <w:snapToGrid w:val="0"/>
        <w:spacing w:line="360" w:lineRule="auto"/>
        <w:ind w:right="480"/>
        <w:rPr>
          <w:rFonts w:ascii="宋体" w:hAnsi="宋体"/>
          <w:b/>
          <w:color w:val="auto"/>
          <w:sz w:val="28"/>
          <w:highlight w:val="none"/>
        </w:rPr>
      </w:pPr>
    </w:p>
    <w:p>
      <w:pPr>
        <w:pStyle w:val="3"/>
        <w:rPr>
          <w:color w:val="auto"/>
          <w:highlight w:val="none"/>
        </w:rPr>
      </w:pPr>
    </w:p>
    <w:p>
      <w:pPr>
        <w:pStyle w:val="2"/>
        <w:rPr>
          <w:color w:val="auto"/>
          <w:highlight w:val="none"/>
        </w:rPr>
      </w:pPr>
    </w:p>
    <w:p>
      <w:pPr>
        <w:pStyle w:val="14"/>
        <w:snapToGrid w:val="0"/>
        <w:spacing w:before="120" w:after="120" w:line="360" w:lineRule="auto"/>
        <w:outlineLvl w:val="2"/>
        <w:rPr>
          <w:b/>
          <w:color w:val="auto"/>
          <w:sz w:val="30"/>
          <w:szCs w:val="30"/>
          <w:highlight w:val="none"/>
        </w:rPr>
      </w:pPr>
      <w:r>
        <w:rPr>
          <w:rFonts w:hint="eastAsia" w:hAnsi="宋体"/>
          <w:b/>
          <w:color w:val="auto"/>
          <w:sz w:val="28"/>
          <w:highlight w:val="none"/>
        </w:rPr>
        <w:t>附件</w:t>
      </w:r>
      <w:r>
        <w:rPr>
          <w:rFonts w:hint="eastAsia" w:hAnsi="宋体"/>
          <w:b/>
          <w:color w:val="auto"/>
          <w:sz w:val="28"/>
          <w:highlight w:val="none"/>
          <w:lang w:val="en-US" w:eastAsia="zh-CN"/>
        </w:rPr>
        <w:t>5</w:t>
      </w:r>
      <w:r>
        <w:rPr>
          <w:rFonts w:hint="eastAsia" w:hAnsi="宋体"/>
          <w:b/>
          <w:color w:val="auto"/>
          <w:sz w:val="28"/>
          <w:highlight w:val="none"/>
        </w:rPr>
        <w:t xml:space="preserve"> 授权委托书</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Lines="50" w:after="50" w:line="288" w:lineRule="auto"/>
        <w:rPr>
          <w:rFonts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pStyle w:val="14"/>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项目的采购活动，并代表我方全权办理针对上述项目的磋商、签约等具体事务和签署相关文件。</w:t>
      </w:r>
      <w:r>
        <w:rPr>
          <w:rFonts w:hint="eastAsia" w:hAnsi="宋体"/>
          <w:color w:val="auto"/>
          <w:sz w:val="24"/>
          <w:highlight w:val="none"/>
        </w:rPr>
        <w:t>我方对全权代表的签字事项负全部责任。</w:t>
      </w:r>
    </w:p>
    <w:p>
      <w:pPr>
        <w:pStyle w:val="14"/>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4"/>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pStyle w:val="14"/>
        <w:snapToGrid w:val="0"/>
        <w:spacing w:before="120" w:after="120" w:line="360" w:lineRule="auto"/>
        <w:outlineLvl w:val="2"/>
        <w:rPr>
          <w:b/>
          <w:color w:val="auto"/>
          <w:sz w:val="28"/>
          <w:highlight w:val="none"/>
        </w:rPr>
      </w:pPr>
      <w:r>
        <w:rPr>
          <w:rFonts w:hint="eastAsia"/>
          <w:b/>
          <w:color w:val="auto"/>
          <w:sz w:val="28"/>
          <w:highlight w:val="none"/>
        </w:rPr>
        <w:br w:type="page"/>
      </w: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28"/>
          <w:highlight w:val="none"/>
        </w:rPr>
        <w:t xml:space="preserve">供应商基本情况表       </w:t>
      </w:r>
    </w:p>
    <w:p>
      <w:pPr>
        <w:pStyle w:val="54"/>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 xml:space="preserve">  供应商</w:t>
      </w:r>
      <w:r>
        <w:rPr>
          <w:rFonts w:hint="eastAsia"/>
          <w:b/>
          <w:bCs/>
          <w:color w:val="auto"/>
          <w:spacing w:val="21"/>
          <w:sz w:val="32"/>
          <w:szCs w:val="32"/>
          <w:highlight w:val="none"/>
        </w:rPr>
        <w:t>基本情况表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4"/>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54"/>
              <w:shd w:val="clear" w:color="auto" w:fill="FFFFFF"/>
              <w:spacing w:line="360" w:lineRule="auto"/>
              <w:rPr>
                <w:bCs/>
                <w:color w:val="auto"/>
                <w:highlight w:val="none"/>
              </w:rPr>
            </w:pPr>
          </w:p>
        </w:tc>
        <w:tc>
          <w:tcPr>
            <w:tcW w:w="2001" w:type="dxa"/>
            <w:gridSpan w:val="3"/>
          </w:tcPr>
          <w:p>
            <w:pPr>
              <w:pStyle w:val="54"/>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54"/>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4"/>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54"/>
              <w:shd w:val="clear" w:color="auto" w:fill="FFFFFF"/>
              <w:spacing w:line="360" w:lineRule="auto"/>
              <w:rPr>
                <w:bCs/>
                <w:color w:val="auto"/>
                <w:spacing w:val="16"/>
                <w:highlight w:val="none"/>
              </w:rPr>
            </w:pPr>
          </w:p>
        </w:tc>
        <w:tc>
          <w:tcPr>
            <w:tcW w:w="2001" w:type="dxa"/>
            <w:gridSpan w:val="3"/>
          </w:tcPr>
          <w:p>
            <w:pPr>
              <w:pStyle w:val="54"/>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54"/>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54"/>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4"/>
              <w:shd w:val="clear" w:color="auto" w:fill="FFFFFF"/>
              <w:spacing w:line="360" w:lineRule="auto"/>
              <w:rPr>
                <w:bCs/>
                <w:color w:val="auto"/>
                <w:spacing w:val="16"/>
                <w:highlight w:val="none"/>
              </w:rPr>
            </w:pPr>
          </w:p>
        </w:tc>
        <w:tc>
          <w:tcPr>
            <w:tcW w:w="2001" w:type="dxa"/>
            <w:gridSpan w:val="3"/>
          </w:tcPr>
          <w:p>
            <w:pPr>
              <w:pStyle w:val="54"/>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54"/>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4"/>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54"/>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4"/>
              <w:shd w:val="clear" w:color="auto" w:fill="FFFFFF"/>
              <w:spacing w:line="360" w:lineRule="auto"/>
              <w:rPr>
                <w:bCs/>
                <w:color w:val="auto"/>
                <w:spacing w:val="16"/>
                <w:highlight w:val="none"/>
              </w:rPr>
            </w:pPr>
          </w:p>
        </w:tc>
        <w:tc>
          <w:tcPr>
            <w:tcW w:w="2001" w:type="dxa"/>
            <w:gridSpan w:val="3"/>
            <w:vMerge w:val="restart"/>
          </w:tcPr>
          <w:p>
            <w:pPr>
              <w:pStyle w:val="54"/>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54"/>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4"/>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54"/>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54"/>
              <w:shd w:val="clear" w:color="auto" w:fill="FFFFFF"/>
              <w:spacing w:line="360" w:lineRule="auto"/>
              <w:rPr>
                <w:bCs/>
                <w:color w:val="auto"/>
                <w:spacing w:val="16"/>
                <w:highlight w:val="none"/>
              </w:rPr>
            </w:pPr>
          </w:p>
        </w:tc>
        <w:tc>
          <w:tcPr>
            <w:tcW w:w="2001" w:type="dxa"/>
            <w:gridSpan w:val="3"/>
            <w:vMerge w:val="continue"/>
            <w:tcBorders>
              <w:bottom w:val="single" w:color="auto" w:sz="4" w:space="0"/>
            </w:tcBorders>
          </w:tcPr>
          <w:p>
            <w:pPr>
              <w:pStyle w:val="54"/>
              <w:shd w:val="clear" w:color="auto" w:fill="FFFFFF"/>
              <w:spacing w:line="360" w:lineRule="auto"/>
              <w:rPr>
                <w:bCs/>
                <w:color w:val="auto"/>
                <w:spacing w:val="16"/>
                <w:highlight w:val="none"/>
              </w:rPr>
            </w:pPr>
          </w:p>
        </w:tc>
        <w:tc>
          <w:tcPr>
            <w:tcW w:w="2151" w:type="dxa"/>
            <w:gridSpan w:val="2"/>
            <w:vMerge w:val="continue"/>
            <w:tcBorders>
              <w:bottom w:val="single" w:color="auto" w:sz="4" w:space="0"/>
            </w:tcBorders>
          </w:tcPr>
          <w:p>
            <w:pPr>
              <w:pStyle w:val="54"/>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54"/>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54"/>
              <w:shd w:val="clear" w:color="auto" w:fill="FFFFFF"/>
              <w:spacing w:line="360" w:lineRule="auto"/>
              <w:ind w:left="107"/>
              <w:rPr>
                <w:bCs/>
                <w:color w:val="auto"/>
                <w:highlight w:val="none"/>
              </w:rPr>
            </w:pPr>
            <w:r>
              <w:rPr>
                <w:rFonts w:hint="eastAsia"/>
                <w:bCs/>
                <w:color w:val="auto"/>
                <w:highlight w:val="none"/>
              </w:rPr>
              <w:t>企</w:t>
            </w:r>
          </w:p>
          <w:p>
            <w:pPr>
              <w:pStyle w:val="54"/>
              <w:shd w:val="clear" w:color="auto" w:fill="FFFFFF"/>
              <w:spacing w:line="360" w:lineRule="auto"/>
              <w:ind w:left="107"/>
              <w:rPr>
                <w:bCs/>
                <w:color w:val="auto"/>
                <w:highlight w:val="none"/>
              </w:rPr>
            </w:pPr>
            <w:r>
              <w:rPr>
                <w:rFonts w:hint="eastAsia"/>
                <w:bCs/>
                <w:color w:val="auto"/>
                <w:highlight w:val="none"/>
              </w:rPr>
              <w:t>业</w:t>
            </w:r>
          </w:p>
          <w:p>
            <w:pPr>
              <w:pStyle w:val="54"/>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54"/>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single" w:color="auto" w:sz="4" w:space="0"/>
            </w:tcBorders>
          </w:tcPr>
          <w:p>
            <w:pPr>
              <w:pStyle w:val="54"/>
              <w:shd w:val="clear" w:color="auto" w:fill="FFFFFF"/>
              <w:spacing w:line="360" w:lineRule="auto"/>
              <w:rPr>
                <w:bCs/>
                <w:color w:val="auto"/>
                <w:spacing w:val="16"/>
                <w:highlight w:val="none"/>
              </w:rPr>
            </w:pPr>
          </w:p>
        </w:tc>
        <w:tc>
          <w:tcPr>
            <w:tcW w:w="1163" w:type="dxa"/>
            <w:tcBorders>
              <w:top w:val="single" w:color="auto" w:sz="4" w:space="0"/>
            </w:tcBorders>
          </w:tcPr>
          <w:p>
            <w:pPr>
              <w:pStyle w:val="54"/>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54"/>
              <w:shd w:val="clear" w:color="auto" w:fill="FFFFFF"/>
              <w:spacing w:line="360" w:lineRule="auto"/>
              <w:rPr>
                <w:bCs/>
                <w:color w:val="auto"/>
                <w:spacing w:val="16"/>
                <w:highlight w:val="none"/>
              </w:rPr>
            </w:pPr>
          </w:p>
        </w:tc>
        <w:tc>
          <w:tcPr>
            <w:tcW w:w="2001" w:type="dxa"/>
            <w:gridSpan w:val="3"/>
            <w:tcBorders>
              <w:top w:val="single" w:color="auto" w:sz="4" w:space="0"/>
            </w:tcBorders>
          </w:tcPr>
          <w:p>
            <w:pPr>
              <w:pStyle w:val="54"/>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4"/>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54"/>
              <w:shd w:val="clear" w:color="auto" w:fill="FFFFFF"/>
              <w:spacing w:line="360" w:lineRule="auto"/>
              <w:ind w:left="107"/>
              <w:rPr>
                <w:bCs/>
                <w:color w:val="auto"/>
                <w:highlight w:val="none"/>
              </w:rPr>
            </w:pPr>
          </w:p>
        </w:tc>
        <w:tc>
          <w:tcPr>
            <w:tcW w:w="701" w:type="dxa"/>
          </w:tcPr>
          <w:p>
            <w:pPr>
              <w:pStyle w:val="54"/>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54"/>
              <w:shd w:val="clear" w:color="auto" w:fill="FFFFFF"/>
              <w:spacing w:line="360" w:lineRule="auto"/>
              <w:rPr>
                <w:bCs/>
                <w:color w:val="auto"/>
                <w:highlight w:val="none"/>
              </w:rPr>
            </w:pPr>
          </w:p>
        </w:tc>
        <w:tc>
          <w:tcPr>
            <w:tcW w:w="1163" w:type="dxa"/>
          </w:tcPr>
          <w:p>
            <w:pPr>
              <w:pStyle w:val="54"/>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54"/>
              <w:shd w:val="clear" w:color="auto" w:fill="FFFFFF"/>
              <w:spacing w:line="360" w:lineRule="auto"/>
              <w:rPr>
                <w:bCs/>
                <w:color w:val="auto"/>
                <w:spacing w:val="16"/>
                <w:highlight w:val="none"/>
              </w:rPr>
            </w:pPr>
            <w:r>
              <w:rPr>
                <w:rFonts w:hint="eastAsia"/>
                <w:bCs/>
                <w:color w:val="auto"/>
                <w:spacing w:val="16"/>
                <w:highlight w:val="none"/>
              </w:rPr>
              <w:t xml:space="preserve">平方米 </w:t>
            </w:r>
          </w:p>
          <w:p>
            <w:pPr>
              <w:pStyle w:val="54"/>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54"/>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54"/>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4"/>
              <w:shd w:val="clear" w:color="auto" w:fill="FFFFFF"/>
              <w:spacing w:line="360" w:lineRule="auto"/>
              <w:ind w:left="107"/>
              <w:rPr>
                <w:bCs/>
                <w:color w:val="auto"/>
                <w:highlight w:val="none"/>
              </w:rPr>
            </w:pPr>
          </w:p>
        </w:tc>
        <w:tc>
          <w:tcPr>
            <w:tcW w:w="701" w:type="dxa"/>
          </w:tcPr>
          <w:p>
            <w:pPr>
              <w:pStyle w:val="54"/>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54"/>
              <w:shd w:val="clear" w:color="auto" w:fill="FFFFFF"/>
              <w:spacing w:line="360" w:lineRule="auto"/>
              <w:ind w:left="2"/>
              <w:rPr>
                <w:bCs/>
                <w:color w:val="auto"/>
                <w:highlight w:val="none"/>
              </w:rPr>
            </w:pPr>
          </w:p>
        </w:tc>
        <w:tc>
          <w:tcPr>
            <w:tcW w:w="1163" w:type="dxa"/>
          </w:tcPr>
          <w:p>
            <w:pPr>
              <w:pStyle w:val="54"/>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54"/>
              <w:shd w:val="clear" w:color="auto" w:fill="FFFFFF"/>
              <w:spacing w:line="360" w:lineRule="auto"/>
              <w:ind w:left="107"/>
              <w:rPr>
                <w:bCs/>
                <w:color w:val="auto"/>
                <w:highlight w:val="none"/>
              </w:rPr>
            </w:pPr>
          </w:p>
        </w:tc>
        <w:tc>
          <w:tcPr>
            <w:tcW w:w="1218" w:type="dxa"/>
          </w:tcPr>
          <w:p>
            <w:pPr>
              <w:pStyle w:val="54"/>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54"/>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4"/>
              <w:shd w:val="clear" w:color="auto" w:fill="FFFFFF"/>
              <w:spacing w:line="360" w:lineRule="auto"/>
              <w:ind w:left="107"/>
              <w:rPr>
                <w:bCs/>
                <w:color w:val="auto"/>
                <w:highlight w:val="none"/>
              </w:rPr>
            </w:pPr>
          </w:p>
        </w:tc>
        <w:tc>
          <w:tcPr>
            <w:tcW w:w="701" w:type="dxa"/>
          </w:tcPr>
          <w:p>
            <w:pPr>
              <w:pStyle w:val="54"/>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54"/>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4"/>
              <w:shd w:val="clear" w:color="auto" w:fill="FFFFFF"/>
              <w:spacing w:line="360" w:lineRule="auto"/>
              <w:ind w:left="107"/>
              <w:rPr>
                <w:bCs/>
                <w:color w:val="auto"/>
                <w:highlight w:val="none"/>
              </w:rPr>
            </w:pPr>
          </w:p>
        </w:tc>
        <w:tc>
          <w:tcPr>
            <w:tcW w:w="8131" w:type="dxa"/>
            <w:gridSpan w:val="11"/>
          </w:tcPr>
          <w:p>
            <w:pPr>
              <w:pStyle w:val="54"/>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4"/>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54"/>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54"/>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54"/>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54"/>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54"/>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54"/>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54"/>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4"/>
              <w:shd w:val="clear" w:color="auto" w:fill="FFFFFF"/>
              <w:spacing w:line="360" w:lineRule="auto"/>
              <w:ind w:left="107"/>
              <w:rPr>
                <w:bCs/>
                <w:color w:val="auto"/>
                <w:highlight w:val="none"/>
              </w:rPr>
            </w:pPr>
          </w:p>
        </w:tc>
        <w:tc>
          <w:tcPr>
            <w:tcW w:w="1553" w:type="dxa"/>
            <w:gridSpan w:val="2"/>
            <w:vMerge w:val="continue"/>
          </w:tcPr>
          <w:p>
            <w:pPr>
              <w:pStyle w:val="54"/>
              <w:shd w:val="clear" w:color="auto" w:fill="FFFFFF"/>
              <w:spacing w:line="360" w:lineRule="auto"/>
              <w:rPr>
                <w:bCs/>
                <w:color w:val="auto"/>
                <w:highlight w:val="none"/>
              </w:rPr>
            </w:pPr>
          </w:p>
        </w:tc>
        <w:tc>
          <w:tcPr>
            <w:tcW w:w="1333" w:type="dxa"/>
            <w:gridSpan w:val="3"/>
          </w:tcPr>
          <w:p>
            <w:pPr>
              <w:pStyle w:val="54"/>
              <w:shd w:val="clear" w:color="auto" w:fill="FFFFFF"/>
              <w:spacing w:line="360" w:lineRule="auto"/>
              <w:rPr>
                <w:bCs/>
                <w:color w:val="auto"/>
                <w:highlight w:val="none"/>
              </w:rPr>
            </w:pPr>
          </w:p>
        </w:tc>
        <w:tc>
          <w:tcPr>
            <w:tcW w:w="1418" w:type="dxa"/>
            <w:gridSpan w:val="2"/>
          </w:tcPr>
          <w:p>
            <w:pPr>
              <w:pStyle w:val="54"/>
              <w:shd w:val="clear" w:color="auto" w:fill="FFFFFF"/>
              <w:spacing w:line="360" w:lineRule="auto"/>
              <w:rPr>
                <w:bCs/>
                <w:color w:val="auto"/>
                <w:highlight w:val="none"/>
              </w:rPr>
            </w:pPr>
          </w:p>
        </w:tc>
        <w:tc>
          <w:tcPr>
            <w:tcW w:w="1276" w:type="dxa"/>
          </w:tcPr>
          <w:p>
            <w:pPr>
              <w:pStyle w:val="54"/>
              <w:shd w:val="clear" w:color="auto" w:fill="FFFFFF"/>
              <w:spacing w:line="360" w:lineRule="auto"/>
              <w:rPr>
                <w:bCs/>
                <w:color w:val="auto"/>
                <w:highlight w:val="none"/>
              </w:rPr>
            </w:pPr>
          </w:p>
        </w:tc>
        <w:tc>
          <w:tcPr>
            <w:tcW w:w="2551" w:type="dxa"/>
            <w:gridSpan w:val="3"/>
          </w:tcPr>
          <w:p>
            <w:pPr>
              <w:pStyle w:val="54"/>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4"/>
              <w:shd w:val="clear" w:color="auto" w:fill="FFFFFF"/>
              <w:spacing w:line="360" w:lineRule="auto"/>
              <w:ind w:left="107"/>
              <w:rPr>
                <w:bCs/>
                <w:color w:val="auto"/>
                <w:spacing w:val="16"/>
                <w:highlight w:val="none"/>
              </w:rPr>
            </w:pPr>
          </w:p>
        </w:tc>
        <w:tc>
          <w:tcPr>
            <w:tcW w:w="1553" w:type="dxa"/>
            <w:gridSpan w:val="2"/>
          </w:tcPr>
          <w:p>
            <w:pPr>
              <w:pStyle w:val="54"/>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54"/>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4"/>
              <w:shd w:val="clear" w:color="auto" w:fill="FFFFFF"/>
              <w:spacing w:line="360" w:lineRule="auto"/>
              <w:ind w:left="107"/>
              <w:rPr>
                <w:bCs/>
                <w:color w:val="auto"/>
                <w:spacing w:val="27"/>
                <w:highlight w:val="none"/>
              </w:rPr>
            </w:pPr>
          </w:p>
        </w:tc>
        <w:tc>
          <w:tcPr>
            <w:tcW w:w="1553" w:type="dxa"/>
            <w:gridSpan w:val="2"/>
          </w:tcPr>
          <w:p>
            <w:pPr>
              <w:pStyle w:val="54"/>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54"/>
              <w:shd w:val="clear" w:color="auto" w:fill="FFFFFF"/>
              <w:spacing w:line="360" w:lineRule="auto"/>
              <w:rPr>
                <w:bCs/>
                <w:color w:val="auto"/>
                <w:spacing w:val="16"/>
                <w:highlight w:val="none"/>
              </w:rPr>
            </w:pPr>
          </w:p>
        </w:tc>
      </w:tr>
    </w:tbl>
    <w:p>
      <w:pPr>
        <w:pStyle w:val="54"/>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54"/>
        <w:shd w:val="clear" w:color="auto" w:fill="FFFFFF"/>
        <w:spacing w:before="0" w:beforeAutospacing="0" w:after="0" w:afterAutospacing="0" w:line="360" w:lineRule="auto"/>
        <w:ind w:firstLine="424" w:firstLineChars="202"/>
        <w:rPr>
          <w:color w:val="auto"/>
          <w:szCs w:val="21"/>
          <w:highlight w:val="none"/>
        </w:rPr>
      </w:pPr>
      <w:r>
        <w:rPr>
          <w:rFonts w:hint="eastAsia"/>
          <w:color w:val="auto"/>
          <w:sz w:val="21"/>
          <w:szCs w:val="21"/>
          <w:highlight w:val="none"/>
        </w:rPr>
        <w:t>1.在填写时，如本表格不适合投标单位的实际情况，可根据本表格式自行划表填写。</w:t>
      </w:r>
    </w:p>
    <w:p>
      <w:pPr>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ind w:left="420"/>
        <w:rPr>
          <w:rFonts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ind w:firstLine="435"/>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rPr>
          <w:rFonts w:ascii="宋体" w:hAnsi="宋体"/>
          <w:color w:val="auto"/>
          <w:sz w:val="24"/>
          <w:highlight w:val="none"/>
        </w:rPr>
      </w:pPr>
    </w:p>
    <w:p>
      <w:pPr>
        <w:pStyle w:val="54"/>
        <w:shd w:val="clear" w:color="auto" w:fill="FFFFFF"/>
        <w:spacing w:before="0" w:beforeAutospacing="0" w:after="0" w:afterAutospacing="0"/>
        <w:ind w:firstLine="424" w:firstLineChars="177"/>
        <w:rPr>
          <w:color w:val="auto"/>
          <w:highlight w:val="none"/>
          <w:u w:val="single"/>
        </w:rPr>
      </w:pPr>
      <w:r>
        <w:rPr>
          <w:rFonts w:hint="eastAsia"/>
          <w:color w:val="auto"/>
          <w:highlight w:val="none"/>
        </w:rPr>
        <w:t>日        期：</w:t>
      </w:r>
      <w:r>
        <w:rPr>
          <w:rFonts w:hint="eastAsia"/>
          <w:color w:val="auto"/>
          <w:highlight w:val="none"/>
          <w:u w:val="single"/>
        </w:rPr>
        <w:t xml:space="preserve">                            </w:t>
      </w:r>
    </w:p>
    <w:p>
      <w:pPr>
        <w:spacing w:line="360" w:lineRule="auto"/>
        <w:ind w:firstLine="435"/>
        <w:rPr>
          <w:rFonts w:ascii="宋体" w:hAnsi="宋体"/>
          <w:b/>
          <w:color w:val="auto"/>
          <w:sz w:val="28"/>
          <w:highlight w:val="none"/>
        </w:rPr>
      </w:pPr>
    </w:p>
    <w:p>
      <w:pPr>
        <w:spacing w:line="360" w:lineRule="auto"/>
        <w:ind w:firstLine="435"/>
        <w:rPr>
          <w:rFonts w:ascii="宋体" w:hAnsi="宋体"/>
          <w:b/>
          <w:color w:val="auto"/>
          <w:sz w:val="28"/>
          <w:highlight w:val="none"/>
        </w:rPr>
      </w:pPr>
    </w:p>
    <w:p>
      <w:pPr>
        <w:pStyle w:val="3"/>
        <w:rPr>
          <w:color w:val="auto"/>
          <w:highlight w:val="none"/>
        </w:rPr>
      </w:pPr>
    </w:p>
    <w:p>
      <w:pPr>
        <w:pStyle w:val="14"/>
        <w:snapToGrid w:val="0"/>
        <w:spacing w:before="120" w:after="120" w:line="360" w:lineRule="auto"/>
        <w:outlineLvl w:val="2"/>
        <w:rPr>
          <w:rFonts w:hint="eastAsia" w:hAnsi="宋体"/>
          <w:b/>
          <w:color w:val="auto"/>
          <w:sz w:val="28"/>
          <w:highlight w:val="none"/>
        </w:rPr>
        <w:sectPr>
          <w:pgSz w:w="11906" w:h="16838"/>
          <w:pgMar w:top="1013" w:right="1295" w:bottom="329" w:left="1371" w:header="851" w:footer="687" w:gutter="0"/>
          <w:pgBorders>
            <w:top w:val="none" w:sz="0" w:space="0"/>
            <w:left w:val="none" w:sz="0" w:space="0"/>
            <w:bottom w:val="none" w:sz="0" w:space="0"/>
            <w:right w:val="none" w:sz="0" w:space="0"/>
          </w:pgBorders>
          <w:cols w:space="0" w:num="1"/>
          <w:rtlGutter w:val="0"/>
          <w:docGrid w:type="lines" w:linePitch="312" w:charSpace="0"/>
        </w:sectPr>
      </w:pPr>
    </w:p>
    <w:p>
      <w:pPr>
        <w:pStyle w:val="14"/>
        <w:snapToGrid w:val="0"/>
        <w:spacing w:before="120" w:after="120" w:line="360" w:lineRule="auto"/>
        <w:outlineLvl w:val="2"/>
        <w:rPr>
          <w:rFonts w:hAnsi="宋体"/>
          <w:b/>
          <w:color w:val="auto"/>
          <w:sz w:val="32"/>
          <w:szCs w:val="32"/>
          <w:highlight w:val="none"/>
        </w:rPr>
      </w:pPr>
      <w:r>
        <w:rPr>
          <w:rFonts w:hint="eastAsia" w:hAnsi="宋体"/>
          <w:b/>
          <w:color w:val="auto"/>
          <w:sz w:val="28"/>
          <w:highlight w:val="none"/>
        </w:rPr>
        <w:t>附件</w:t>
      </w:r>
      <w:r>
        <w:rPr>
          <w:rFonts w:hint="eastAsia" w:hAnsi="宋体"/>
          <w:b/>
          <w:color w:val="auto"/>
          <w:sz w:val="28"/>
          <w:highlight w:val="none"/>
          <w:lang w:val="en-US" w:eastAsia="zh-CN"/>
        </w:rPr>
        <w:t>7</w:t>
      </w:r>
      <w:r>
        <w:rPr>
          <w:rFonts w:hint="eastAsia" w:hAnsi="宋体"/>
          <w:b/>
          <w:color w:val="auto"/>
          <w:sz w:val="28"/>
          <w:highlight w:val="none"/>
        </w:rPr>
        <w:t xml:space="preserve"> </w:t>
      </w:r>
      <w:r>
        <w:rPr>
          <w:rFonts w:hint="eastAsia" w:hAnsi="宋体"/>
          <w:b/>
          <w:color w:val="auto"/>
          <w:sz w:val="32"/>
          <w:szCs w:val="32"/>
          <w:highlight w:val="none"/>
        </w:rPr>
        <w:t xml:space="preserve">项目实施人员一览表 </w:t>
      </w:r>
    </w:p>
    <w:p>
      <w:pPr>
        <w:snapToGrid w:val="0"/>
        <w:spacing w:beforeLines="50" w:after="50" w:line="360" w:lineRule="auto"/>
        <w:ind w:firstLine="3120" w:firstLineChars="1300"/>
        <w:rPr>
          <w:rFonts w:ascii="宋体" w:hAnsi="宋体"/>
          <w:color w:val="auto"/>
          <w:sz w:val="24"/>
          <w:highlight w:val="none"/>
        </w:rPr>
      </w:pPr>
      <w:r>
        <w:rPr>
          <w:rFonts w:hint="eastAsia" w:ascii="宋体" w:hAnsi="宋体"/>
          <w:color w:val="auto"/>
          <w:sz w:val="24"/>
          <w:highlight w:val="none"/>
        </w:rPr>
        <w:t>（主要从业人员其技术资格）</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625"/>
        <w:gridCol w:w="1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5"/>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5"/>
              <w:spacing w:line="360" w:lineRule="auto"/>
              <w:ind w:left="5250"/>
              <w:rPr>
                <w:rFonts w:ascii="宋体" w:hAnsi="宋体"/>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91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6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61"/>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w:t>
      </w:r>
    </w:p>
    <w:p>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p>
    <w:p>
      <w:pPr>
        <w:spacing w:line="360" w:lineRule="auto"/>
        <w:ind w:firstLine="435"/>
        <w:rPr>
          <w:rFonts w:ascii="宋体" w:hAnsi="宋体"/>
          <w:b/>
          <w:color w:val="auto"/>
          <w:sz w:val="28"/>
          <w:highlight w:val="none"/>
        </w:rPr>
      </w:pPr>
    </w:p>
    <w:p>
      <w:pPr>
        <w:spacing w:line="360" w:lineRule="auto"/>
        <w:ind w:firstLine="435"/>
        <w:rPr>
          <w:rFonts w:ascii="宋体" w:hAnsi="宋体"/>
          <w:b/>
          <w:color w:val="auto"/>
          <w:sz w:val="28"/>
          <w:highlight w:val="none"/>
        </w:rPr>
      </w:pPr>
    </w:p>
    <w:p>
      <w:pPr>
        <w:pStyle w:val="3"/>
        <w:rPr>
          <w:color w:val="auto"/>
          <w:highlight w:val="none"/>
        </w:rPr>
      </w:pPr>
    </w:p>
    <w:p>
      <w:pPr>
        <w:pStyle w:val="2"/>
        <w:rPr>
          <w:color w:val="auto"/>
          <w:highlight w:val="none"/>
        </w:rPr>
      </w:pPr>
    </w:p>
    <w:p>
      <w:pPr>
        <w:rPr>
          <w:color w:val="auto"/>
          <w:highlight w:val="none"/>
        </w:rPr>
      </w:pPr>
    </w:p>
    <w:p>
      <w:pPr>
        <w:spacing w:line="360" w:lineRule="auto"/>
        <w:ind w:firstLine="435"/>
        <w:rPr>
          <w:rFonts w:ascii="宋体" w:hAnsi="宋体"/>
          <w:b/>
          <w:color w:val="auto"/>
          <w:sz w:val="28"/>
          <w:highlight w:val="none"/>
        </w:rPr>
      </w:pPr>
    </w:p>
    <w:p>
      <w:pPr>
        <w:pStyle w:val="14"/>
        <w:snapToGrid w:val="0"/>
        <w:spacing w:before="120" w:after="120" w:line="360" w:lineRule="auto"/>
        <w:outlineLvl w:val="2"/>
        <w:rPr>
          <w:rFonts w:hAnsi="宋体"/>
          <w:b/>
          <w:color w:val="auto"/>
          <w:sz w:val="28"/>
          <w:highlight w:val="none"/>
        </w:rPr>
      </w:pPr>
      <w:r>
        <w:rPr>
          <w:rFonts w:hint="eastAsia" w:hAnsi="宋体"/>
          <w:b/>
          <w:color w:val="auto"/>
          <w:sz w:val="28"/>
          <w:highlight w:val="none"/>
        </w:rPr>
        <w:t>附件</w:t>
      </w:r>
      <w:r>
        <w:rPr>
          <w:rFonts w:hint="eastAsia" w:hAnsi="宋体"/>
          <w:b/>
          <w:color w:val="auto"/>
          <w:sz w:val="28"/>
          <w:highlight w:val="none"/>
          <w:lang w:val="en-US" w:eastAsia="zh-CN"/>
        </w:rPr>
        <w:t>8</w:t>
      </w:r>
      <w:r>
        <w:rPr>
          <w:rFonts w:hint="eastAsia" w:hAnsi="宋体"/>
          <w:b/>
          <w:color w:val="auto"/>
          <w:sz w:val="28"/>
          <w:highlight w:val="none"/>
        </w:rPr>
        <w:t xml:space="preserve"> 商务及技术响应表</w:t>
      </w:r>
    </w:p>
    <w:p>
      <w:pPr>
        <w:pStyle w:val="14"/>
        <w:adjustRightInd w:val="0"/>
        <w:snapToGrid w:val="0"/>
        <w:spacing w:line="360" w:lineRule="auto"/>
        <w:jc w:val="center"/>
        <w:rPr>
          <w:rFonts w:hAnsi="宋体"/>
          <w:b/>
          <w:color w:val="auto"/>
          <w:sz w:val="32"/>
          <w:szCs w:val="32"/>
          <w:highlight w:val="none"/>
        </w:rPr>
      </w:pPr>
      <w:r>
        <w:rPr>
          <w:rFonts w:hint="eastAsia" w:hAnsi="宋体"/>
          <w:b/>
          <w:color w:val="auto"/>
          <w:sz w:val="32"/>
          <w:szCs w:val="32"/>
          <w:highlight w:val="none"/>
        </w:rPr>
        <w:t>商务及技术响应表</w:t>
      </w:r>
    </w:p>
    <w:p>
      <w:pPr>
        <w:pStyle w:val="14"/>
        <w:adjustRightInd w:val="0"/>
        <w:snapToGrid w:val="0"/>
        <w:spacing w:line="360" w:lineRule="auto"/>
        <w:jc w:val="left"/>
        <w:rPr>
          <w:rFonts w:hAnsi="宋体" w:cs="Arial"/>
          <w:b/>
          <w:color w:val="auto"/>
          <w:sz w:val="24"/>
          <w:highlight w:val="none"/>
        </w:rPr>
      </w:pPr>
      <w:r>
        <w:rPr>
          <w:rFonts w:hint="eastAsia" w:hAnsi="宋体"/>
          <w:b/>
          <w:bCs/>
          <w:color w:val="auto"/>
          <w:sz w:val="24"/>
          <w:highlight w:val="none"/>
        </w:rPr>
        <w:t>项目名称及编号：</w:t>
      </w:r>
    </w:p>
    <w:tbl>
      <w:tblPr>
        <w:tblStyle w:val="25"/>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服务期</w:t>
            </w: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olor w:val="auto"/>
                <w:spacing w:val="20"/>
                <w:sz w:val="24"/>
                <w:highlight w:val="none"/>
              </w:rPr>
            </w:pPr>
          </w:p>
        </w:tc>
      </w:tr>
    </w:tbl>
    <w:p>
      <w:pPr>
        <w:pStyle w:val="14"/>
        <w:adjustRightInd w:val="0"/>
        <w:snapToGrid w:val="0"/>
        <w:spacing w:line="360" w:lineRule="auto"/>
        <w:rPr>
          <w:rFonts w:hAnsi="宋体"/>
          <w:color w:val="auto"/>
          <w:sz w:val="24"/>
          <w:highlight w:val="none"/>
        </w:rPr>
      </w:pPr>
      <w:r>
        <w:rPr>
          <w:rFonts w:hint="eastAsia" w:hAnsi="宋体"/>
          <w:color w:val="auto"/>
          <w:sz w:val="24"/>
          <w:highlight w:val="none"/>
        </w:rPr>
        <w:t>备注：1、供应商在填写其中的“磋商响应文件产品技术响应”内容时，写出各磋商服务的具体响应内容。</w:t>
      </w:r>
    </w:p>
    <w:p>
      <w:pPr>
        <w:pStyle w:val="14"/>
        <w:adjustRightInd w:val="0"/>
        <w:snapToGrid w:val="0"/>
        <w:spacing w:line="360" w:lineRule="auto"/>
        <w:rPr>
          <w:rFonts w:hAnsi="宋体"/>
          <w:color w:val="auto"/>
          <w:sz w:val="24"/>
          <w:highlight w:val="none"/>
        </w:rPr>
      </w:pPr>
      <w:r>
        <w:rPr>
          <w:rFonts w:hint="eastAsia" w:hAnsi="宋体"/>
          <w:color w:val="auto"/>
          <w:sz w:val="24"/>
          <w:highlight w:val="none"/>
        </w:rPr>
        <w:t>2、如不填写，则视完全响应本磋商文件的要求。</w:t>
      </w:r>
    </w:p>
    <w:p>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ind w:left="420"/>
        <w:rPr>
          <w:rFonts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ind w:firstLine="435"/>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rPr>
          <w:rFonts w:ascii="宋体" w:hAnsi="宋体"/>
          <w:color w:val="auto"/>
          <w:sz w:val="24"/>
          <w:highlight w:val="none"/>
        </w:rPr>
      </w:pPr>
    </w:p>
    <w:p>
      <w:pPr>
        <w:pStyle w:val="54"/>
        <w:shd w:val="clear" w:color="auto" w:fill="FFFFFF"/>
        <w:spacing w:before="0" w:beforeAutospacing="0" w:after="0" w:afterAutospacing="0"/>
        <w:ind w:firstLine="424" w:firstLineChars="177"/>
        <w:rPr>
          <w:b/>
          <w:color w:val="auto"/>
          <w:sz w:val="28"/>
          <w:highlight w:val="none"/>
        </w:rPr>
      </w:pPr>
      <w:r>
        <w:rPr>
          <w:rFonts w:hint="eastAsia"/>
          <w:color w:val="auto"/>
          <w:highlight w:val="none"/>
        </w:rPr>
        <w:t>日        期：</w:t>
      </w:r>
      <w:r>
        <w:rPr>
          <w:rFonts w:hint="eastAsia"/>
          <w:color w:val="auto"/>
          <w:highlight w:val="none"/>
          <w:u w:val="single"/>
        </w:rPr>
        <w:t xml:space="preserve">                            </w:t>
      </w:r>
    </w:p>
    <w:p>
      <w:pPr>
        <w:snapToGrid w:val="0"/>
        <w:spacing w:beforeLines="50" w:after="50" w:line="360" w:lineRule="auto"/>
        <w:rPr>
          <w:rFonts w:ascii="宋体" w:hAnsi="宋体"/>
          <w:b/>
          <w:color w:val="auto"/>
          <w:sz w:val="28"/>
          <w:highlight w:val="none"/>
        </w:rPr>
      </w:pPr>
    </w:p>
    <w:p>
      <w:pPr>
        <w:snapToGrid w:val="0"/>
        <w:spacing w:beforeLines="50" w:after="50" w:line="360" w:lineRule="auto"/>
        <w:rPr>
          <w:rFonts w:ascii="宋体" w:hAnsi="宋体"/>
          <w:b/>
          <w:color w:val="auto"/>
          <w:sz w:val="28"/>
          <w:highlight w:val="none"/>
        </w:rPr>
      </w:pPr>
    </w:p>
    <w:p>
      <w:pPr>
        <w:pStyle w:val="14"/>
        <w:snapToGrid w:val="0"/>
        <w:spacing w:before="120" w:after="120" w:line="360" w:lineRule="auto"/>
        <w:outlineLvl w:val="2"/>
        <w:rPr>
          <w:rFonts w:hint="eastAsia" w:hAnsi="宋体"/>
          <w:b/>
          <w:color w:val="auto"/>
          <w:sz w:val="28"/>
          <w:highlight w:val="none"/>
        </w:rPr>
      </w:pPr>
    </w:p>
    <w:p>
      <w:pPr>
        <w:pStyle w:val="14"/>
        <w:snapToGrid w:val="0"/>
        <w:spacing w:before="120" w:after="120" w:line="360" w:lineRule="auto"/>
        <w:outlineLvl w:val="2"/>
        <w:rPr>
          <w:rFonts w:hAnsi="宋体"/>
          <w:b/>
          <w:color w:val="auto"/>
          <w:sz w:val="28"/>
          <w:highlight w:val="none"/>
        </w:rPr>
      </w:pPr>
      <w:r>
        <w:rPr>
          <w:rFonts w:hint="eastAsia" w:hAnsi="宋体"/>
          <w:b/>
          <w:color w:val="auto"/>
          <w:sz w:val="28"/>
          <w:highlight w:val="none"/>
        </w:rPr>
        <w:t>附件</w:t>
      </w:r>
      <w:r>
        <w:rPr>
          <w:rFonts w:hint="eastAsia" w:hAnsi="宋体"/>
          <w:b/>
          <w:color w:val="auto"/>
          <w:sz w:val="28"/>
          <w:highlight w:val="none"/>
          <w:lang w:val="en-US" w:eastAsia="zh-CN"/>
        </w:rPr>
        <w:t>9</w:t>
      </w:r>
      <w:r>
        <w:rPr>
          <w:rFonts w:hint="eastAsia" w:hAnsi="宋体"/>
          <w:b/>
          <w:color w:val="auto"/>
          <w:sz w:val="28"/>
          <w:highlight w:val="none"/>
        </w:rPr>
        <w:t xml:space="preserve"> 相关证书一览表</w:t>
      </w:r>
    </w:p>
    <w:p>
      <w:pPr>
        <w:pStyle w:val="5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相关证书一览表</w:t>
      </w:r>
    </w:p>
    <w:p>
      <w:pPr>
        <w:pStyle w:val="55"/>
        <w:spacing w:line="360" w:lineRule="auto"/>
        <w:jc w:val="center"/>
        <w:rPr>
          <w:rFonts w:ascii="宋体" w:hAnsi="宋体" w:cs="Arial"/>
          <w:color w:val="auto"/>
          <w:sz w:val="28"/>
          <w:szCs w:val="28"/>
          <w:highlight w:val="non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5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5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5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5"/>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55"/>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5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highlight w:val="none"/>
              </w:rPr>
            </w:pPr>
          </w:p>
        </w:tc>
        <w:tc>
          <w:tcPr>
            <w:tcW w:w="2258" w:type="dxa"/>
          </w:tcPr>
          <w:p>
            <w:pPr>
              <w:pStyle w:val="55"/>
              <w:spacing w:line="360" w:lineRule="auto"/>
              <w:jc w:val="center"/>
              <w:rPr>
                <w:rFonts w:ascii="宋体" w:hAnsi="宋体" w:cs="Arial"/>
                <w:color w:val="auto"/>
                <w:szCs w:val="21"/>
                <w:highlight w:val="none"/>
              </w:rPr>
            </w:pPr>
          </w:p>
        </w:tc>
        <w:tc>
          <w:tcPr>
            <w:tcW w:w="2260" w:type="dxa"/>
          </w:tcPr>
          <w:p>
            <w:pPr>
              <w:pStyle w:val="5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highlight w:val="none"/>
              </w:rPr>
            </w:pPr>
          </w:p>
        </w:tc>
        <w:tc>
          <w:tcPr>
            <w:tcW w:w="2258" w:type="dxa"/>
          </w:tcPr>
          <w:p>
            <w:pPr>
              <w:pStyle w:val="55"/>
              <w:spacing w:line="360" w:lineRule="auto"/>
              <w:jc w:val="center"/>
              <w:rPr>
                <w:rFonts w:ascii="宋体" w:hAnsi="宋体" w:cs="Arial"/>
                <w:color w:val="auto"/>
                <w:szCs w:val="21"/>
                <w:highlight w:val="none"/>
              </w:rPr>
            </w:pPr>
          </w:p>
        </w:tc>
        <w:tc>
          <w:tcPr>
            <w:tcW w:w="2260" w:type="dxa"/>
          </w:tcPr>
          <w:p>
            <w:pPr>
              <w:pStyle w:val="5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highlight w:val="none"/>
              </w:rPr>
            </w:pPr>
          </w:p>
        </w:tc>
        <w:tc>
          <w:tcPr>
            <w:tcW w:w="2258" w:type="dxa"/>
          </w:tcPr>
          <w:p>
            <w:pPr>
              <w:pStyle w:val="55"/>
              <w:spacing w:line="360" w:lineRule="auto"/>
              <w:jc w:val="center"/>
              <w:rPr>
                <w:rFonts w:ascii="宋体" w:hAnsi="宋体" w:cs="Arial"/>
                <w:color w:val="auto"/>
                <w:szCs w:val="21"/>
                <w:highlight w:val="none"/>
              </w:rPr>
            </w:pPr>
          </w:p>
        </w:tc>
        <w:tc>
          <w:tcPr>
            <w:tcW w:w="2260" w:type="dxa"/>
          </w:tcPr>
          <w:p>
            <w:pPr>
              <w:pStyle w:val="5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highlight w:val="none"/>
              </w:rPr>
            </w:pPr>
          </w:p>
        </w:tc>
        <w:tc>
          <w:tcPr>
            <w:tcW w:w="2258" w:type="dxa"/>
          </w:tcPr>
          <w:p>
            <w:pPr>
              <w:pStyle w:val="55"/>
              <w:spacing w:line="360" w:lineRule="auto"/>
              <w:jc w:val="center"/>
              <w:rPr>
                <w:rFonts w:ascii="宋体" w:hAnsi="宋体" w:cs="Arial"/>
                <w:color w:val="auto"/>
                <w:szCs w:val="21"/>
                <w:highlight w:val="none"/>
              </w:rPr>
            </w:pPr>
          </w:p>
        </w:tc>
        <w:tc>
          <w:tcPr>
            <w:tcW w:w="2260" w:type="dxa"/>
          </w:tcPr>
          <w:p>
            <w:pPr>
              <w:pStyle w:val="5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5"/>
              <w:spacing w:line="360" w:lineRule="auto"/>
              <w:jc w:val="center"/>
              <w:rPr>
                <w:rFonts w:ascii="宋体" w:hAnsi="宋体" w:cs="Arial"/>
                <w:color w:val="auto"/>
                <w:szCs w:val="21"/>
                <w:highlight w:val="none"/>
              </w:rPr>
            </w:pPr>
          </w:p>
        </w:tc>
        <w:tc>
          <w:tcPr>
            <w:tcW w:w="2258" w:type="dxa"/>
          </w:tcPr>
          <w:p>
            <w:pPr>
              <w:pStyle w:val="55"/>
              <w:spacing w:line="360" w:lineRule="auto"/>
              <w:jc w:val="center"/>
              <w:rPr>
                <w:rFonts w:ascii="宋体" w:hAnsi="宋体" w:cs="Arial"/>
                <w:color w:val="auto"/>
                <w:szCs w:val="21"/>
                <w:highlight w:val="none"/>
              </w:rPr>
            </w:pPr>
          </w:p>
        </w:tc>
        <w:tc>
          <w:tcPr>
            <w:tcW w:w="2260" w:type="dxa"/>
          </w:tcPr>
          <w:p>
            <w:pPr>
              <w:pStyle w:val="5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5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5"/>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55"/>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5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55"/>
              <w:spacing w:line="360" w:lineRule="auto"/>
              <w:jc w:val="center"/>
              <w:rPr>
                <w:rFonts w:ascii="宋体" w:hAnsi="宋体" w:cs="Arial"/>
                <w:color w:val="auto"/>
                <w:szCs w:val="21"/>
                <w:highlight w:val="none"/>
              </w:rPr>
            </w:pPr>
          </w:p>
        </w:tc>
      </w:tr>
    </w:tbl>
    <w:p>
      <w:pPr>
        <w:pStyle w:val="55"/>
        <w:tabs>
          <w:tab w:val="left" w:pos="1050"/>
        </w:tabs>
        <w:spacing w:line="360" w:lineRule="auto"/>
        <w:rPr>
          <w:rFonts w:ascii="仿宋_GB2312" w:hAnsi="宋体" w:eastAsia="仿宋_GB2312"/>
          <w:color w:val="auto"/>
          <w:sz w:val="24"/>
          <w:highlight w:val="none"/>
        </w:rPr>
      </w:pPr>
    </w:p>
    <w:p>
      <w:pPr>
        <w:pStyle w:val="5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5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1.填写磋商供应商获得资质、认证或企业信誉证书。</w:t>
      </w:r>
    </w:p>
    <w:p>
      <w:pPr>
        <w:pStyle w:val="5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55"/>
        <w:tabs>
          <w:tab w:val="left" w:pos="1050"/>
        </w:tabs>
        <w:spacing w:line="360" w:lineRule="auto"/>
        <w:ind w:firstLine="424" w:firstLineChars="202"/>
        <w:rPr>
          <w:rFonts w:ascii="宋体" w:hAnsi="宋体"/>
          <w:color w:val="auto"/>
          <w:szCs w:val="21"/>
          <w:highlight w:val="none"/>
        </w:rPr>
      </w:pPr>
    </w:p>
    <w:p>
      <w:pPr>
        <w:pStyle w:val="55"/>
        <w:tabs>
          <w:tab w:val="left" w:pos="1050"/>
        </w:tabs>
        <w:spacing w:line="360" w:lineRule="auto"/>
        <w:ind w:firstLine="720" w:firstLineChars="300"/>
        <w:rPr>
          <w:rFonts w:ascii="仿宋_GB2312" w:hAnsi="宋体" w:eastAsia="仿宋_GB2312"/>
          <w:color w:val="auto"/>
          <w:sz w:val="24"/>
          <w:highlight w:val="none"/>
        </w:rPr>
      </w:pPr>
    </w:p>
    <w:p>
      <w:pPr>
        <w:pStyle w:val="55"/>
        <w:tabs>
          <w:tab w:val="left" w:pos="1050"/>
        </w:tabs>
        <w:spacing w:line="360" w:lineRule="auto"/>
        <w:ind w:firstLine="720" w:firstLineChars="300"/>
        <w:rPr>
          <w:rFonts w:ascii="仿宋_GB2312" w:hAnsi="宋体" w:eastAsia="仿宋_GB2312"/>
          <w:color w:val="auto"/>
          <w:sz w:val="24"/>
          <w:highlight w:val="none"/>
        </w:rPr>
      </w:pPr>
    </w:p>
    <w:p>
      <w:pPr>
        <w:pStyle w:val="55"/>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pStyle w:val="54"/>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14"/>
        <w:snapToGrid w:val="0"/>
        <w:spacing w:before="120" w:after="120" w:line="360" w:lineRule="auto"/>
        <w:outlineLvl w:val="2"/>
        <w:rPr>
          <w:rFonts w:hint="eastAsia" w:hAnsi="宋体"/>
          <w:b/>
          <w:color w:val="auto"/>
          <w:sz w:val="28"/>
          <w:highlight w:val="none"/>
        </w:rPr>
      </w:pPr>
    </w:p>
    <w:p>
      <w:pPr>
        <w:pStyle w:val="14"/>
        <w:snapToGrid w:val="0"/>
        <w:spacing w:before="120" w:after="120" w:line="360" w:lineRule="auto"/>
        <w:outlineLvl w:val="2"/>
        <w:rPr>
          <w:rFonts w:hAnsi="宋体"/>
          <w:b/>
          <w:color w:val="auto"/>
          <w:sz w:val="28"/>
          <w:highlight w:val="none"/>
        </w:rPr>
      </w:pPr>
      <w:r>
        <w:rPr>
          <w:rFonts w:hint="eastAsia" w:hAnsi="宋体"/>
          <w:b/>
          <w:color w:val="auto"/>
          <w:sz w:val="28"/>
          <w:highlight w:val="none"/>
        </w:rPr>
        <w:t>附件</w:t>
      </w:r>
      <w:r>
        <w:rPr>
          <w:rFonts w:hint="eastAsia" w:hAnsi="宋体"/>
          <w:b/>
          <w:color w:val="auto"/>
          <w:sz w:val="28"/>
          <w:highlight w:val="none"/>
          <w:lang w:val="en-US" w:eastAsia="zh-CN"/>
        </w:rPr>
        <w:t xml:space="preserve">10  </w:t>
      </w:r>
      <w:r>
        <w:rPr>
          <w:rFonts w:hint="eastAsia" w:hAnsi="宋体"/>
          <w:b/>
          <w:color w:val="auto"/>
          <w:sz w:val="28"/>
          <w:highlight w:val="none"/>
        </w:rPr>
        <w:t xml:space="preserve"> </w:t>
      </w:r>
      <w:r>
        <w:rPr>
          <w:rFonts w:hint="eastAsia" w:hAnsi="宋体"/>
          <w:b/>
          <w:color w:val="auto"/>
          <w:sz w:val="28"/>
          <w:highlight w:val="none"/>
          <w:lang w:eastAsia="zh-CN"/>
        </w:rPr>
        <w:t>近三年投标人</w:t>
      </w:r>
      <w:r>
        <w:rPr>
          <w:rFonts w:hint="eastAsia" w:hAnsi="宋体"/>
          <w:b/>
          <w:color w:val="auto"/>
          <w:sz w:val="28"/>
          <w:highlight w:val="none"/>
        </w:rPr>
        <w:t>类似项目的成功案例</w:t>
      </w:r>
    </w:p>
    <w:p>
      <w:pPr>
        <w:pStyle w:val="6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近三年投标人</w:t>
      </w:r>
      <w:r>
        <w:rPr>
          <w:rFonts w:ascii="宋体" w:hAnsi="宋体"/>
          <w:b/>
          <w:color w:val="auto"/>
          <w:sz w:val="32"/>
          <w:szCs w:val="32"/>
          <w:highlight w:val="none"/>
        </w:rPr>
        <w:t>类似项目的成功案例</w:t>
      </w:r>
    </w:p>
    <w:p>
      <w:pPr>
        <w:pStyle w:val="65"/>
        <w:spacing w:line="360" w:lineRule="auto"/>
        <w:jc w:val="center"/>
        <w:rPr>
          <w:rFonts w:ascii="仿宋_GB2312" w:eastAsia="仿宋_GB2312"/>
          <w:b/>
          <w:color w:val="auto"/>
          <w:sz w:val="28"/>
          <w:szCs w:val="2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pPr>
              <w:pStyle w:val="6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5"/>
              <w:spacing w:line="360" w:lineRule="auto"/>
              <w:rPr>
                <w:rFonts w:ascii="宋体" w:hAnsi="宋体" w:cs="Arial"/>
                <w:color w:val="auto"/>
                <w:sz w:val="24"/>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复印件可只提供首页、含金额页、盖章页并加盖投标人公章</w:t>
      </w:r>
      <w:r>
        <w:rPr>
          <w:rFonts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.磋商供应商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jc w:val="center"/>
        <w:rPr>
          <w:rFonts w:ascii="仿宋" w:hAnsi="仿宋" w:eastAsia="仿宋"/>
          <w:snapToGrid w:val="0"/>
          <w:color w:val="auto"/>
          <w:kern w:val="0"/>
          <w:sz w:val="24"/>
          <w:highlight w:val="none"/>
        </w:rPr>
      </w:pPr>
    </w:p>
    <w:p>
      <w:pPr>
        <w:tabs>
          <w:tab w:val="left" w:pos="2460"/>
        </w:tabs>
        <w:spacing w:line="360" w:lineRule="auto"/>
        <w:rPr>
          <w:rFonts w:ascii="宋体" w:hAnsi="宋体"/>
          <w:b/>
          <w:color w:val="auto"/>
          <w:sz w:val="28"/>
          <w:highlight w:val="none"/>
        </w:rPr>
      </w:pPr>
    </w:p>
    <w:p>
      <w:pPr>
        <w:snapToGrid w:val="0"/>
        <w:spacing w:beforeLines="50" w:after="50" w:line="360" w:lineRule="auto"/>
        <w:rPr>
          <w:rFonts w:ascii="宋体" w:hAnsi="宋体"/>
          <w:b/>
          <w:color w:val="auto"/>
          <w:sz w:val="28"/>
          <w:highlight w:val="none"/>
        </w:rPr>
      </w:pPr>
    </w:p>
    <w:p>
      <w:pPr>
        <w:pStyle w:val="14"/>
        <w:snapToGrid w:val="0"/>
        <w:spacing w:before="120" w:after="120" w:line="360" w:lineRule="auto"/>
        <w:outlineLvl w:val="2"/>
        <w:rPr>
          <w:rFonts w:hint="eastAsia" w:hAnsi="宋体"/>
          <w:b/>
          <w:color w:val="auto"/>
          <w:sz w:val="28"/>
          <w:highlight w:val="none"/>
        </w:rPr>
      </w:pPr>
    </w:p>
    <w:p>
      <w:pPr>
        <w:pStyle w:val="14"/>
        <w:snapToGrid w:val="0"/>
        <w:spacing w:before="120" w:after="120" w:line="360" w:lineRule="auto"/>
        <w:outlineLvl w:val="2"/>
        <w:rPr>
          <w:rFonts w:ascii="仿宋_GB2312" w:hAnsi="宋体" w:eastAsia="仿宋_GB2312"/>
          <w:b/>
          <w:color w:val="auto"/>
          <w:sz w:val="30"/>
          <w:szCs w:val="30"/>
          <w:highlight w:val="none"/>
        </w:rPr>
      </w:pPr>
      <w:r>
        <w:rPr>
          <w:rFonts w:hint="eastAsia" w:hAnsi="宋体"/>
          <w:b/>
          <w:color w:val="auto"/>
          <w:sz w:val="28"/>
          <w:highlight w:val="none"/>
        </w:rPr>
        <w:t>附件1</w:t>
      </w:r>
      <w:r>
        <w:rPr>
          <w:rFonts w:hint="eastAsia" w:hAnsi="宋体"/>
          <w:b/>
          <w:color w:val="auto"/>
          <w:sz w:val="28"/>
          <w:highlight w:val="none"/>
          <w:lang w:val="en-US" w:eastAsia="zh-CN"/>
        </w:rPr>
        <w:t>1</w:t>
      </w:r>
      <w:r>
        <w:rPr>
          <w:rFonts w:hint="eastAsia" w:hAnsi="宋体"/>
          <w:b/>
          <w:color w:val="auto"/>
          <w:sz w:val="28"/>
          <w:highlight w:val="none"/>
        </w:rPr>
        <w:t xml:space="preserve"> 首次报价一览表</w:t>
      </w:r>
      <w:r>
        <w:rPr>
          <w:rFonts w:hint="eastAsia" w:ascii="仿宋_GB2312" w:hAnsi="宋体" w:eastAsia="仿宋_GB2312"/>
          <w:b/>
          <w:color w:val="auto"/>
          <w:sz w:val="30"/>
          <w:szCs w:val="30"/>
          <w:highlight w:val="none"/>
        </w:rPr>
        <w:t xml:space="preserve">                                     </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首次报价一览表</w:t>
      </w:r>
    </w:p>
    <w:p>
      <w:pPr>
        <w:pStyle w:val="14"/>
        <w:spacing w:line="320" w:lineRule="exact"/>
        <w:rPr>
          <w:rFonts w:hAnsi="宋体"/>
          <w:b/>
          <w:color w:val="auto"/>
          <w:sz w:val="24"/>
          <w:highlight w:val="none"/>
        </w:rPr>
      </w:pPr>
    </w:p>
    <w:p>
      <w:pPr>
        <w:pStyle w:val="14"/>
        <w:spacing w:line="320" w:lineRule="exact"/>
        <w:rPr>
          <w:rFonts w:hAnsi="宋体"/>
          <w:b/>
          <w:color w:val="auto"/>
          <w:sz w:val="24"/>
          <w:highlight w:val="none"/>
          <w:u w:val="single"/>
        </w:rPr>
      </w:pPr>
      <w:r>
        <w:rPr>
          <w:rFonts w:hAnsi="宋体"/>
          <w:b/>
          <w:color w:val="auto"/>
          <w:sz w:val="24"/>
          <w:highlight w:val="none"/>
        </w:rPr>
        <w:t>项目编号：</w:t>
      </w:r>
      <w:r>
        <w:rPr>
          <w:rFonts w:hint="eastAsia" w:hAnsi="宋体"/>
          <w:b/>
          <w:color w:val="auto"/>
          <w:sz w:val="24"/>
          <w:highlight w:val="none"/>
          <w:u w:val="single"/>
        </w:rPr>
        <w:t xml:space="preserve">               </w:t>
      </w:r>
    </w:p>
    <w:p>
      <w:pPr>
        <w:pStyle w:val="52"/>
        <w:spacing w:line="360" w:lineRule="auto"/>
        <w:ind w:right="48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color w:val="auto"/>
                <w:highlight w:val="none"/>
              </w:rPr>
            </w:pPr>
            <w:r>
              <w:rPr>
                <w:rFonts w:hint="eastAsia"/>
                <w:color w:val="auto"/>
                <w:highlight w:val="none"/>
              </w:rPr>
              <w:t>总报价(元)</w:t>
            </w:r>
          </w:p>
          <w:p>
            <w:pPr>
              <w:pStyle w:val="3"/>
              <w:ind w:firstLine="480" w:firstLineChars="200"/>
              <w:rPr>
                <w:color w:val="auto"/>
                <w:highlight w:val="none"/>
              </w:rPr>
            </w:pPr>
            <w:r>
              <w:rPr>
                <w:rFonts w:hint="eastAsia" w:ascii="宋体" w:hAnsi="宋体"/>
                <w:color w:val="auto"/>
                <w:sz w:val="24"/>
                <w:highlight w:val="none"/>
              </w:rPr>
              <w:t>（保留整数）</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8"/>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color w:val="auto"/>
          <w:highlight w:val="none"/>
        </w:rPr>
        <w:t xml:space="preserve"> </w:t>
      </w:r>
      <w:r>
        <w:rPr>
          <w:rFonts w:hint="eastAsia" w:ascii="宋体" w:hAnsi="宋体"/>
          <w:color w:val="auto"/>
          <w:kern w:val="0"/>
          <w:szCs w:val="21"/>
          <w:highlight w:val="none"/>
        </w:rPr>
        <w:t>总报价是包含完成本项目工作任务所发生的相关一切费用，全部费用已包含在首次报价一览表的投标总报价中。如有漏项，视同已包含在本项目的总报价中。</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2.报价一经涂改，应在涂改处加盖单位公章，或者由法定代表人或全权代表签字或盖章，否则作无效标处理。</w:t>
      </w:r>
    </w:p>
    <w:p>
      <w:pPr>
        <w:spacing w:line="360" w:lineRule="auto"/>
        <w:ind w:left="420"/>
        <w:rPr>
          <w:rFonts w:ascii="宋体" w:hAnsi="宋体"/>
          <w:color w:val="auto"/>
          <w:sz w:val="24"/>
          <w:highlight w:val="none"/>
        </w:rPr>
      </w:pPr>
    </w:p>
    <w:p>
      <w:pPr>
        <w:spacing w:line="320" w:lineRule="exact"/>
        <w:ind w:left="420"/>
        <w:rPr>
          <w:rFonts w:ascii="宋体" w:hAnsi="宋体"/>
          <w:color w:val="auto"/>
          <w:sz w:val="24"/>
          <w:highlight w:val="none"/>
        </w:rPr>
      </w:pPr>
    </w:p>
    <w:p>
      <w:pPr>
        <w:spacing w:line="320" w:lineRule="exact"/>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20" w:lineRule="exact"/>
        <w:ind w:left="420"/>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20" w:lineRule="exact"/>
        <w:ind w:firstLine="435"/>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20" w:lineRule="exact"/>
        <w:ind w:firstLine="435"/>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adjustRightInd w:val="0"/>
        <w:snapToGrid w:val="0"/>
        <w:spacing w:line="360" w:lineRule="auto"/>
        <w:ind w:right="480"/>
        <w:jc w:val="center"/>
        <w:rPr>
          <w:rFonts w:ascii="宋体" w:hAnsi="宋体" w:cs="仿宋_GB2312"/>
          <w:color w:val="auto"/>
          <w:kern w:val="0"/>
          <w:sz w:val="24"/>
          <w:highlight w:val="none"/>
          <w:lang w:val="zh-CN"/>
        </w:rPr>
      </w:pPr>
    </w:p>
    <w:p>
      <w:pPr>
        <w:spacing w:line="360" w:lineRule="atLeast"/>
        <w:ind w:left="480"/>
        <w:rPr>
          <w:rFonts w:ascii="宋体" w:hAnsi="宋体"/>
          <w:b/>
          <w:color w:val="auto"/>
          <w:sz w:val="28"/>
          <w:highlight w:val="none"/>
        </w:rPr>
      </w:pPr>
    </w:p>
    <w:p>
      <w:pPr>
        <w:spacing w:line="360" w:lineRule="atLeast"/>
        <w:ind w:left="480"/>
        <w:rPr>
          <w:rFonts w:ascii="宋体" w:hAnsi="宋体"/>
          <w:b/>
          <w:color w:val="auto"/>
          <w:sz w:val="28"/>
          <w:highlight w:val="none"/>
        </w:rPr>
      </w:pPr>
    </w:p>
    <w:p>
      <w:pPr>
        <w:pStyle w:val="3"/>
        <w:rPr>
          <w:color w:val="auto"/>
          <w:highlight w:val="none"/>
        </w:rPr>
      </w:pPr>
    </w:p>
    <w:p>
      <w:pPr>
        <w:pStyle w:val="2"/>
        <w:ind w:firstLine="210"/>
        <w:rPr>
          <w:color w:val="auto"/>
          <w:highlight w:val="none"/>
        </w:rPr>
      </w:pPr>
    </w:p>
    <w:p>
      <w:pPr>
        <w:rPr>
          <w:color w:val="auto"/>
          <w:highlight w:val="none"/>
        </w:rPr>
      </w:pPr>
    </w:p>
    <w:p>
      <w:pPr>
        <w:pStyle w:val="14"/>
        <w:snapToGrid w:val="0"/>
        <w:spacing w:before="120" w:after="120" w:line="360" w:lineRule="auto"/>
        <w:outlineLvl w:val="2"/>
        <w:rPr>
          <w:rFonts w:hint="eastAsia" w:hAnsi="宋体"/>
          <w:b/>
          <w:color w:val="auto"/>
          <w:sz w:val="28"/>
          <w:highlight w:val="none"/>
        </w:rPr>
      </w:pPr>
    </w:p>
    <w:p>
      <w:pPr>
        <w:pStyle w:val="14"/>
        <w:snapToGrid w:val="0"/>
        <w:spacing w:before="120" w:after="120" w:line="360" w:lineRule="auto"/>
        <w:outlineLvl w:val="2"/>
        <w:rPr>
          <w:rFonts w:ascii="仿宋_GB2312" w:hAnsi="宋体"/>
          <w:bCs/>
          <w:color w:val="auto"/>
          <w:sz w:val="30"/>
          <w:szCs w:val="30"/>
          <w:highlight w:val="none"/>
        </w:rPr>
      </w:pPr>
      <w:r>
        <w:rPr>
          <w:rFonts w:hint="eastAsia" w:hAnsi="宋体"/>
          <w:b/>
          <w:color w:val="auto"/>
          <w:sz w:val="28"/>
          <w:highlight w:val="none"/>
        </w:rPr>
        <w:t>附件1</w:t>
      </w:r>
      <w:r>
        <w:rPr>
          <w:rFonts w:hint="eastAsia" w:hAnsi="宋体"/>
          <w:b/>
          <w:color w:val="auto"/>
          <w:sz w:val="28"/>
          <w:highlight w:val="none"/>
          <w:lang w:val="en-US" w:eastAsia="zh-CN"/>
        </w:rPr>
        <w:t>2</w:t>
      </w:r>
      <w:r>
        <w:rPr>
          <w:rFonts w:hint="eastAsia" w:hAnsi="宋体"/>
          <w:b/>
          <w:color w:val="auto"/>
          <w:sz w:val="28"/>
          <w:highlight w:val="none"/>
        </w:rPr>
        <w:t xml:space="preserve"> 小微企业声明函</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u w:val="single"/>
        </w:rPr>
        <w:t xml:space="preserve">    </w:t>
      </w:r>
      <w:r>
        <w:rPr>
          <w:rFonts w:hint="eastAsia" w:ascii="宋体" w:hAnsi="宋体"/>
          <w:color w:val="auto"/>
          <w:sz w:val="24"/>
          <w:highlight w:val="none"/>
        </w:rPr>
        <w:t>政府采购中心组织</w:t>
      </w:r>
      <w:r>
        <w:rPr>
          <w:rFonts w:hint="eastAsia" w:ascii="宋体" w:hAnsi="宋体"/>
          <w:color w:val="auto"/>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57"/>
        <w:spacing w:line="360" w:lineRule="auto"/>
        <w:ind w:firstLine="504" w:firstLineChars="200"/>
        <w:rPr>
          <w:rFonts w:ascii="宋体" w:hAnsi="宋体"/>
          <w:color w:val="auto"/>
          <w:spacing w:val="6"/>
          <w:sz w:val="24"/>
          <w:highlight w:val="none"/>
        </w:rPr>
      </w:pPr>
    </w:p>
    <w:p>
      <w:pPr>
        <w:pStyle w:val="57"/>
        <w:spacing w:line="360" w:lineRule="auto"/>
        <w:ind w:left="4253" w:leftChars="2025"/>
        <w:rPr>
          <w:rFonts w:ascii="宋体" w:hAnsi="宋体"/>
          <w:color w:val="auto"/>
          <w:sz w:val="24"/>
          <w:highlight w:val="none"/>
        </w:rPr>
      </w:pPr>
      <w:r>
        <w:rPr>
          <w:rFonts w:hint="eastAsia" w:ascii="宋体" w:hAnsi="宋体"/>
          <w:color w:val="auto"/>
          <w:sz w:val="24"/>
          <w:highlight w:val="none"/>
        </w:rPr>
        <w:t>投 标 人（单位公章）：</w:t>
      </w:r>
    </w:p>
    <w:p>
      <w:pPr>
        <w:pStyle w:val="57"/>
        <w:spacing w:line="360" w:lineRule="auto"/>
        <w:ind w:left="4253" w:leftChars="2025" w:right="360"/>
        <w:jc w:val="right"/>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Arial"/>
          <w:color w:val="auto"/>
          <w:sz w:val="24"/>
          <w:highlight w:val="none"/>
        </w:rPr>
        <w:t>年</w:t>
      </w:r>
      <w:r>
        <w:rPr>
          <w:rFonts w:hint="eastAsia" w:ascii="宋体" w:hAnsi="宋体"/>
          <w:color w:val="auto"/>
          <w:sz w:val="24"/>
          <w:highlight w:val="none"/>
        </w:rPr>
        <w:t xml:space="preserve">  </w:t>
      </w:r>
      <w:r>
        <w:rPr>
          <w:rFonts w:hint="eastAsia" w:ascii="宋体" w:hAnsi="宋体" w:cs="Arial"/>
          <w:color w:val="auto"/>
          <w:sz w:val="24"/>
          <w:highlight w:val="none"/>
        </w:rPr>
        <w:t>月</w:t>
      </w:r>
      <w:r>
        <w:rPr>
          <w:rFonts w:hint="eastAsia" w:ascii="宋体" w:hAnsi="宋体"/>
          <w:color w:val="auto"/>
          <w:sz w:val="24"/>
          <w:highlight w:val="none"/>
        </w:rPr>
        <w:t xml:space="preserve">  </w:t>
      </w:r>
      <w:r>
        <w:rPr>
          <w:rFonts w:hint="eastAsia" w:ascii="宋体" w:hAnsi="宋体" w:cs="Arial"/>
          <w:color w:val="auto"/>
          <w:sz w:val="24"/>
          <w:highlight w:val="none"/>
        </w:rPr>
        <w:t>日</w:t>
      </w:r>
    </w:p>
    <w:p>
      <w:pPr>
        <w:pStyle w:val="57"/>
        <w:spacing w:line="360" w:lineRule="auto"/>
        <w:rPr>
          <w:rFonts w:ascii="宋体" w:hAnsi="宋体"/>
          <w:color w:val="auto"/>
          <w:sz w:val="24"/>
          <w:highlight w:val="none"/>
        </w:rPr>
      </w:pPr>
    </w:p>
    <w:p>
      <w:pPr>
        <w:pStyle w:val="57"/>
        <w:spacing w:line="360" w:lineRule="auto"/>
        <w:jc w:val="center"/>
        <w:rPr>
          <w:rFonts w:ascii="宋体" w:hAnsi="宋体"/>
          <w:b/>
          <w:color w:val="auto"/>
          <w:spacing w:val="6"/>
          <w:sz w:val="32"/>
          <w:szCs w:val="32"/>
          <w:highlight w:val="none"/>
        </w:rPr>
      </w:pPr>
      <w:r>
        <w:rPr>
          <w:rFonts w:hint="eastAsia" w:ascii="宋体" w:hAnsi="宋体"/>
          <w:b/>
          <w:color w:val="auto"/>
          <w:sz w:val="32"/>
          <w:szCs w:val="32"/>
          <w:highlight w:val="none"/>
          <w:lang w:val="en-GB"/>
        </w:rPr>
        <w:t>小微企业声明函（制造商）</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57"/>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57"/>
        <w:spacing w:line="360" w:lineRule="auto"/>
        <w:ind w:firstLine="504" w:firstLineChars="200"/>
        <w:rPr>
          <w:rFonts w:ascii="宋体" w:hAnsi="宋体"/>
          <w:color w:val="auto"/>
          <w:spacing w:val="6"/>
          <w:sz w:val="24"/>
          <w:highlight w:val="none"/>
        </w:rPr>
      </w:pPr>
    </w:p>
    <w:p>
      <w:pPr>
        <w:pStyle w:val="57"/>
        <w:spacing w:line="360" w:lineRule="auto"/>
        <w:ind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企业名称（单位公章）：</w:t>
      </w:r>
    </w:p>
    <w:p>
      <w:pPr>
        <w:pStyle w:val="57"/>
        <w:spacing w:line="360" w:lineRule="auto"/>
        <w:ind w:left="4253" w:leftChars="2025" w:right="360"/>
        <w:jc w:val="center"/>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Arial"/>
          <w:color w:val="auto"/>
          <w:sz w:val="24"/>
          <w:highlight w:val="none"/>
        </w:rPr>
        <w:t>年</w:t>
      </w:r>
      <w:r>
        <w:rPr>
          <w:rFonts w:hint="eastAsia" w:ascii="宋体" w:hAnsi="宋体"/>
          <w:color w:val="auto"/>
          <w:sz w:val="24"/>
          <w:highlight w:val="none"/>
        </w:rPr>
        <w:t xml:space="preserve">  </w:t>
      </w:r>
      <w:r>
        <w:rPr>
          <w:rFonts w:hint="eastAsia" w:ascii="宋体" w:hAnsi="宋体" w:cs="Arial"/>
          <w:color w:val="auto"/>
          <w:sz w:val="24"/>
          <w:highlight w:val="none"/>
        </w:rPr>
        <w:t>月</w:t>
      </w:r>
      <w:r>
        <w:rPr>
          <w:rFonts w:hint="eastAsia" w:ascii="宋体" w:hAnsi="宋体"/>
          <w:color w:val="auto"/>
          <w:sz w:val="24"/>
          <w:highlight w:val="none"/>
        </w:rPr>
        <w:t xml:space="preserve">  </w:t>
      </w:r>
      <w:r>
        <w:rPr>
          <w:rFonts w:hint="eastAsia" w:ascii="宋体" w:hAnsi="宋体" w:cs="Arial"/>
          <w:color w:val="auto"/>
          <w:sz w:val="24"/>
          <w:highlight w:val="none"/>
        </w:rPr>
        <w:t>日</w:t>
      </w:r>
    </w:p>
    <w:p>
      <w:pPr>
        <w:adjustRightInd w:val="0"/>
        <w:snapToGrid w:val="0"/>
        <w:spacing w:line="480" w:lineRule="auto"/>
        <w:jc w:val="center"/>
        <w:rPr>
          <w:rFonts w:ascii="宋体" w:hAnsi="宋体"/>
          <w:b/>
          <w:color w:val="auto"/>
          <w:sz w:val="32"/>
          <w:szCs w:val="32"/>
          <w:highlight w:val="none"/>
          <w:lang w:val="en-GB"/>
        </w:rPr>
      </w:pPr>
    </w:p>
    <w:p>
      <w:pPr>
        <w:adjustRightInd w:val="0"/>
        <w:snapToGrid w:val="0"/>
        <w:spacing w:line="480" w:lineRule="auto"/>
        <w:jc w:val="center"/>
        <w:rPr>
          <w:rFonts w:ascii="宋体" w:hAnsi="宋体"/>
          <w:b/>
          <w:color w:val="auto"/>
          <w:sz w:val="32"/>
          <w:szCs w:val="32"/>
          <w:highlight w:val="none"/>
          <w:lang w:val="en-GB"/>
        </w:rPr>
      </w:pPr>
    </w:p>
    <w:p>
      <w:pPr>
        <w:adjustRightInd w:val="0"/>
        <w:snapToGrid w:val="0"/>
        <w:spacing w:line="48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中小企业资格确认意见书</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                        省（市、县、区）中小企业局（盖章）</w:t>
      </w:r>
    </w:p>
    <w:p>
      <w:pPr>
        <w:spacing w:line="588" w:lineRule="exact"/>
        <w:ind w:firstLine="4284" w:firstLineChars="1700"/>
        <w:rPr>
          <w:rFonts w:ascii="宋体" w:hAnsi="宋体"/>
          <w:color w:val="auto"/>
          <w:spacing w:val="6"/>
          <w:sz w:val="24"/>
          <w:highlight w:val="none"/>
        </w:rPr>
      </w:pPr>
      <w:r>
        <w:rPr>
          <w:rFonts w:hint="eastAsia" w:ascii="宋体" w:hAnsi="宋体"/>
          <w:color w:val="auto"/>
          <w:spacing w:val="6"/>
          <w:sz w:val="24"/>
          <w:highlight w:val="none"/>
        </w:rPr>
        <w:t>日期：</w:t>
      </w:r>
      <w:r>
        <w:rPr>
          <w:rFonts w:hint="eastAsia" w:ascii="宋体" w:hAnsi="宋体"/>
          <w:color w:val="auto"/>
          <w:sz w:val="24"/>
          <w:highlight w:val="none"/>
        </w:rPr>
        <w:t xml:space="preserve">  </w:t>
      </w:r>
      <w:r>
        <w:rPr>
          <w:rFonts w:hint="eastAsia" w:ascii="宋体" w:hAnsi="宋体"/>
          <w:color w:val="auto"/>
          <w:spacing w:val="6"/>
          <w:sz w:val="24"/>
          <w:highlight w:val="none"/>
        </w:rPr>
        <w:t>年</w:t>
      </w:r>
      <w:r>
        <w:rPr>
          <w:rFonts w:hint="eastAsia" w:ascii="宋体" w:hAnsi="宋体"/>
          <w:color w:val="auto"/>
          <w:sz w:val="24"/>
          <w:highlight w:val="none"/>
        </w:rPr>
        <w:t xml:space="preserve">  </w:t>
      </w:r>
      <w:r>
        <w:rPr>
          <w:rFonts w:hint="eastAsia" w:ascii="宋体" w:hAnsi="宋体"/>
          <w:color w:val="auto"/>
          <w:spacing w:val="6"/>
          <w:sz w:val="24"/>
          <w:highlight w:val="none"/>
        </w:rPr>
        <w:t>月</w:t>
      </w:r>
      <w:r>
        <w:rPr>
          <w:rFonts w:hint="eastAsia" w:ascii="宋体" w:hAnsi="宋体"/>
          <w:color w:val="auto"/>
          <w:sz w:val="24"/>
          <w:highlight w:val="none"/>
        </w:rPr>
        <w:t xml:space="preserve">  </w:t>
      </w:r>
      <w:r>
        <w:rPr>
          <w:rFonts w:hint="eastAsia" w:ascii="宋体" w:hAnsi="宋体"/>
          <w:color w:val="auto"/>
          <w:spacing w:val="6"/>
          <w:sz w:val="24"/>
          <w:highlight w:val="none"/>
        </w:rPr>
        <w:t>日</w:t>
      </w:r>
    </w:p>
    <w:p>
      <w:pPr>
        <w:pStyle w:val="14"/>
        <w:spacing w:line="360" w:lineRule="auto"/>
        <w:jc w:val="center"/>
        <w:rPr>
          <w:rFonts w:hAnsi="宋体"/>
          <w:b/>
          <w:color w:val="auto"/>
          <w:sz w:val="32"/>
          <w:szCs w:val="32"/>
          <w:highlight w:val="none"/>
          <w:lang w:val="en-GB"/>
        </w:rPr>
      </w:pPr>
    </w:p>
    <w:p>
      <w:pPr>
        <w:pStyle w:val="14"/>
        <w:spacing w:line="360" w:lineRule="auto"/>
        <w:jc w:val="center"/>
        <w:rPr>
          <w:rFonts w:hAnsi="宋体"/>
          <w:b/>
          <w:color w:val="auto"/>
          <w:sz w:val="32"/>
          <w:szCs w:val="32"/>
          <w:highlight w:val="none"/>
          <w:lang w:val="en-GB"/>
        </w:rPr>
      </w:pPr>
    </w:p>
    <w:p>
      <w:pPr>
        <w:pStyle w:val="14"/>
        <w:spacing w:line="360" w:lineRule="auto"/>
        <w:jc w:val="center"/>
        <w:rPr>
          <w:rFonts w:hAnsi="宋体"/>
          <w:b/>
          <w:color w:val="auto"/>
          <w:sz w:val="32"/>
          <w:szCs w:val="32"/>
          <w:highlight w:val="none"/>
          <w:lang w:val="en-GB"/>
        </w:rPr>
      </w:pPr>
    </w:p>
    <w:p>
      <w:pPr>
        <w:pStyle w:val="14"/>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日  期：</w:t>
      </w:r>
    </w:p>
    <w:p>
      <w:pPr>
        <w:pStyle w:val="3"/>
        <w:rPr>
          <w:color w:val="auto"/>
          <w:highlight w:val="none"/>
        </w:rPr>
      </w:pPr>
      <w:r>
        <w:rPr>
          <w:rFonts w:hint="eastAsia"/>
          <w:color w:val="auto"/>
          <w:highlight w:val="none"/>
        </w:rPr>
        <w:br w:type="page"/>
      </w:r>
    </w:p>
    <w:p>
      <w:pPr>
        <w:pStyle w:val="14"/>
        <w:snapToGrid w:val="0"/>
        <w:spacing w:before="120" w:after="120" w:line="360" w:lineRule="auto"/>
        <w:outlineLvl w:val="2"/>
        <w:rPr>
          <w:rFonts w:hAnsi="宋体"/>
          <w:b/>
          <w:color w:val="auto"/>
          <w:sz w:val="28"/>
          <w:szCs w:val="28"/>
          <w:highlight w:val="none"/>
        </w:rPr>
      </w:pPr>
      <w:r>
        <w:rPr>
          <w:rFonts w:hint="eastAsia" w:hAnsi="宋体"/>
          <w:b/>
          <w:color w:val="auto"/>
          <w:sz w:val="28"/>
          <w:szCs w:val="28"/>
          <w:highlight w:val="none"/>
        </w:rPr>
        <w:t>附件1</w:t>
      </w:r>
      <w:r>
        <w:rPr>
          <w:rFonts w:hint="eastAsia" w:hAnsi="宋体"/>
          <w:b/>
          <w:color w:val="auto"/>
          <w:sz w:val="28"/>
          <w:szCs w:val="28"/>
          <w:highlight w:val="none"/>
          <w:lang w:val="en-US" w:eastAsia="zh-CN"/>
        </w:rPr>
        <w:t>3</w:t>
      </w:r>
      <w:r>
        <w:rPr>
          <w:rFonts w:hint="eastAsia" w:hAnsi="宋体"/>
          <w:b/>
          <w:color w:val="auto"/>
          <w:sz w:val="28"/>
          <w:szCs w:val="28"/>
          <w:highlight w:val="none"/>
        </w:rPr>
        <w:t xml:space="preserve"> 产品适用政府采购政策情况表</w:t>
      </w:r>
    </w:p>
    <w:p>
      <w:pPr>
        <w:pStyle w:val="45"/>
        <w:spacing w:line="360" w:lineRule="auto"/>
        <w:rPr>
          <w:color w:val="auto"/>
          <w:highlight w:val="none"/>
        </w:rPr>
      </w:pPr>
    </w:p>
    <w:p>
      <w:pPr>
        <w:pStyle w:val="49"/>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49"/>
        <w:spacing w:line="360" w:lineRule="auto"/>
        <w:jc w:val="center"/>
        <w:rPr>
          <w:rFonts w:ascii="宋体" w:hAnsi="宋体"/>
          <w:b/>
          <w:color w:val="auto"/>
          <w:sz w:val="32"/>
          <w:szCs w:val="32"/>
          <w:highlight w:val="none"/>
          <w:lang w:val="en-GB"/>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8111" w:type="dxa"/>
            <w:gridSpan w:val="3"/>
            <w:vAlign w:val="center"/>
          </w:tcPr>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49"/>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bl>
          <w:p>
            <w:pPr>
              <w:pStyle w:val="49"/>
              <w:tabs>
                <w:tab w:val="left" w:pos="1260"/>
              </w:tabs>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tabs>
                <w:tab w:val="left" w:pos="1260"/>
              </w:tabs>
              <w:jc w:val="center"/>
              <w:rPr>
                <w:rFonts w:ascii="宋体" w:hAnsi="宋体"/>
                <w:color w:val="auto"/>
                <w:sz w:val="24"/>
                <w:highlight w:val="none"/>
                <w:lang w:val="en-GB"/>
              </w:rPr>
            </w:pPr>
          </w:p>
        </w:tc>
        <w:tc>
          <w:tcPr>
            <w:tcW w:w="2679"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3811"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621"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tabs>
                <w:tab w:val="left" w:pos="1260"/>
              </w:tabs>
              <w:jc w:val="center"/>
              <w:rPr>
                <w:rFonts w:ascii="宋体" w:hAnsi="宋体"/>
                <w:color w:val="auto"/>
                <w:sz w:val="24"/>
                <w:highlight w:val="none"/>
                <w:lang w:val="en-GB"/>
              </w:rPr>
            </w:pPr>
          </w:p>
        </w:tc>
        <w:tc>
          <w:tcPr>
            <w:tcW w:w="2679" w:type="dxa"/>
            <w:vAlign w:val="center"/>
          </w:tcPr>
          <w:p>
            <w:pPr>
              <w:pStyle w:val="49"/>
              <w:tabs>
                <w:tab w:val="left" w:pos="1260"/>
              </w:tabs>
              <w:jc w:val="center"/>
              <w:rPr>
                <w:rFonts w:ascii="宋体" w:hAnsi="宋体"/>
                <w:color w:val="auto"/>
                <w:sz w:val="24"/>
                <w:highlight w:val="none"/>
                <w:lang w:val="en-GB"/>
              </w:rPr>
            </w:pPr>
          </w:p>
        </w:tc>
        <w:tc>
          <w:tcPr>
            <w:tcW w:w="3811" w:type="dxa"/>
            <w:vAlign w:val="center"/>
          </w:tcPr>
          <w:p>
            <w:pPr>
              <w:pStyle w:val="49"/>
              <w:tabs>
                <w:tab w:val="left" w:pos="1260"/>
              </w:tabs>
              <w:jc w:val="center"/>
              <w:rPr>
                <w:rFonts w:ascii="宋体" w:hAnsi="宋体"/>
                <w:color w:val="auto"/>
                <w:sz w:val="24"/>
                <w:highlight w:val="none"/>
                <w:lang w:val="en-GB"/>
              </w:rPr>
            </w:pPr>
          </w:p>
        </w:tc>
        <w:tc>
          <w:tcPr>
            <w:tcW w:w="1621"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tabs>
                <w:tab w:val="left" w:pos="1260"/>
              </w:tabs>
              <w:jc w:val="center"/>
              <w:rPr>
                <w:rFonts w:ascii="宋体" w:hAnsi="宋体"/>
                <w:color w:val="auto"/>
                <w:sz w:val="24"/>
                <w:highlight w:val="none"/>
                <w:lang w:val="en-GB"/>
              </w:rPr>
            </w:pPr>
          </w:p>
        </w:tc>
        <w:tc>
          <w:tcPr>
            <w:tcW w:w="2679" w:type="dxa"/>
            <w:vAlign w:val="center"/>
          </w:tcPr>
          <w:p>
            <w:pPr>
              <w:pStyle w:val="49"/>
              <w:tabs>
                <w:tab w:val="left" w:pos="1260"/>
              </w:tabs>
              <w:jc w:val="center"/>
              <w:rPr>
                <w:rFonts w:ascii="宋体" w:hAnsi="宋体"/>
                <w:color w:val="auto"/>
                <w:sz w:val="24"/>
                <w:highlight w:val="none"/>
                <w:lang w:val="en-GB"/>
              </w:rPr>
            </w:pPr>
          </w:p>
        </w:tc>
        <w:tc>
          <w:tcPr>
            <w:tcW w:w="3811" w:type="dxa"/>
            <w:vAlign w:val="center"/>
          </w:tcPr>
          <w:p>
            <w:pPr>
              <w:pStyle w:val="49"/>
              <w:tabs>
                <w:tab w:val="left" w:pos="1260"/>
              </w:tabs>
              <w:jc w:val="center"/>
              <w:rPr>
                <w:rFonts w:ascii="宋体" w:hAnsi="宋体"/>
                <w:color w:val="auto"/>
                <w:sz w:val="24"/>
                <w:highlight w:val="none"/>
                <w:lang w:val="en-GB"/>
              </w:rPr>
            </w:pPr>
          </w:p>
        </w:tc>
        <w:tc>
          <w:tcPr>
            <w:tcW w:w="1621"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tabs>
                <w:tab w:val="left" w:pos="1260"/>
              </w:tabs>
              <w:jc w:val="center"/>
              <w:rPr>
                <w:rFonts w:ascii="宋体" w:hAnsi="宋体"/>
                <w:color w:val="auto"/>
                <w:sz w:val="24"/>
                <w:highlight w:val="none"/>
                <w:lang w:val="en-GB"/>
              </w:rPr>
            </w:pPr>
          </w:p>
        </w:tc>
        <w:tc>
          <w:tcPr>
            <w:tcW w:w="2679" w:type="dxa"/>
            <w:vAlign w:val="center"/>
          </w:tcPr>
          <w:p>
            <w:pPr>
              <w:pStyle w:val="49"/>
              <w:tabs>
                <w:tab w:val="left" w:pos="1260"/>
              </w:tabs>
              <w:jc w:val="center"/>
              <w:rPr>
                <w:rFonts w:ascii="宋体" w:hAnsi="宋体"/>
                <w:color w:val="auto"/>
                <w:sz w:val="24"/>
                <w:highlight w:val="none"/>
                <w:lang w:val="en-GB"/>
              </w:rPr>
            </w:pPr>
          </w:p>
        </w:tc>
        <w:tc>
          <w:tcPr>
            <w:tcW w:w="3811" w:type="dxa"/>
            <w:vAlign w:val="center"/>
          </w:tcPr>
          <w:p>
            <w:pPr>
              <w:pStyle w:val="49"/>
              <w:tabs>
                <w:tab w:val="left" w:pos="1260"/>
              </w:tabs>
              <w:jc w:val="center"/>
              <w:rPr>
                <w:rFonts w:ascii="宋体" w:hAnsi="宋体"/>
                <w:color w:val="auto"/>
                <w:sz w:val="24"/>
                <w:highlight w:val="none"/>
                <w:lang w:val="en-GB"/>
              </w:rPr>
            </w:pPr>
          </w:p>
        </w:tc>
        <w:tc>
          <w:tcPr>
            <w:tcW w:w="1621"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9"/>
              <w:tabs>
                <w:tab w:val="left" w:pos="1260"/>
              </w:tabs>
              <w:jc w:val="center"/>
              <w:rPr>
                <w:rFonts w:ascii="宋体" w:hAnsi="宋体"/>
                <w:color w:val="auto"/>
                <w:sz w:val="24"/>
                <w:highlight w:val="none"/>
                <w:lang w:val="en-GB"/>
              </w:rPr>
            </w:pPr>
          </w:p>
        </w:tc>
        <w:tc>
          <w:tcPr>
            <w:tcW w:w="6490" w:type="dxa"/>
            <w:gridSpan w:val="2"/>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p>
            <w:pPr>
              <w:rPr>
                <w:color w:val="auto"/>
                <w:highlight w:val="none"/>
              </w:rPr>
            </w:pPr>
          </w:p>
        </w:tc>
        <w:tc>
          <w:tcPr>
            <w:tcW w:w="1621" w:type="dxa"/>
            <w:vAlign w:val="center"/>
          </w:tcPr>
          <w:p>
            <w:pPr>
              <w:pStyle w:val="49"/>
              <w:tabs>
                <w:tab w:val="left" w:pos="1260"/>
              </w:tabs>
              <w:jc w:val="center"/>
              <w:rPr>
                <w:rFonts w:ascii="宋体" w:hAnsi="宋体"/>
                <w:color w:val="auto"/>
                <w:sz w:val="24"/>
                <w:highlight w:val="none"/>
                <w:lang w:val="en-GB"/>
              </w:rPr>
            </w:pPr>
          </w:p>
        </w:tc>
      </w:tr>
    </w:tbl>
    <w:p>
      <w:pPr>
        <w:pStyle w:val="49"/>
        <w:spacing w:line="360" w:lineRule="auto"/>
        <w:rPr>
          <w:rFonts w:ascii="宋体" w:hAnsi="宋体"/>
          <w:color w:val="auto"/>
          <w:szCs w:val="21"/>
          <w:highlight w:val="none"/>
          <w:lang w:val="en-GB"/>
        </w:rPr>
      </w:pPr>
    </w:p>
    <w:p>
      <w:pPr>
        <w:pStyle w:val="49"/>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49"/>
        <w:widowControl/>
        <w:numPr>
          <w:ilvl w:val="0"/>
          <w:numId w:val="7"/>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本表的产品名称、规格型号和注册商标、金额要与《报价明细表》一致。</w:t>
      </w:r>
    </w:p>
    <w:p>
      <w:pPr>
        <w:pStyle w:val="49"/>
        <w:widowControl/>
        <w:numPr>
          <w:ilvl w:val="0"/>
          <w:numId w:val="7"/>
        </w:numPr>
        <w:tabs>
          <w:tab w:val="left" w:pos="360"/>
        </w:tabs>
        <w:spacing w:line="360" w:lineRule="auto"/>
        <w:ind w:left="360" w:right="84" w:rightChars="40" w:hanging="36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49"/>
        <w:widowControl/>
        <w:numPr>
          <w:ilvl w:val="0"/>
          <w:numId w:val="7"/>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54"/>
        <w:shd w:val="clear" w:color="auto" w:fill="FFFFFF"/>
        <w:snapToGrid w:val="0"/>
        <w:spacing w:beforeLines="50" w:beforeAutospacing="0" w:afterLines="50" w:afterAutospacing="0"/>
        <w:ind w:firstLine="424" w:firstLineChars="177"/>
        <w:rPr>
          <w:color w:val="auto"/>
          <w:highlight w:val="none"/>
          <w:u w:val="single"/>
          <w:lang w:val="en-GB"/>
        </w:rPr>
      </w:pPr>
    </w:p>
    <w:p>
      <w:pPr>
        <w:pStyle w:val="14"/>
        <w:snapToGrid w:val="0"/>
        <w:rPr>
          <w:rFonts w:hAnsi="宋体"/>
          <w:color w:val="auto"/>
          <w:highlight w:val="none"/>
        </w:rPr>
      </w:pPr>
      <w:r>
        <w:rPr>
          <w:rFonts w:hint="eastAsia" w:hAnsi="宋体"/>
          <w:color w:val="auto"/>
          <w:highlight w:val="none"/>
        </w:rPr>
        <w:t xml:space="preserve">  </w:t>
      </w:r>
    </w:p>
    <w:p>
      <w:pPr>
        <w:rPr>
          <w:color w:val="auto"/>
          <w:highlight w:val="none"/>
        </w:rPr>
      </w:pPr>
    </w:p>
    <w:p>
      <w:pPr>
        <w:pStyle w:val="54"/>
        <w:shd w:val="clear" w:color="auto" w:fill="FFFFFF"/>
        <w:snapToGrid w:val="0"/>
        <w:spacing w:beforeLines="50" w:beforeAutospacing="0" w:afterLines="50" w:afterAutospacing="0"/>
        <w:ind w:firstLine="424" w:firstLineChars="177"/>
        <w:rPr>
          <w:color w:val="auto"/>
          <w:highlight w:val="none"/>
          <w:u w:val="single"/>
          <w:lang w:val="en-GB"/>
        </w:rPr>
      </w:pPr>
    </w:p>
    <w:p>
      <w:pPr>
        <w:pStyle w:val="54"/>
        <w:shd w:val="clear" w:color="auto" w:fill="FFFFFF"/>
        <w:snapToGrid w:val="0"/>
        <w:spacing w:beforeLines="50" w:beforeAutospacing="0" w:afterLines="50" w:afterAutospacing="0"/>
        <w:ind w:firstLine="424" w:firstLineChars="177"/>
        <w:rPr>
          <w:color w:val="auto"/>
          <w:highlight w:val="none"/>
          <w:u w:val="single"/>
          <w:lang w:val="en-GB"/>
        </w:rPr>
      </w:pPr>
    </w:p>
    <w:p>
      <w:pPr>
        <w:snapToGrid w:val="0"/>
        <w:spacing w:beforeLines="50" w:after="50" w:line="360" w:lineRule="auto"/>
        <w:rPr>
          <w:color w:val="auto"/>
          <w:highlight w:val="none"/>
          <w:lang w:val="en-GB"/>
        </w:rPr>
      </w:pPr>
      <w:r>
        <w:rPr>
          <w:rFonts w:hint="eastAsia" w:ascii="仿宋_GB2312" w:hAnsi="宋体" w:eastAsia="仿宋_GB2312"/>
          <w:b/>
          <w:color w:val="auto"/>
          <w:sz w:val="30"/>
          <w:szCs w:val="30"/>
          <w:highlight w:val="none"/>
        </w:rPr>
        <w:t xml:space="preserve">     </w:t>
      </w:r>
    </w:p>
    <w:sectPr>
      <w:pgSz w:w="11906" w:h="16838"/>
      <w:pgMar w:top="1013" w:right="1295" w:bottom="329" w:left="1371" w:header="851" w:footer="68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1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w:txbxContent>
              <w:p>
                <w:pPr>
                  <w:pStyle w:val="18"/>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AA4FBC5"/>
    <w:multiLevelType w:val="singleLevel"/>
    <w:tmpl w:val="CAA4FBC5"/>
    <w:lvl w:ilvl="0" w:tentative="0">
      <w:start w:val="2"/>
      <w:numFmt w:val="decimal"/>
      <w:suff w:val="nothing"/>
      <w:lvlText w:val="（%1）"/>
      <w:lvlJc w:val="left"/>
    </w:lvl>
  </w:abstractNum>
  <w:abstractNum w:abstractNumId="2">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3">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5">
    <w:nsid w:val="71575BFF"/>
    <w:multiLevelType w:val="multilevel"/>
    <w:tmpl w:val="71575BFF"/>
    <w:lvl w:ilvl="0" w:tentative="0">
      <w:start w:val="1"/>
      <w:numFmt w:val="decimal"/>
      <w:lvlText w:val="%1、"/>
      <w:lvlJc w:val="left"/>
      <w:pPr>
        <w:ind w:left="1228" w:hanging="795"/>
      </w:pPr>
      <w:rPr>
        <w:rFonts w:hint="default"/>
      </w:rPr>
    </w:lvl>
    <w:lvl w:ilvl="1" w:tentative="0">
      <w:start w:val="1"/>
      <w:numFmt w:val="lowerLetter"/>
      <w:lvlText w:val="%2)"/>
      <w:lvlJc w:val="left"/>
      <w:pPr>
        <w:ind w:left="1273" w:hanging="420"/>
      </w:pPr>
    </w:lvl>
    <w:lvl w:ilvl="2" w:tentative="0">
      <w:start w:val="1"/>
      <w:numFmt w:val="lowerRoman"/>
      <w:lvlText w:val="%3."/>
      <w:lvlJc w:val="right"/>
      <w:pPr>
        <w:ind w:left="1693" w:hanging="420"/>
      </w:pPr>
    </w:lvl>
    <w:lvl w:ilvl="3" w:tentative="0">
      <w:start w:val="1"/>
      <w:numFmt w:val="decimal"/>
      <w:lvlText w:val="%4."/>
      <w:lvlJc w:val="left"/>
      <w:pPr>
        <w:ind w:left="2113" w:hanging="420"/>
      </w:pPr>
    </w:lvl>
    <w:lvl w:ilvl="4" w:tentative="0">
      <w:start w:val="1"/>
      <w:numFmt w:val="lowerLetter"/>
      <w:lvlText w:val="%5)"/>
      <w:lvlJc w:val="left"/>
      <w:pPr>
        <w:ind w:left="2533" w:hanging="420"/>
      </w:pPr>
    </w:lvl>
    <w:lvl w:ilvl="5" w:tentative="0">
      <w:start w:val="1"/>
      <w:numFmt w:val="lowerRoman"/>
      <w:lvlText w:val="%6."/>
      <w:lvlJc w:val="right"/>
      <w:pPr>
        <w:ind w:left="2953" w:hanging="420"/>
      </w:pPr>
    </w:lvl>
    <w:lvl w:ilvl="6" w:tentative="0">
      <w:start w:val="1"/>
      <w:numFmt w:val="decimal"/>
      <w:lvlText w:val="%7."/>
      <w:lvlJc w:val="left"/>
      <w:pPr>
        <w:ind w:left="3373" w:hanging="420"/>
      </w:pPr>
    </w:lvl>
    <w:lvl w:ilvl="7" w:tentative="0">
      <w:start w:val="1"/>
      <w:numFmt w:val="lowerLetter"/>
      <w:lvlText w:val="%8)"/>
      <w:lvlJc w:val="left"/>
      <w:pPr>
        <w:ind w:left="3793" w:hanging="420"/>
      </w:pPr>
    </w:lvl>
    <w:lvl w:ilvl="8" w:tentative="0">
      <w:start w:val="1"/>
      <w:numFmt w:val="lowerRoman"/>
      <w:lvlText w:val="%9."/>
      <w:lvlJc w:val="right"/>
      <w:pPr>
        <w:ind w:left="4213" w:hanging="420"/>
      </w:pPr>
    </w:lvl>
  </w:abstractNum>
  <w:abstractNum w:abstractNumId="6">
    <w:nsid w:val="79E75356"/>
    <w:multiLevelType w:val="multilevel"/>
    <w:tmpl w:val="79E75356"/>
    <w:lvl w:ilvl="0" w:tentative="0">
      <w:start w:val="6"/>
      <w:numFmt w:val="decimal"/>
      <w:lvlText w:val="（%1）"/>
      <w:lvlJc w:val="left"/>
      <w:pPr>
        <w:ind w:left="1200" w:hanging="720"/>
      </w:pPr>
      <w:rPr>
        <w:rFonts w:hint="default"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5CDE"/>
    <w:rsid w:val="00002FCA"/>
    <w:rsid w:val="00003136"/>
    <w:rsid w:val="000068E3"/>
    <w:rsid w:val="00007EDE"/>
    <w:rsid w:val="000113CF"/>
    <w:rsid w:val="00014706"/>
    <w:rsid w:val="00017405"/>
    <w:rsid w:val="0002114A"/>
    <w:rsid w:val="000238C2"/>
    <w:rsid w:val="000251CD"/>
    <w:rsid w:val="0003122F"/>
    <w:rsid w:val="00033334"/>
    <w:rsid w:val="00034FCB"/>
    <w:rsid w:val="00047A6E"/>
    <w:rsid w:val="00050F28"/>
    <w:rsid w:val="00054A02"/>
    <w:rsid w:val="00056ED9"/>
    <w:rsid w:val="00057F44"/>
    <w:rsid w:val="000618F0"/>
    <w:rsid w:val="00061D88"/>
    <w:rsid w:val="0006351F"/>
    <w:rsid w:val="0007056E"/>
    <w:rsid w:val="00074DD4"/>
    <w:rsid w:val="00075AD8"/>
    <w:rsid w:val="00076373"/>
    <w:rsid w:val="00077A92"/>
    <w:rsid w:val="00077D04"/>
    <w:rsid w:val="00081BD7"/>
    <w:rsid w:val="0008691B"/>
    <w:rsid w:val="00091BDE"/>
    <w:rsid w:val="00092528"/>
    <w:rsid w:val="00093886"/>
    <w:rsid w:val="0009771D"/>
    <w:rsid w:val="000A1572"/>
    <w:rsid w:val="000A1947"/>
    <w:rsid w:val="000A3E87"/>
    <w:rsid w:val="000A5FE4"/>
    <w:rsid w:val="000A6575"/>
    <w:rsid w:val="000B1E87"/>
    <w:rsid w:val="000B63D1"/>
    <w:rsid w:val="000B736F"/>
    <w:rsid w:val="000C08F1"/>
    <w:rsid w:val="000C0B10"/>
    <w:rsid w:val="000C2F32"/>
    <w:rsid w:val="000C5B76"/>
    <w:rsid w:val="000C6D68"/>
    <w:rsid w:val="000D4371"/>
    <w:rsid w:val="000D5A71"/>
    <w:rsid w:val="000D74CC"/>
    <w:rsid w:val="000E308E"/>
    <w:rsid w:val="000E3830"/>
    <w:rsid w:val="000F0A28"/>
    <w:rsid w:val="00101A66"/>
    <w:rsid w:val="00111749"/>
    <w:rsid w:val="00111E1B"/>
    <w:rsid w:val="00116C9D"/>
    <w:rsid w:val="00117D49"/>
    <w:rsid w:val="001224C6"/>
    <w:rsid w:val="00122D50"/>
    <w:rsid w:val="001318A9"/>
    <w:rsid w:val="00131B16"/>
    <w:rsid w:val="00133C9E"/>
    <w:rsid w:val="001346F0"/>
    <w:rsid w:val="0013594D"/>
    <w:rsid w:val="00136A01"/>
    <w:rsid w:val="0013792F"/>
    <w:rsid w:val="00140EC9"/>
    <w:rsid w:val="00142C82"/>
    <w:rsid w:val="00147C0A"/>
    <w:rsid w:val="001501C0"/>
    <w:rsid w:val="001516AF"/>
    <w:rsid w:val="00153F10"/>
    <w:rsid w:val="001574E8"/>
    <w:rsid w:val="00166951"/>
    <w:rsid w:val="00166D22"/>
    <w:rsid w:val="00167F96"/>
    <w:rsid w:val="00171313"/>
    <w:rsid w:val="001771E5"/>
    <w:rsid w:val="001778D7"/>
    <w:rsid w:val="00181F9E"/>
    <w:rsid w:val="00182FFF"/>
    <w:rsid w:val="001830C2"/>
    <w:rsid w:val="00186534"/>
    <w:rsid w:val="001865C2"/>
    <w:rsid w:val="00190B97"/>
    <w:rsid w:val="0019183A"/>
    <w:rsid w:val="00193728"/>
    <w:rsid w:val="00196345"/>
    <w:rsid w:val="00196BAF"/>
    <w:rsid w:val="001A1283"/>
    <w:rsid w:val="001A554A"/>
    <w:rsid w:val="001A6152"/>
    <w:rsid w:val="001B40C9"/>
    <w:rsid w:val="001C1667"/>
    <w:rsid w:val="001D01A4"/>
    <w:rsid w:val="001D1ACD"/>
    <w:rsid w:val="001D1DB2"/>
    <w:rsid w:val="001D53D7"/>
    <w:rsid w:val="001D69DA"/>
    <w:rsid w:val="001D7F0C"/>
    <w:rsid w:val="001E4207"/>
    <w:rsid w:val="001E66E4"/>
    <w:rsid w:val="001E66EF"/>
    <w:rsid w:val="001E7308"/>
    <w:rsid w:val="001E738B"/>
    <w:rsid w:val="001E7EDC"/>
    <w:rsid w:val="001F00FE"/>
    <w:rsid w:val="001F573C"/>
    <w:rsid w:val="00200B04"/>
    <w:rsid w:val="0020336B"/>
    <w:rsid w:val="00204B47"/>
    <w:rsid w:val="002116C9"/>
    <w:rsid w:val="00217E6D"/>
    <w:rsid w:val="00225CDE"/>
    <w:rsid w:val="00225EE4"/>
    <w:rsid w:val="002272C6"/>
    <w:rsid w:val="00241EB4"/>
    <w:rsid w:val="00244758"/>
    <w:rsid w:val="00255016"/>
    <w:rsid w:val="00256CB0"/>
    <w:rsid w:val="00257A80"/>
    <w:rsid w:val="0026109B"/>
    <w:rsid w:val="002635F8"/>
    <w:rsid w:val="00263B66"/>
    <w:rsid w:val="00264884"/>
    <w:rsid w:val="00266D03"/>
    <w:rsid w:val="00270EB6"/>
    <w:rsid w:val="00271703"/>
    <w:rsid w:val="002760D9"/>
    <w:rsid w:val="0028433D"/>
    <w:rsid w:val="00290604"/>
    <w:rsid w:val="00291659"/>
    <w:rsid w:val="0029477C"/>
    <w:rsid w:val="002966F0"/>
    <w:rsid w:val="00296AEA"/>
    <w:rsid w:val="002A11D8"/>
    <w:rsid w:val="002B26BA"/>
    <w:rsid w:val="002B3C3B"/>
    <w:rsid w:val="002B63EB"/>
    <w:rsid w:val="002C3466"/>
    <w:rsid w:val="002C3AF4"/>
    <w:rsid w:val="002C48CA"/>
    <w:rsid w:val="002D0961"/>
    <w:rsid w:val="002D3351"/>
    <w:rsid w:val="002D3C2B"/>
    <w:rsid w:val="002D4214"/>
    <w:rsid w:val="002D4699"/>
    <w:rsid w:val="002D4E9E"/>
    <w:rsid w:val="002E0695"/>
    <w:rsid w:val="002E12F2"/>
    <w:rsid w:val="002E490E"/>
    <w:rsid w:val="002F14B6"/>
    <w:rsid w:val="002F2E84"/>
    <w:rsid w:val="002F61FA"/>
    <w:rsid w:val="002F67C7"/>
    <w:rsid w:val="002F6D52"/>
    <w:rsid w:val="00302F54"/>
    <w:rsid w:val="0031041F"/>
    <w:rsid w:val="00314627"/>
    <w:rsid w:val="0032065E"/>
    <w:rsid w:val="00321974"/>
    <w:rsid w:val="0032227D"/>
    <w:rsid w:val="003261EA"/>
    <w:rsid w:val="00326A93"/>
    <w:rsid w:val="0033564A"/>
    <w:rsid w:val="00336F8A"/>
    <w:rsid w:val="003377CE"/>
    <w:rsid w:val="003439E2"/>
    <w:rsid w:val="003448C9"/>
    <w:rsid w:val="00346E4B"/>
    <w:rsid w:val="003505FE"/>
    <w:rsid w:val="00350768"/>
    <w:rsid w:val="0035233F"/>
    <w:rsid w:val="003535A8"/>
    <w:rsid w:val="00354B3E"/>
    <w:rsid w:val="00360B83"/>
    <w:rsid w:val="003625A2"/>
    <w:rsid w:val="003645EF"/>
    <w:rsid w:val="003672EE"/>
    <w:rsid w:val="00372507"/>
    <w:rsid w:val="00372E53"/>
    <w:rsid w:val="00374028"/>
    <w:rsid w:val="00374CB0"/>
    <w:rsid w:val="003769A9"/>
    <w:rsid w:val="00376C70"/>
    <w:rsid w:val="00386D57"/>
    <w:rsid w:val="00387546"/>
    <w:rsid w:val="003915F1"/>
    <w:rsid w:val="00396BEF"/>
    <w:rsid w:val="00397381"/>
    <w:rsid w:val="003976E5"/>
    <w:rsid w:val="00397A50"/>
    <w:rsid w:val="003A2814"/>
    <w:rsid w:val="003A48F1"/>
    <w:rsid w:val="003A53DD"/>
    <w:rsid w:val="003B04B4"/>
    <w:rsid w:val="003B3A65"/>
    <w:rsid w:val="003B6C51"/>
    <w:rsid w:val="003B7536"/>
    <w:rsid w:val="003C40FF"/>
    <w:rsid w:val="003D06E7"/>
    <w:rsid w:val="003D22B7"/>
    <w:rsid w:val="003D2A40"/>
    <w:rsid w:val="003D3BED"/>
    <w:rsid w:val="003D4D39"/>
    <w:rsid w:val="003D563A"/>
    <w:rsid w:val="003D7521"/>
    <w:rsid w:val="003E1D65"/>
    <w:rsid w:val="003E2C83"/>
    <w:rsid w:val="003E4624"/>
    <w:rsid w:val="003F3FC9"/>
    <w:rsid w:val="00401C7B"/>
    <w:rsid w:val="00402187"/>
    <w:rsid w:val="00404FC3"/>
    <w:rsid w:val="00405E5A"/>
    <w:rsid w:val="004068C9"/>
    <w:rsid w:val="00413767"/>
    <w:rsid w:val="0041416B"/>
    <w:rsid w:val="004147D9"/>
    <w:rsid w:val="00424ECB"/>
    <w:rsid w:val="00437C2D"/>
    <w:rsid w:val="0044224A"/>
    <w:rsid w:val="00446652"/>
    <w:rsid w:val="00450129"/>
    <w:rsid w:val="00452557"/>
    <w:rsid w:val="0045278C"/>
    <w:rsid w:val="00456F48"/>
    <w:rsid w:val="00457B04"/>
    <w:rsid w:val="0046059F"/>
    <w:rsid w:val="00465FA9"/>
    <w:rsid w:val="004663F2"/>
    <w:rsid w:val="004671CC"/>
    <w:rsid w:val="004779A1"/>
    <w:rsid w:val="00480127"/>
    <w:rsid w:val="004921ED"/>
    <w:rsid w:val="004932F9"/>
    <w:rsid w:val="00494025"/>
    <w:rsid w:val="00495681"/>
    <w:rsid w:val="004A025E"/>
    <w:rsid w:val="004A2C45"/>
    <w:rsid w:val="004A4ACE"/>
    <w:rsid w:val="004B0C7C"/>
    <w:rsid w:val="004C6BF3"/>
    <w:rsid w:val="004C6C06"/>
    <w:rsid w:val="004C7E18"/>
    <w:rsid w:val="004D0AB5"/>
    <w:rsid w:val="004D2C97"/>
    <w:rsid w:val="004D4442"/>
    <w:rsid w:val="004D4E7A"/>
    <w:rsid w:val="004D7C69"/>
    <w:rsid w:val="004E1B0E"/>
    <w:rsid w:val="004E2E89"/>
    <w:rsid w:val="004E51C3"/>
    <w:rsid w:val="004E6325"/>
    <w:rsid w:val="004F53F0"/>
    <w:rsid w:val="004F6293"/>
    <w:rsid w:val="004F6578"/>
    <w:rsid w:val="00500BCB"/>
    <w:rsid w:val="00501A03"/>
    <w:rsid w:val="00504168"/>
    <w:rsid w:val="005078C0"/>
    <w:rsid w:val="0051052F"/>
    <w:rsid w:val="00514CCC"/>
    <w:rsid w:val="00515381"/>
    <w:rsid w:val="005256DD"/>
    <w:rsid w:val="0052619C"/>
    <w:rsid w:val="00527110"/>
    <w:rsid w:val="00527BD5"/>
    <w:rsid w:val="00527F76"/>
    <w:rsid w:val="00530F86"/>
    <w:rsid w:val="0054288F"/>
    <w:rsid w:val="00551E5F"/>
    <w:rsid w:val="005575A3"/>
    <w:rsid w:val="00557775"/>
    <w:rsid w:val="005603DC"/>
    <w:rsid w:val="00562B0A"/>
    <w:rsid w:val="00566C93"/>
    <w:rsid w:val="005677A4"/>
    <w:rsid w:val="0058631C"/>
    <w:rsid w:val="005863C2"/>
    <w:rsid w:val="00587935"/>
    <w:rsid w:val="005910D7"/>
    <w:rsid w:val="005973B6"/>
    <w:rsid w:val="005A09F4"/>
    <w:rsid w:val="005A4133"/>
    <w:rsid w:val="005A5FA1"/>
    <w:rsid w:val="005B2CB7"/>
    <w:rsid w:val="005B3546"/>
    <w:rsid w:val="005B4F70"/>
    <w:rsid w:val="005B5F8B"/>
    <w:rsid w:val="005B7068"/>
    <w:rsid w:val="005E2327"/>
    <w:rsid w:val="005E25A6"/>
    <w:rsid w:val="005E440B"/>
    <w:rsid w:val="005E44AE"/>
    <w:rsid w:val="005E488C"/>
    <w:rsid w:val="005E56FA"/>
    <w:rsid w:val="005F1249"/>
    <w:rsid w:val="005F1D3E"/>
    <w:rsid w:val="005F249D"/>
    <w:rsid w:val="005F5F0B"/>
    <w:rsid w:val="005F673A"/>
    <w:rsid w:val="005F6A48"/>
    <w:rsid w:val="0060404C"/>
    <w:rsid w:val="0060421A"/>
    <w:rsid w:val="0061292F"/>
    <w:rsid w:val="00613A83"/>
    <w:rsid w:val="00614F5F"/>
    <w:rsid w:val="0061768D"/>
    <w:rsid w:val="00627192"/>
    <w:rsid w:val="00627531"/>
    <w:rsid w:val="00631BAF"/>
    <w:rsid w:val="006350F0"/>
    <w:rsid w:val="00636B8E"/>
    <w:rsid w:val="00637E20"/>
    <w:rsid w:val="00642496"/>
    <w:rsid w:val="006439F3"/>
    <w:rsid w:val="00644F81"/>
    <w:rsid w:val="00645549"/>
    <w:rsid w:val="00645967"/>
    <w:rsid w:val="00645BD2"/>
    <w:rsid w:val="006475F2"/>
    <w:rsid w:val="006525B5"/>
    <w:rsid w:val="006616BF"/>
    <w:rsid w:val="00661F52"/>
    <w:rsid w:val="006624C3"/>
    <w:rsid w:val="00663FF6"/>
    <w:rsid w:val="00664A3A"/>
    <w:rsid w:val="006707D6"/>
    <w:rsid w:val="00671A9F"/>
    <w:rsid w:val="00675B75"/>
    <w:rsid w:val="0067679A"/>
    <w:rsid w:val="0067762C"/>
    <w:rsid w:val="0068548B"/>
    <w:rsid w:val="00691BB7"/>
    <w:rsid w:val="006933A8"/>
    <w:rsid w:val="0069369A"/>
    <w:rsid w:val="006936AE"/>
    <w:rsid w:val="00694327"/>
    <w:rsid w:val="006946DC"/>
    <w:rsid w:val="00695E5C"/>
    <w:rsid w:val="00697352"/>
    <w:rsid w:val="006A1349"/>
    <w:rsid w:val="006A2F2E"/>
    <w:rsid w:val="006A3712"/>
    <w:rsid w:val="006C13AA"/>
    <w:rsid w:val="006C5ACB"/>
    <w:rsid w:val="006D0B6D"/>
    <w:rsid w:val="006D14F1"/>
    <w:rsid w:val="006D57F5"/>
    <w:rsid w:val="006E4366"/>
    <w:rsid w:val="006E60F3"/>
    <w:rsid w:val="006F1EF4"/>
    <w:rsid w:val="006F1FF3"/>
    <w:rsid w:val="006F2265"/>
    <w:rsid w:val="00700A76"/>
    <w:rsid w:val="00707791"/>
    <w:rsid w:val="007105E5"/>
    <w:rsid w:val="007106F0"/>
    <w:rsid w:val="0071578B"/>
    <w:rsid w:val="00717067"/>
    <w:rsid w:val="007172C4"/>
    <w:rsid w:val="00721909"/>
    <w:rsid w:val="00727F1C"/>
    <w:rsid w:val="007313D6"/>
    <w:rsid w:val="0073498A"/>
    <w:rsid w:val="00740993"/>
    <w:rsid w:val="00741407"/>
    <w:rsid w:val="0074181F"/>
    <w:rsid w:val="00742509"/>
    <w:rsid w:val="00744D37"/>
    <w:rsid w:val="00753C4C"/>
    <w:rsid w:val="00754004"/>
    <w:rsid w:val="0075462B"/>
    <w:rsid w:val="00755E00"/>
    <w:rsid w:val="00764E50"/>
    <w:rsid w:val="00770B44"/>
    <w:rsid w:val="00771A4A"/>
    <w:rsid w:val="0077218B"/>
    <w:rsid w:val="0077324E"/>
    <w:rsid w:val="007768F5"/>
    <w:rsid w:val="00782F73"/>
    <w:rsid w:val="00787152"/>
    <w:rsid w:val="00792AE3"/>
    <w:rsid w:val="007949A8"/>
    <w:rsid w:val="00797397"/>
    <w:rsid w:val="007A08D4"/>
    <w:rsid w:val="007A15DF"/>
    <w:rsid w:val="007A6B99"/>
    <w:rsid w:val="007B1D1F"/>
    <w:rsid w:val="007B689E"/>
    <w:rsid w:val="007C4475"/>
    <w:rsid w:val="007D54B5"/>
    <w:rsid w:val="007D7293"/>
    <w:rsid w:val="007E1BDC"/>
    <w:rsid w:val="007E2766"/>
    <w:rsid w:val="007E53C3"/>
    <w:rsid w:val="007E674A"/>
    <w:rsid w:val="007F0B73"/>
    <w:rsid w:val="007F3F07"/>
    <w:rsid w:val="007F4149"/>
    <w:rsid w:val="007F5652"/>
    <w:rsid w:val="007F75A5"/>
    <w:rsid w:val="007F7985"/>
    <w:rsid w:val="00802384"/>
    <w:rsid w:val="00805C31"/>
    <w:rsid w:val="00805C45"/>
    <w:rsid w:val="00810B1E"/>
    <w:rsid w:val="0081137D"/>
    <w:rsid w:val="00812347"/>
    <w:rsid w:val="00814AFC"/>
    <w:rsid w:val="0081595C"/>
    <w:rsid w:val="00821977"/>
    <w:rsid w:val="00821AEB"/>
    <w:rsid w:val="00826A0F"/>
    <w:rsid w:val="00831DFB"/>
    <w:rsid w:val="008320AE"/>
    <w:rsid w:val="0083794B"/>
    <w:rsid w:val="00840672"/>
    <w:rsid w:val="00842103"/>
    <w:rsid w:val="0084380A"/>
    <w:rsid w:val="00844636"/>
    <w:rsid w:val="0084580B"/>
    <w:rsid w:val="00845EA8"/>
    <w:rsid w:val="00846498"/>
    <w:rsid w:val="00852547"/>
    <w:rsid w:val="0085545A"/>
    <w:rsid w:val="008561C7"/>
    <w:rsid w:val="00862B90"/>
    <w:rsid w:val="00872732"/>
    <w:rsid w:val="0087659D"/>
    <w:rsid w:val="00877248"/>
    <w:rsid w:val="00877D24"/>
    <w:rsid w:val="00880016"/>
    <w:rsid w:val="008833CA"/>
    <w:rsid w:val="00887312"/>
    <w:rsid w:val="008878C2"/>
    <w:rsid w:val="0089321C"/>
    <w:rsid w:val="00893875"/>
    <w:rsid w:val="00894544"/>
    <w:rsid w:val="00895956"/>
    <w:rsid w:val="008A4C03"/>
    <w:rsid w:val="008A5E57"/>
    <w:rsid w:val="008B3853"/>
    <w:rsid w:val="008B4749"/>
    <w:rsid w:val="008B7488"/>
    <w:rsid w:val="008C0B9C"/>
    <w:rsid w:val="008C7665"/>
    <w:rsid w:val="008D13CD"/>
    <w:rsid w:val="008D181F"/>
    <w:rsid w:val="008D399B"/>
    <w:rsid w:val="008D5A5C"/>
    <w:rsid w:val="008E19ED"/>
    <w:rsid w:val="008F3150"/>
    <w:rsid w:val="008F3A7C"/>
    <w:rsid w:val="008F6B74"/>
    <w:rsid w:val="00900F60"/>
    <w:rsid w:val="00906DAD"/>
    <w:rsid w:val="0091051F"/>
    <w:rsid w:val="009168F5"/>
    <w:rsid w:val="00917D80"/>
    <w:rsid w:val="009303C2"/>
    <w:rsid w:val="009314EB"/>
    <w:rsid w:val="00932583"/>
    <w:rsid w:val="0093416F"/>
    <w:rsid w:val="00943DEF"/>
    <w:rsid w:val="00953824"/>
    <w:rsid w:val="00953CD2"/>
    <w:rsid w:val="009546CC"/>
    <w:rsid w:val="0095604E"/>
    <w:rsid w:val="0096328A"/>
    <w:rsid w:val="00973378"/>
    <w:rsid w:val="009755FF"/>
    <w:rsid w:val="00977516"/>
    <w:rsid w:val="00981B4C"/>
    <w:rsid w:val="00984B2D"/>
    <w:rsid w:val="00984F88"/>
    <w:rsid w:val="009854D8"/>
    <w:rsid w:val="0098566F"/>
    <w:rsid w:val="00985792"/>
    <w:rsid w:val="009876C3"/>
    <w:rsid w:val="00990C56"/>
    <w:rsid w:val="009957C9"/>
    <w:rsid w:val="009A15BD"/>
    <w:rsid w:val="009A3520"/>
    <w:rsid w:val="009A4312"/>
    <w:rsid w:val="009A5812"/>
    <w:rsid w:val="009A5A06"/>
    <w:rsid w:val="009C19EE"/>
    <w:rsid w:val="009C3BDA"/>
    <w:rsid w:val="009C7F30"/>
    <w:rsid w:val="009D5772"/>
    <w:rsid w:val="009D5F20"/>
    <w:rsid w:val="009E19B2"/>
    <w:rsid w:val="009E2FB4"/>
    <w:rsid w:val="009E49FD"/>
    <w:rsid w:val="009E4C25"/>
    <w:rsid w:val="009F0D9E"/>
    <w:rsid w:val="009F33DA"/>
    <w:rsid w:val="009F7564"/>
    <w:rsid w:val="00A1730B"/>
    <w:rsid w:val="00A20113"/>
    <w:rsid w:val="00A256A3"/>
    <w:rsid w:val="00A3344B"/>
    <w:rsid w:val="00A342E2"/>
    <w:rsid w:val="00A360E1"/>
    <w:rsid w:val="00A3713E"/>
    <w:rsid w:val="00A41E93"/>
    <w:rsid w:val="00A51F7A"/>
    <w:rsid w:val="00A525F7"/>
    <w:rsid w:val="00A52C94"/>
    <w:rsid w:val="00A53716"/>
    <w:rsid w:val="00A5441D"/>
    <w:rsid w:val="00A54737"/>
    <w:rsid w:val="00A60483"/>
    <w:rsid w:val="00A677F0"/>
    <w:rsid w:val="00A73264"/>
    <w:rsid w:val="00A75C63"/>
    <w:rsid w:val="00A913AC"/>
    <w:rsid w:val="00A924D4"/>
    <w:rsid w:val="00A92A7F"/>
    <w:rsid w:val="00A93BF9"/>
    <w:rsid w:val="00A946BA"/>
    <w:rsid w:val="00A970F3"/>
    <w:rsid w:val="00AA5878"/>
    <w:rsid w:val="00AA7D94"/>
    <w:rsid w:val="00AB130B"/>
    <w:rsid w:val="00AC3C97"/>
    <w:rsid w:val="00AC6351"/>
    <w:rsid w:val="00AC6540"/>
    <w:rsid w:val="00AC6749"/>
    <w:rsid w:val="00AD6BE3"/>
    <w:rsid w:val="00AE046F"/>
    <w:rsid w:val="00AE0F93"/>
    <w:rsid w:val="00AE24B1"/>
    <w:rsid w:val="00AE492D"/>
    <w:rsid w:val="00AE7F9B"/>
    <w:rsid w:val="00AF2BE7"/>
    <w:rsid w:val="00AF3BA8"/>
    <w:rsid w:val="00AF4390"/>
    <w:rsid w:val="00AF49C8"/>
    <w:rsid w:val="00AF6925"/>
    <w:rsid w:val="00AF783E"/>
    <w:rsid w:val="00AF7B2C"/>
    <w:rsid w:val="00B00F2F"/>
    <w:rsid w:val="00B010A1"/>
    <w:rsid w:val="00B03A22"/>
    <w:rsid w:val="00B03E8B"/>
    <w:rsid w:val="00B12781"/>
    <w:rsid w:val="00B166AB"/>
    <w:rsid w:val="00B23D60"/>
    <w:rsid w:val="00B25F6A"/>
    <w:rsid w:val="00B26944"/>
    <w:rsid w:val="00B27C43"/>
    <w:rsid w:val="00B30475"/>
    <w:rsid w:val="00B30F4B"/>
    <w:rsid w:val="00B31023"/>
    <w:rsid w:val="00B3217E"/>
    <w:rsid w:val="00B371FF"/>
    <w:rsid w:val="00B445C7"/>
    <w:rsid w:val="00B46655"/>
    <w:rsid w:val="00B47353"/>
    <w:rsid w:val="00B47EBA"/>
    <w:rsid w:val="00B5388A"/>
    <w:rsid w:val="00B562B5"/>
    <w:rsid w:val="00B62DB0"/>
    <w:rsid w:val="00B65F14"/>
    <w:rsid w:val="00B725B1"/>
    <w:rsid w:val="00B75202"/>
    <w:rsid w:val="00B7770C"/>
    <w:rsid w:val="00B80410"/>
    <w:rsid w:val="00B81711"/>
    <w:rsid w:val="00B81990"/>
    <w:rsid w:val="00B82D6C"/>
    <w:rsid w:val="00B83443"/>
    <w:rsid w:val="00B8623F"/>
    <w:rsid w:val="00B876B8"/>
    <w:rsid w:val="00B8786B"/>
    <w:rsid w:val="00B97409"/>
    <w:rsid w:val="00B97748"/>
    <w:rsid w:val="00BA47A9"/>
    <w:rsid w:val="00BA5754"/>
    <w:rsid w:val="00BA695E"/>
    <w:rsid w:val="00BA74E1"/>
    <w:rsid w:val="00BA7BEF"/>
    <w:rsid w:val="00BB46C8"/>
    <w:rsid w:val="00BB4A96"/>
    <w:rsid w:val="00BB5156"/>
    <w:rsid w:val="00BC34C9"/>
    <w:rsid w:val="00BC4424"/>
    <w:rsid w:val="00BC64BE"/>
    <w:rsid w:val="00BC7CBA"/>
    <w:rsid w:val="00BD09D8"/>
    <w:rsid w:val="00BE064E"/>
    <w:rsid w:val="00BE0FA1"/>
    <w:rsid w:val="00BE1AF7"/>
    <w:rsid w:val="00BE2E9A"/>
    <w:rsid w:val="00BE3750"/>
    <w:rsid w:val="00BE6831"/>
    <w:rsid w:val="00BF635E"/>
    <w:rsid w:val="00BF7DC7"/>
    <w:rsid w:val="00C01514"/>
    <w:rsid w:val="00C06BDF"/>
    <w:rsid w:val="00C06BFE"/>
    <w:rsid w:val="00C103B2"/>
    <w:rsid w:val="00C149CA"/>
    <w:rsid w:val="00C152E9"/>
    <w:rsid w:val="00C20A8F"/>
    <w:rsid w:val="00C21C6B"/>
    <w:rsid w:val="00C26664"/>
    <w:rsid w:val="00C27591"/>
    <w:rsid w:val="00C2789E"/>
    <w:rsid w:val="00C30A85"/>
    <w:rsid w:val="00C30D62"/>
    <w:rsid w:val="00C34993"/>
    <w:rsid w:val="00C34C87"/>
    <w:rsid w:val="00C35729"/>
    <w:rsid w:val="00C377DE"/>
    <w:rsid w:val="00C411AA"/>
    <w:rsid w:val="00C4711F"/>
    <w:rsid w:val="00C5451B"/>
    <w:rsid w:val="00C61009"/>
    <w:rsid w:val="00C62AF2"/>
    <w:rsid w:val="00C634CA"/>
    <w:rsid w:val="00C6410B"/>
    <w:rsid w:val="00C64A2E"/>
    <w:rsid w:val="00C65610"/>
    <w:rsid w:val="00C66BD3"/>
    <w:rsid w:val="00C737B9"/>
    <w:rsid w:val="00C77497"/>
    <w:rsid w:val="00C7755B"/>
    <w:rsid w:val="00C8151E"/>
    <w:rsid w:val="00C81C95"/>
    <w:rsid w:val="00C82767"/>
    <w:rsid w:val="00C91468"/>
    <w:rsid w:val="00C94876"/>
    <w:rsid w:val="00C95B77"/>
    <w:rsid w:val="00C965AB"/>
    <w:rsid w:val="00CA3F62"/>
    <w:rsid w:val="00CB79C2"/>
    <w:rsid w:val="00CC6FC0"/>
    <w:rsid w:val="00CC7D56"/>
    <w:rsid w:val="00CD0CE2"/>
    <w:rsid w:val="00CD1B25"/>
    <w:rsid w:val="00CD5378"/>
    <w:rsid w:val="00CD6503"/>
    <w:rsid w:val="00CE2A5B"/>
    <w:rsid w:val="00CE6D16"/>
    <w:rsid w:val="00CF0305"/>
    <w:rsid w:val="00CF0924"/>
    <w:rsid w:val="00CF2EB6"/>
    <w:rsid w:val="00CF5A31"/>
    <w:rsid w:val="00CF7383"/>
    <w:rsid w:val="00D0525C"/>
    <w:rsid w:val="00D0555E"/>
    <w:rsid w:val="00D074D4"/>
    <w:rsid w:val="00D1212F"/>
    <w:rsid w:val="00D12B8A"/>
    <w:rsid w:val="00D146B1"/>
    <w:rsid w:val="00D26582"/>
    <w:rsid w:val="00D378D3"/>
    <w:rsid w:val="00D418BE"/>
    <w:rsid w:val="00D453D0"/>
    <w:rsid w:val="00D47599"/>
    <w:rsid w:val="00D52989"/>
    <w:rsid w:val="00D565AB"/>
    <w:rsid w:val="00D57F0E"/>
    <w:rsid w:val="00D61FB4"/>
    <w:rsid w:val="00D67704"/>
    <w:rsid w:val="00D71D76"/>
    <w:rsid w:val="00D71FD4"/>
    <w:rsid w:val="00D725DF"/>
    <w:rsid w:val="00D83417"/>
    <w:rsid w:val="00D873CA"/>
    <w:rsid w:val="00D947BE"/>
    <w:rsid w:val="00DA09ED"/>
    <w:rsid w:val="00DA5346"/>
    <w:rsid w:val="00DA561F"/>
    <w:rsid w:val="00DB2671"/>
    <w:rsid w:val="00DB3F9E"/>
    <w:rsid w:val="00DB7244"/>
    <w:rsid w:val="00DC075A"/>
    <w:rsid w:val="00DC2AA9"/>
    <w:rsid w:val="00DC5836"/>
    <w:rsid w:val="00DD0861"/>
    <w:rsid w:val="00DD3A1A"/>
    <w:rsid w:val="00DD50E1"/>
    <w:rsid w:val="00DD6107"/>
    <w:rsid w:val="00DD670E"/>
    <w:rsid w:val="00DF100A"/>
    <w:rsid w:val="00DF3B7F"/>
    <w:rsid w:val="00E0335D"/>
    <w:rsid w:val="00E04C3C"/>
    <w:rsid w:val="00E052FD"/>
    <w:rsid w:val="00E12C79"/>
    <w:rsid w:val="00E209D9"/>
    <w:rsid w:val="00E21B18"/>
    <w:rsid w:val="00E227FC"/>
    <w:rsid w:val="00E2677C"/>
    <w:rsid w:val="00E3305F"/>
    <w:rsid w:val="00E42E28"/>
    <w:rsid w:val="00E43868"/>
    <w:rsid w:val="00E4681B"/>
    <w:rsid w:val="00E52BCC"/>
    <w:rsid w:val="00E563CF"/>
    <w:rsid w:val="00E5654B"/>
    <w:rsid w:val="00E60F67"/>
    <w:rsid w:val="00E62A66"/>
    <w:rsid w:val="00E63E43"/>
    <w:rsid w:val="00E65B04"/>
    <w:rsid w:val="00E66F3C"/>
    <w:rsid w:val="00E7178F"/>
    <w:rsid w:val="00E77B96"/>
    <w:rsid w:val="00E813E3"/>
    <w:rsid w:val="00E82D40"/>
    <w:rsid w:val="00EA220D"/>
    <w:rsid w:val="00EA5967"/>
    <w:rsid w:val="00EA7801"/>
    <w:rsid w:val="00EB0E64"/>
    <w:rsid w:val="00EB4D57"/>
    <w:rsid w:val="00EC0C0C"/>
    <w:rsid w:val="00EC3F20"/>
    <w:rsid w:val="00EC65A8"/>
    <w:rsid w:val="00EC69FA"/>
    <w:rsid w:val="00EC6F52"/>
    <w:rsid w:val="00EC74A6"/>
    <w:rsid w:val="00ED5D4F"/>
    <w:rsid w:val="00ED7569"/>
    <w:rsid w:val="00EE2E58"/>
    <w:rsid w:val="00EE5025"/>
    <w:rsid w:val="00EF0D45"/>
    <w:rsid w:val="00EF1820"/>
    <w:rsid w:val="00EF1B00"/>
    <w:rsid w:val="00EF54E4"/>
    <w:rsid w:val="00EF681C"/>
    <w:rsid w:val="00EF7202"/>
    <w:rsid w:val="00EF7678"/>
    <w:rsid w:val="00F06D0B"/>
    <w:rsid w:val="00F07551"/>
    <w:rsid w:val="00F129D0"/>
    <w:rsid w:val="00F13256"/>
    <w:rsid w:val="00F149CB"/>
    <w:rsid w:val="00F16112"/>
    <w:rsid w:val="00F250FA"/>
    <w:rsid w:val="00F27B79"/>
    <w:rsid w:val="00F32356"/>
    <w:rsid w:val="00F35DF6"/>
    <w:rsid w:val="00F37745"/>
    <w:rsid w:val="00F40EB1"/>
    <w:rsid w:val="00F44D34"/>
    <w:rsid w:val="00F47C6D"/>
    <w:rsid w:val="00F47F98"/>
    <w:rsid w:val="00F6139A"/>
    <w:rsid w:val="00F62212"/>
    <w:rsid w:val="00F63E20"/>
    <w:rsid w:val="00F667AF"/>
    <w:rsid w:val="00F707E6"/>
    <w:rsid w:val="00F72390"/>
    <w:rsid w:val="00F726BF"/>
    <w:rsid w:val="00F742F7"/>
    <w:rsid w:val="00F74D10"/>
    <w:rsid w:val="00F74EA1"/>
    <w:rsid w:val="00F76768"/>
    <w:rsid w:val="00F80BF4"/>
    <w:rsid w:val="00F8229F"/>
    <w:rsid w:val="00F822A6"/>
    <w:rsid w:val="00F835DD"/>
    <w:rsid w:val="00F8580F"/>
    <w:rsid w:val="00F860ED"/>
    <w:rsid w:val="00F87FDD"/>
    <w:rsid w:val="00F93AE1"/>
    <w:rsid w:val="00F9587F"/>
    <w:rsid w:val="00FA0F97"/>
    <w:rsid w:val="00FA1C99"/>
    <w:rsid w:val="00FA2A40"/>
    <w:rsid w:val="00FB0587"/>
    <w:rsid w:val="00FB0CFD"/>
    <w:rsid w:val="00FB2EE4"/>
    <w:rsid w:val="00FB4140"/>
    <w:rsid w:val="00FB4308"/>
    <w:rsid w:val="00FB5D81"/>
    <w:rsid w:val="00FB6BC3"/>
    <w:rsid w:val="00FC1BC1"/>
    <w:rsid w:val="00FC274A"/>
    <w:rsid w:val="00FC7949"/>
    <w:rsid w:val="00FD2949"/>
    <w:rsid w:val="00FD3450"/>
    <w:rsid w:val="00FD3874"/>
    <w:rsid w:val="00FE3800"/>
    <w:rsid w:val="00FE4399"/>
    <w:rsid w:val="00FE4B5B"/>
    <w:rsid w:val="00FE65EB"/>
    <w:rsid w:val="00FF068C"/>
    <w:rsid w:val="010A121D"/>
    <w:rsid w:val="0113389A"/>
    <w:rsid w:val="012E7DC1"/>
    <w:rsid w:val="014E1100"/>
    <w:rsid w:val="016320D1"/>
    <w:rsid w:val="01BE3008"/>
    <w:rsid w:val="01D94E6F"/>
    <w:rsid w:val="01F31D72"/>
    <w:rsid w:val="022320B4"/>
    <w:rsid w:val="024B7A43"/>
    <w:rsid w:val="029301E6"/>
    <w:rsid w:val="02BF4CE8"/>
    <w:rsid w:val="02F01365"/>
    <w:rsid w:val="03102E23"/>
    <w:rsid w:val="03130680"/>
    <w:rsid w:val="031F0BD0"/>
    <w:rsid w:val="032F7525"/>
    <w:rsid w:val="03394CC3"/>
    <w:rsid w:val="0343722A"/>
    <w:rsid w:val="03612B93"/>
    <w:rsid w:val="03726106"/>
    <w:rsid w:val="0375213C"/>
    <w:rsid w:val="037B2194"/>
    <w:rsid w:val="038370F5"/>
    <w:rsid w:val="03894D60"/>
    <w:rsid w:val="038F3DE4"/>
    <w:rsid w:val="03AC654D"/>
    <w:rsid w:val="03C14665"/>
    <w:rsid w:val="03CE34CA"/>
    <w:rsid w:val="040B5AC5"/>
    <w:rsid w:val="042D4C86"/>
    <w:rsid w:val="04591D2E"/>
    <w:rsid w:val="045D06E7"/>
    <w:rsid w:val="046460F4"/>
    <w:rsid w:val="046C1758"/>
    <w:rsid w:val="049B1D43"/>
    <w:rsid w:val="04AD4BF6"/>
    <w:rsid w:val="04BC3CD7"/>
    <w:rsid w:val="04CD731B"/>
    <w:rsid w:val="04D91EA1"/>
    <w:rsid w:val="05292852"/>
    <w:rsid w:val="052D2033"/>
    <w:rsid w:val="053A23D7"/>
    <w:rsid w:val="05511A51"/>
    <w:rsid w:val="057E3A71"/>
    <w:rsid w:val="058E6C10"/>
    <w:rsid w:val="05990215"/>
    <w:rsid w:val="059D70C6"/>
    <w:rsid w:val="05AB7E20"/>
    <w:rsid w:val="060037A8"/>
    <w:rsid w:val="060105EF"/>
    <w:rsid w:val="06054CB9"/>
    <w:rsid w:val="060A4275"/>
    <w:rsid w:val="065A3778"/>
    <w:rsid w:val="068146A0"/>
    <w:rsid w:val="06826741"/>
    <w:rsid w:val="069D1B09"/>
    <w:rsid w:val="06A31189"/>
    <w:rsid w:val="06DC3E00"/>
    <w:rsid w:val="07004CD7"/>
    <w:rsid w:val="070A0000"/>
    <w:rsid w:val="07152900"/>
    <w:rsid w:val="073671F4"/>
    <w:rsid w:val="0737407B"/>
    <w:rsid w:val="07502126"/>
    <w:rsid w:val="0792762F"/>
    <w:rsid w:val="07B66DC8"/>
    <w:rsid w:val="07B958ED"/>
    <w:rsid w:val="07CA43AC"/>
    <w:rsid w:val="07FF7A74"/>
    <w:rsid w:val="080264DB"/>
    <w:rsid w:val="080B0848"/>
    <w:rsid w:val="080E6881"/>
    <w:rsid w:val="08135ACD"/>
    <w:rsid w:val="081B269A"/>
    <w:rsid w:val="081D2929"/>
    <w:rsid w:val="08242FC6"/>
    <w:rsid w:val="083104AF"/>
    <w:rsid w:val="083E2216"/>
    <w:rsid w:val="08437EF2"/>
    <w:rsid w:val="084F51B5"/>
    <w:rsid w:val="08530956"/>
    <w:rsid w:val="087C10BC"/>
    <w:rsid w:val="087F0712"/>
    <w:rsid w:val="088326B4"/>
    <w:rsid w:val="088953F1"/>
    <w:rsid w:val="088D643B"/>
    <w:rsid w:val="089305C0"/>
    <w:rsid w:val="0899492C"/>
    <w:rsid w:val="08B35ADE"/>
    <w:rsid w:val="08C20455"/>
    <w:rsid w:val="08C510D2"/>
    <w:rsid w:val="08C63ABE"/>
    <w:rsid w:val="09020FB5"/>
    <w:rsid w:val="09135DFD"/>
    <w:rsid w:val="092A0DA4"/>
    <w:rsid w:val="0933456C"/>
    <w:rsid w:val="094912A1"/>
    <w:rsid w:val="09633C15"/>
    <w:rsid w:val="09656802"/>
    <w:rsid w:val="09665296"/>
    <w:rsid w:val="09686E2B"/>
    <w:rsid w:val="0989592D"/>
    <w:rsid w:val="099A359D"/>
    <w:rsid w:val="09B17719"/>
    <w:rsid w:val="09D44F39"/>
    <w:rsid w:val="09EB3220"/>
    <w:rsid w:val="09F969F6"/>
    <w:rsid w:val="09FD1455"/>
    <w:rsid w:val="0A002595"/>
    <w:rsid w:val="0A0C591B"/>
    <w:rsid w:val="0A307C97"/>
    <w:rsid w:val="0A3B6B28"/>
    <w:rsid w:val="0A5503FD"/>
    <w:rsid w:val="0A6F2B11"/>
    <w:rsid w:val="0A927844"/>
    <w:rsid w:val="0A955649"/>
    <w:rsid w:val="0AA4540E"/>
    <w:rsid w:val="0AD62949"/>
    <w:rsid w:val="0AD71CE8"/>
    <w:rsid w:val="0AD92A42"/>
    <w:rsid w:val="0ADC5CA4"/>
    <w:rsid w:val="0AE65DF4"/>
    <w:rsid w:val="0AE75176"/>
    <w:rsid w:val="0AEA32DC"/>
    <w:rsid w:val="0B122E76"/>
    <w:rsid w:val="0B1271EA"/>
    <w:rsid w:val="0B530743"/>
    <w:rsid w:val="0B531399"/>
    <w:rsid w:val="0B536ACA"/>
    <w:rsid w:val="0B603CBF"/>
    <w:rsid w:val="0B60558D"/>
    <w:rsid w:val="0B64640B"/>
    <w:rsid w:val="0B6B1123"/>
    <w:rsid w:val="0B7D2B96"/>
    <w:rsid w:val="0B8851A4"/>
    <w:rsid w:val="0B9D27CF"/>
    <w:rsid w:val="0BAC2A4B"/>
    <w:rsid w:val="0BAE3144"/>
    <w:rsid w:val="0BB4557A"/>
    <w:rsid w:val="0BBF0D47"/>
    <w:rsid w:val="0BCD1C5E"/>
    <w:rsid w:val="0BF60DBF"/>
    <w:rsid w:val="0C0918EE"/>
    <w:rsid w:val="0C322EF6"/>
    <w:rsid w:val="0C345C36"/>
    <w:rsid w:val="0C4E3DB2"/>
    <w:rsid w:val="0C734CCD"/>
    <w:rsid w:val="0C895EB5"/>
    <w:rsid w:val="0CB01B3C"/>
    <w:rsid w:val="0CC125B5"/>
    <w:rsid w:val="0CCE6548"/>
    <w:rsid w:val="0CD012D4"/>
    <w:rsid w:val="0CE6614F"/>
    <w:rsid w:val="0CF65C74"/>
    <w:rsid w:val="0D0A5703"/>
    <w:rsid w:val="0D353973"/>
    <w:rsid w:val="0D462DEA"/>
    <w:rsid w:val="0D48334D"/>
    <w:rsid w:val="0D504017"/>
    <w:rsid w:val="0D5C47DD"/>
    <w:rsid w:val="0DAD0518"/>
    <w:rsid w:val="0DB44B94"/>
    <w:rsid w:val="0DBE27AF"/>
    <w:rsid w:val="0DC5554A"/>
    <w:rsid w:val="0DE2468A"/>
    <w:rsid w:val="0E025DA6"/>
    <w:rsid w:val="0E114AB9"/>
    <w:rsid w:val="0E1C13C6"/>
    <w:rsid w:val="0E3A7C1D"/>
    <w:rsid w:val="0E3C2E0F"/>
    <w:rsid w:val="0E4B7545"/>
    <w:rsid w:val="0E680993"/>
    <w:rsid w:val="0E815E5A"/>
    <w:rsid w:val="0E9D0099"/>
    <w:rsid w:val="0EB40DB0"/>
    <w:rsid w:val="0EB414A0"/>
    <w:rsid w:val="0EBF1847"/>
    <w:rsid w:val="0EC8106A"/>
    <w:rsid w:val="0ECD0C9A"/>
    <w:rsid w:val="0ED93A30"/>
    <w:rsid w:val="0EEA2CFB"/>
    <w:rsid w:val="0EEE774F"/>
    <w:rsid w:val="0EF508A9"/>
    <w:rsid w:val="0EF54282"/>
    <w:rsid w:val="0EF97E01"/>
    <w:rsid w:val="0EFE44A2"/>
    <w:rsid w:val="0F1D4FBD"/>
    <w:rsid w:val="0F263B0D"/>
    <w:rsid w:val="0F363D8B"/>
    <w:rsid w:val="0F46266B"/>
    <w:rsid w:val="0F5170E2"/>
    <w:rsid w:val="0F590811"/>
    <w:rsid w:val="0F591B81"/>
    <w:rsid w:val="0F895230"/>
    <w:rsid w:val="0FAC126E"/>
    <w:rsid w:val="0FB22BC8"/>
    <w:rsid w:val="0FBB14B7"/>
    <w:rsid w:val="0FBD11E1"/>
    <w:rsid w:val="0FC07E68"/>
    <w:rsid w:val="0FD13C3F"/>
    <w:rsid w:val="0FD213FA"/>
    <w:rsid w:val="10075DED"/>
    <w:rsid w:val="10204559"/>
    <w:rsid w:val="10262F21"/>
    <w:rsid w:val="105459FB"/>
    <w:rsid w:val="10592992"/>
    <w:rsid w:val="106678FD"/>
    <w:rsid w:val="10A32656"/>
    <w:rsid w:val="10AB76FE"/>
    <w:rsid w:val="10C074DC"/>
    <w:rsid w:val="10C46816"/>
    <w:rsid w:val="10E6152F"/>
    <w:rsid w:val="11456681"/>
    <w:rsid w:val="11494F49"/>
    <w:rsid w:val="114B2905"/>
    <w:rsid w:val="11532C5A"/>
    <w:rsid w:val="11537BFF"/>
    <w:rsid w:val="116A0104"/>
    <w:rsid w:val="11773D48"/>
    <w:rsid w:val="11AA10B7"/>
    <w:rsid w:val="11C14FD7"/>
    <w:rsid w:val="11ED692E"/>
    <w:rsid w:val="12052107"/>
    <w:rsid w:val="12163800"/>
    <w:rsid w:val="12295262"/>
    <w:rsid w:val="122F6C04"/>
    <w:rsid w:val="12433226"/>
    <w:rsid w:val="124D585C"/>
    <w:rsid w:val="125E60A4"/>
    <w:rsid w:val="1268529A"/>
    <w:rsid w:val="12725AD7"/>
    <w:rsid w:val="12A42627"/>
    <w:rsid w:val="12B00D9E"/>
    <w:rsid w:val="12E55793"/>
    <w:rsid w:val="12F64E2A"/>
    <w:rsid w:val="12FA313D"/>
    <w:rsid w:val="13360E98"/>
    <w:rsid w:val="13452779"/>
    <w:rsid w:val="135531FD"/>
    <w:rsid w:val="13631BCA"/>
    <w:rsid w:val="136C1EBF"/>
    <w:rsid w:val="137564C2"/>
    <w:rsid w:val="137D49B5"/>
    <w:rsid w:val="13A21A03"/>
    <w:rsid w:val="13B0420E"/>
    <w:rsid w:val="13B13147"/>
    <w:rsid w:val="13F62627"/>
    <w:rsid w:val="14025E9C"/>
    <w:rsid w:val="14132920"/>
    <w:rsid w:val="142F42A3"/>
    <w:rsid w:val="143B567E"/>
    <w:rsid w:val="145C18BB"/>
    <w:rsid w:val="146D35B9"/>
    <w:rsid w:val="14873EAA"/>
    <w:rsid w:val="148B2507"/>
    <w:rsid w:val="149C4AC5"/>
    <w:rsid w:val="14BB4D67"/>
    <w:rsid w:val="14DD2429"/>
    <w:rsid w:val="14EA7023"/>
    <w:rsid w:val="14FE1B15"/>
    <w:rsid w:val="15244DEF"/>
    <w:rsid w:val="153C1946"/>
    <w:rsid w:val="154C0ED4"/>
    <w:rsid w:val="1550494F"/>
    <w:rsid w:val="1550717B"/>
    <w:rsid w:val="15513852"/>
    <w:rsid w:val="15595689"/>
    <w:rsid w:val="15972470"/>
    <w:rsid w:val="15AC3B5A"/>
    <w:rsid w:val="15B40485"/>
    <w:rsid w:val="15B60AF1"/>
    <w:rsid w:val="15F05551"/>
    <w:rsid w:val="15F82355"/>
    <w:rsid w:val="16135DCE"/>
    <w:rsid w:val="16142EE8"/>
    <w:rsid w:val="16187DE3"/>
    <w:rsid w:val="16280BE4"/>
    <w:rsid w:val="163C640B"/>
    <w:rsid w:val="1679004C"/>
    <w:rsid w:val="16C07F4B"/>
    <w:rsid w:val="16F6062C"/>
    <w:rsid w:val="1708130B"/>
    <w:rsid w:val="1715729C"/>
    <w:rsid w:val="17270EE3"/>
    <w:rsid w:val="1727719A"/>
    <w:rsid w:val="172F5293"/>
    <w:rsid w:val="175D7107"/>
    <w:rsid w:val="1763311F"/>
    <w:rsid w:val="176B0A00"/>
    <w:rsid w:val="177A606B"/>
    <w:rsid w:val="177D3BA6"/>
    <w:rsid w:val="177E3E2B"/>
    <w:rsid w:val="17923642"/>
    <w:rsid w:val="179F5C5E"/>
    <w:rsid w:val="17B12CD7"/>
    <w:rsid w:val="17BB5B55"/>
    <w:rsid w:val="17C51245"/>
    <w:rsid w:val="17C76B67"/>
    <w:rsid w:val="17CE2E56"/>
    <w:rsid w:val="17D00C56"/>
    <w:rsid w:val="17FE536F"/>
    <w:rsid w:val="181902A4"/>
    <w:rsid w:val="182A0532"/>
    <w:rsid w:val="18366326"/>
    <w:rsid w:val="18771DAF"/>
    <w:rsid w:val="18783A93"/>
    <w:rsid w:val="187D1EFA"/>
    <w:rsid w:val="18814488"/>
    <w:rsid w:val="188F6193"/>
    <w:rsid w:val="1891665D"/>
    <w:rsid w:val="18B3029F"/>
    <w:rsid w:val="18C12066"/>
    <w:rsid w:val="18CA71FA"/>
    <w:rsid w:val="18D17776"/>
    <w:rsid w:val="18DA5BCB"/>
    <w:rsid w:val="18DD191D"/>
    <w:rsid w:val="18E510DC"/>
    <w:rsid w:val="193F3FB5"/>
    <w:rsid w:val="19524E32"/>
    <w:rsid w:val="195B2591"/>
    <w:rsid w:val="19620BB8"/>
    <w:rsid w:val="19623B8B"/>
    <w:rsid w:val="19756BE0"/>
    <w:rsid w:val="198000BF"/>
    <w:rsid w:val="199C78BB"/>
    <w:rsid w:val="19AF45D4"/>
    <w:rsid w:val="19C80CFF"/>
    <w:rsid w:val="19F41D1A"/>
    <w:rsid w:val="1A093C4A"/>
    <w:rsid w:val="1A0C79E5"/>
    <w:rsid w:val="1A147D32"/>
    <w:rsid w:val="1A17738D"/>
    <w:rsid w:val="1A1B6BE6"/>
    <w:rsid w:val="1A1D3847"/>
    <w:rsid w:val="1A25097A"/>
    <w:rsid w:val="1A274992"/>
    <w:rsid w:val="1A2E5928"/>
    <w:rsid w:val="1A48486A"/>
    <w:rsid w:val="1A55373C"/>
    <w:rsid w:val="1A675E7C"/>
    <w:rsid w:val="1A7C6125"/>
    <w:rsid w:val="1A8B45A2"/>
    <w:rsid w:val="1AA46312"/>
    <w:rsid w:val="1AAE41B6"/>
    <w:rsid w:val="1AB054C6"/>
    <w:rsid w:val="1AB26DF8"/>
    <w:rsid w:val="1AB737DE"/>
    <w:rsid w:val="1AB92DDA"/>
    <w:rsid w:val="1AF43F28"/>
    <w:rsid w:val="1AF53CF0"/>
    <w:rsid w:val="1AFC0B12"/>
    <w:rsid w:val="1AFF2152"/>
    <w:rsid w:val="1B062702"/>
    <w:rsid w:val="1B3C4A16"/>
    <w:rsid w:val="1B7C6B26"/>
    <w:rsid w:val="1B907714"/>
    <w:rsid w:val="1B99026E"/>
    <w:rsid w:val="1B9E1D0B"/>
    <w:rsid w:val="1BA312D3"/>
    <w:rsid w:val="1BAB4102"/>
    <w:rsid w:val="1BB6644C"/>
    <w:rsid w:val="1BBD74F3"/>
    <w:rsid w:val="1BC317AB"/>
    <w:rsid w:val="1BC51604"/>
    <w:rsid w:val="1BDF2906"/>
    <w:rsid w:val="1BE0322C"/>
    <w:rsid w:val="1BEE104B"/>
    <w:rsid w:val="1C1A2337"/>
    <w:rsid w:val="1C2B4786"/>
    <w:rsid w:val="1C3E505C"/>
    <w:rsid w:val="1C3F4992"/>
    <w:rsid w:val="1C4F64DE"/>
    <w:rsid w:val="1C574917"/>
    <w:rsid w:val="1C5B5F52"/>
    <w:rsid w:val="1C607AEB"/>
    <w:rsid w:val="1C651D78"/>
    <w:rsid w:val="1CA378F9"/>
    <w:rsid w:val="1CB95C16"/>
    <w:rsid w:val="1CD36FC7"/>
    <w:rsid w:val="1CE62E92"/>
    <w:rsid w:val="1CFB65A3"/>
    <w:rsid w:val="1D2941D3"/>
    <w:rsid w:val="1D332199"/>
    <w:rsid w:val="1D474C86"/>
    <w:rsid w:val="1D593550"/>
    <w:rsid w:val="1D6262E8"/>
    <w:rsid w:val="1D8F4C7F"/>
    <w:rsid w:val="1DA03069"/>
    <w:rsid w:val="1DBF307A"/>
    <w:rsid w:val="1DC4760B"/>
    <w:rsid w:val="1DC502C2"/>
    <w:rsid w:val="1DC967B0"/>
    <w:rsid w:val="1DE63703"/>
    <w:rsid w:val="1DEC72A9"/>
    <w:rsid w:val="1DF03834"/>
    <w:rsid w:val="1E0C6A4E"/>
    <w:rsid w:val="1E2351DE"/>
    <w:rsid w:val="1E2C083F"/>
    <w:rsid w:val="1E3A4318"/>
    <w:rsid w:val="1E3B13EA"/>
    <w:rsid w:val="1E705888"/>
    <w:rsid w:val="1EAA24C0"/>
    <w:rsid w:val="1EBE7192"/>
    <w:rsid w:val="1EBF7CB7"/>
    <w:rsid w:val="1EC95B55"/>
    <w:rsid w:val="1ECE03A8"/>
    <w:rsid w:val="1EDC7EFD"/>
    <w:rsid w:val="1EE23694"/>
    <w:rsid w:val="1F2F3FFB"/>
    <w:rsid w:val="1F302B57"/>
    <w:rsid w:val="1F38191A"/>
    <w:rsid w:val="1F7A258B"/>
    <w:rsid w:val="1F8A3E1A"/>
    <w:rsid w:val="1FC769AB"/>
    <w:rsid w:val="1FD75C56"/>
    <w:rsid w:val="1FE7171E"/>
    <w:rsid w:val="20281E57"/>
    <w:rsid w:val="204147D4"/>
    <w:rsid w:val="20484153"/>
    <w:rsid w:val="20510B46"/>
    <w:rsid w:val="20B13798"/>
    <w:rsid w:val="20B5161C"/>
    <w:rsid w:val="20B96360"/>
    <w:rsid w:val="20F83355"/>
    <w:rsid w:val="210F4201"/>
    <w:rsid w:val="212F5C53"/>
    <w:rsid w:val="21302811"/>
    <w:rsid w:val="213727BC"/>
    <w:rsid w:val="213C4B4E"/>
    <w:rsid w:val="214B15BB"/>
    <w:rsid w:val="214D6672"/>
    <w:rsid w:val="217A1319"/>
    <w:rsid w:val="217B5593"/>
    <w:rsid w:val="219A410C"/>
    <w:rsid w:val="219F5086"/>
    <w:rsid w:val="21AB28AA"/>
    <w:rsid w:val="21B22CE8"/>
    <w:rsid w:val="21D54236"/>
    <w:rsid w:val="21DF7310"/>
    <w:rsid w:val="21F272BE"/>
    <w:rsid w:val="21FB3194"/>
    <w:rsid w:val="22002C3C"/>
    <w:rsid w:val="220A480C"/>
    <w:rsid w:val="2216046F"/>
    <w:rsid w:val="2249369A"/>
    <w:rsid w:val="226003E9"/>
    <w:rsid w:val="22701FA2"/>
    <w:rsid w:val="22713539"/>
    <w:rsid w:val="22787896"/>
    <w:rsid w:val="227B3573"/>
    <w:rsid w:val="22816E21"/>
    <w:rsid w:val="22821190"/>
    <w:rsid w:val="2286172D"/>
    <w:rsid w:val="22903BCA"/>
    <w:rsid w:val="229F17C3"/>
    <w:rsid w:val="22B16D45"/>
    <w:rsid w:val="22C5380C"/>
    <w:rsid w:val="22FC5131"/>
    <w:rsid w:val="23110D62"/>
    <w:rsid w:val="231C3A0F"/>
    <w:rsid w:val="23535617"/>
    <w:rsid w:val="23744CB3"/>
    <w:rsid w:val="23762D57"/>
    <w:rsid w:val="238507F8"/>
    <w:rsid w:val="238817FE"/>
    <w:rsid w:val="23A63261"/>
    <w:rsid w:val="23D56E3C"/>
    <w:rsid w:val="23D86B75"/>
    <w:rsid w:val="23DA5FAA"/>
    <w:rsid w:val="23F83F7D"/>
    <w:rsid w:val="23FA51D4"/>
    <w:rsid w:val="24107712"/>
    <w:rsid w:val="242E2FD2"/>
    <w:rsid w:val="244E617A"/>
    <w:rsid w:val="24557D95"/>
    <w:rsid w:val="24597982"/>
    <w:rsid w:val="245B6A1E"/>
    <w:rsid w:val="24614161"/>
    <w:rsid w:val="246327BE"/>
    <w:rsid w:val="24742EFB"/>
    <w:rsid w:val="247F0D69"/>
    <w:rsid w:val="248649CA"/>
    <w:rsid w:val="24931239"/>
    <w:rsid w:val="2493311C"/>
    <w:rsid w:val="24B31362"/>
    <w:rsid w:val="24BC6658"/>
    <w:rsid w:val="24C51DEF"/>
    <w:rsid w:val="24CC0D68"/>
    <w:rsid w:val="24CD2D64"/>
    <w:rsid w:val="24DA0DB0"/>
    <w:rsid w:val="24DC5F46"/>
    <w:rsid w:val="24E87E95"/>
    <w:rsid w:val="24F35A63"/>
    <w:rsid w:val="25192246"/>
    <w:rsid w:val="251A2B38"/>
    <w:rsid w:val="251D6F4E"/>
    <w:rsid w:val="2536094F"/>
    <w:rsid w:val="254848EB"/>
    <w:rsid w:val="254A1F1A"/>
    <w:rsid w:val="254E1A5E"/>
    <w:rsid w:val="257F739C"/>
    <w:rsid w:val="258571DF"/>
    <w:rsid w:val="259D3FF7"/>
    <w:rsid w:val="25AA15E7"/>
    <w:rsid w:val="25B422A1"/>
    <w:rsid w:val="25B45DB1"/>
    <w:rsid w:val="25BA0A93"/>
    <w:rsid w:val="25BB515A"/>
    <w:rsid w:val="25C77A92"/>
    <w:rsid w:val="25D12394"/>
    <w:rsid w:val="25D94ABC"/>
    <w:rsid w:val="25E01273"/>
    <w:rsid w:val="25E777A1"/>
    <w:rsid w:val="25F022A3"/>
    <w:rsid w:val="2603628F"/>
    <w:rsid w:val="260C2FFD"/>
    <w:rsid w:val="260E21A3"/>
    <w:rsid w:val="2620563E"/>
    <w:rsid w:val="26275977"/>
    <w:rsid w:val="263654BD"/>
    <w:rsid w:val="266435D6"/>
    <w:rsid w:val="26684EB3"/>
    <w:rsid w:val="267C1C09"/>
    <w:rsid w:val="268D4DB3"/>
    <w:rsid w:val="2691011F"/>
    <w:rsid w:val="26A034DF"/>
    <w:rsid w:val="26AB675D"/>
    <w:rsid w:val="26B35342"/>
    <w:rsid w:val="26C36FC3"/>
    <w:rsid w:val="26E037A9"/>
    <w:rsid w:val="26F05939"/>
    <w:rsid w:val="270E0571"/>
    <w:rsid w:val="270F3F12"/>
    <w:rsid w:val="27145389"/>
    <w:rsid w:val="27392AFE"/>
    <w:rsid w:val="273E1D47"/>
    <w:rsid w:val="2743311D"/>
    <w:rsid w:val="274B64F7"/>
    <w:rsid w:val="276F4A11"/>
    <w:rsid w:val="278C0581"/>
    <w:rsid w:val="278D300B"/>
    <w:rsid w:val="279542E4"/>
    <w:rsid w:val="27964D6E"/>
    <w:rsid w:val="27AF28E9"/>
    <w:rsid w:val="27C90428"/>
    <w:rsid w:val="27CE4708"/>
    <w:rsid w:val="27CE50F4"/>
    <w:rsid w:val="27F149E5"/>
    <w:rsid w:val="27F95C8D"/>
    <w:rsid w:val="280F76BB"/>
    <w:rsid w:val="282221E4"/>
    <w:rsid w:val="28384564"/>
    <w:rsid w:val="2842505E"/>
    <w:rsid w:val="284E582E"/>
    <w:rsid w:val="28581E16"/>
    <w:rsid w:val="28792733"/>
    <w:rsid w:val="287A169A"/>
    <w:rsid w:val="288B104D"/>
    <w:rsid w:val="28945237"/>
    <w:rsid w:val="289905ED"/>
    <w:rsid w:val="289E08C0"/>
    <w:rsid w:val="28AD6947"/>
    <w:rsid w:val="28B22371"/>
    <w:rsid w:val="28D35BE1"/>
    <w:rsid w:val="28EF4EC8"/>
    <w:rsid w:val="29017850"/>
    <w:rsid w:val="29082526"/>
    <w:rsid w:val="290A2885"/>
    <w:rsid w:val="290A2977"/>
    <w:rsid w:val="290A762E"/>
    <w:rsid w:val="29170DC4"/>
    <w:rsid w:val="291E53AB"/>
    <w:rsid w:val="292428E8"/>
    <w:rsid w:val="2939026C"/>
    <w:rsid w:val="294130A9"/>
    <w:rsid w:val="29426315"/>
    <w:rsid w:val="29534F8F"/>
    <w:rsid w:val="299349B5"/>
    <w:rsid w:val="29AF23C1"/>
    <w:rsid w:val="29B14E1B"/>
    <w:rsid w:val="29B74975"/>
    <w:rsid w:val="29E1442E"/>
    <w:rsid w:val="29E67CA8"/>
    <w:rsid w:val="29F02CE1"/>
    <w:rsid w:val="2A303801"/>
    <w:rsid w:val="2A6F6A9F"/>
    <w:rsid w:val="2A970CEC"/>
    <w:rsid w:val="2AA92103"/>
    <w:rsid w:val="2AC168F6"/>
    <w:rsid w:val="2AD34249"/>
    <w:rsid w:val="2ADA66A0"/>
    <w:rsid w:val="2AFC03BE"/>
    <w:rsid w:val="2AFF5D97"/>
    <w:rsid w:val="2AFF6B67"/>
    <w:rsid w:val="2B127BD8"/>
    <w:rsid w:val="2B1A4F87"/>
    <w:rsid w:val="2B2651B4"/>
    <w:rsid w:val="2B2E142A"/>
    <w:rsid w:val="2B3855DE"/>
    <w:rsid w:val="2B48435D"/>
    <w:rsid w:val="2B506306"/>
    <w:rsid w:val="2B676E49"/>
    <w:rsid w:val="2B6B17CD"/>
    <w:rsid w:val="2B74142C"/>
    <w:rsid w:val="2B7759FC"/>
    <w:rsid w:val="2B8C67AE"/>
    <w:rsid w:val="2B914DE6"/>
    <w:rsid w:val="2B93041A"/>
    <w:rsid w:val="2B954F95"/>
    <w:rsid w:val="2BBD1B47"/>
    <w:rsid w:val="2BD335AA"/>
    <w:rsid w:val="2BDA11DB"/>
    <w:rsid w:val="2BE25C14"/>
    <w:rsid w:val="2BEA13EE"/>
    <w:rsid w:val="2BEC3FCE"/>
    <w:rsid w:val="2C1B4E9F"/>
    <w:rsid w:val="2C316D05"/>
    <w:rsid w:val="2C4A74CC"/>
    <w:rsid w:val="2C5B11D1"/>
    <w:rsid w:val="2C6C28D8"/>
    <w:rsid w:val="2C7C7188"/>
    <w:rsid w:val="2C7F705E"/>
    <w:rsid w:val="2C836DB1"/>
    <w:rsid w:val="2CB14523"/>
    <w:rsid w:val="2CC13C24"/>
    <w:rsid w:val="2CC7637F"/>
    <w:rsid w:val="2CC85A02"/>
    <w:rsid w:val="2CCF48E6"/>
    <w:rsid w:val="2CD82450"/>
    <w:rsid w:val="2CF33607"/>
    <w:rsid w:val="2CFF231F"/>
    <w:rsid w:val="2D091D10"/>
    <w:rsid w:val="2D1F158D"/>
    <w:rsid w:val="2D30192D"/>
    <w:rsid w:val="2D687A23"/>
    <w:rsid w:val="2D6E4A45"/>
    <w:rsid w:val="2D6E6EEA"/>
    <w:rsid w:val="2D755BF0"/>
    <w:rsid w:val="2D802859"/>
    <w:rsid w:val="2D862A14"/>
    <w:rsid w:val="2D956A4D"/>
    <w:rsid w:val="2DA86AEE"/>
    <w:rsid w:val="2E011688"/>
    <w:rsid w:val="2E840D8A"/>
    <w:rsid w:val="2E8848D9"/>
    <w:rsid w:val="2E8E74CC"/>
    <w:rsid w:val="2E9A0FAB"/>
    <w:rsid w:val="2EC50AF5"/>
    <w:rsid w:val="2EC56102"/>
    <w:rsid w:val="2ECE7E6D"/>
    <w:rsid w:val="2ED47B93"/>
    <w:rsid w:val="2EE330D8"/>
    <w:rsid w:val="2EFC1D18"/>
    <w:rsid w:val="2F043066"/>
    <w:rsid w:val="2F1B271C"/>
    <w:rsid w:val="2F2E19FC"/>
    <w:rsid w:val="2F3A62AE"/>
    <w:rsid w:val="2F5A74AD"/>
    <w:rsid w:val="2F8A34FD"/>
    <w:rsid w:val="2F8C76CB"/>
    <w:rsid w:val="2F955AC3"/>
    <w:rsid w:val="2F9C4252"/>
    <w:rsid w:val="2FC90FF8"/>
    <w:rsid w:val="2FCD23B5"/>
    <w:rsid w:val="2FCD52A9"/>
    <w:rsid w:val="2FDB6890"/>
    <w:rsid w:val="2FE912E2"/>
    <w:rsid w:val="2FF66725"/>
    <w:rsid w:val="2FFF63F4"/>
    <w:rsid w:val="304F1919"/>
    <w:rsid w:val="30A23EA4"/>
    <w:rsid w:val="30A357E5"/>
    <w:rsid w:val="30B302F3"/>
    <w:rsid w:val="30BF67D4"/>
    <w:rsid w:val="30D723DC"/>
    <w:rsid w:val="30DB23BC"/>
    <w:rsid w:val="30E50E06"/>
    <w:rsid w:val="30F158D1"/>
    <w:rsid w:val="30FE485C"/>
    <w:rsid w:val="31096259"/>
    <w:rsid w:val="310F6B93"/>
    <w:rsid w:val="312B670C"/>
    <w:rsid w:val="31381A71"/>
    <w:rsid w:val="313C4D84"/>
    <w:rsid w:val="315C5240"/>
    <w:rsid w:val="31601BC1"/>
    <w:rsid w:val="316A0B44"/>
    <w:rsid w:val="317562EE"/>
    <w:rsid w:val="318B7C07"/>
    <w:rsid w:val="31A51A2E"/>
    <w:rsid w:val="31CA304C"/>
    <w:rsid w:val="31E543C1"/>
    <w:rsid w:val="31E70F95"/>
    <w:rsid w:val="322C36BE"/>
    <w:rsid w:val="32411467"/>
    <w:rsid w:val="32476563"/>
    <w:rsid w:val="325D3202"/>
    <w:rsid w:val="326320C7"/>
    <w:rsid w:val="328A7A24"/>
    <w:rsid w:val="3294201D"/>
    <w:rsid w:val="32962209"/>
    <w:rsid w:val="329F3004"/>
    <w:rsid w:val="32A371E3"/>
    <w:rsid w:val="32BB7B1A"/>
    <w:rsid w:val="33134FE7"/>
    <w:rsid w:val="33156E76"/>
    <w:rsid w:val="331D530F"/>
    <w:rsid w:val="33221802"/>
    <w:rsid w:val="332E2DC3"/>
    <w:rsid w:val="33570B93"/>
    <w:rsid w:val="335A26F6"/>
    <w:rsid w:val="33625489"/>
    <w:rsid w:val="337D6E85"/>
    <w:rsid w:val="33801C99"/>
    <w:rsid w:val="33811CC1"/>
    <w:rsid w:val="339B4D61"/>
    <w:rsid w:val="33A76BBD"/>
    <w:rsid w:val="33AE2621"/>
    <w:rsid w:val="33B61CFD"/>
    <w:rsid w:val="33BB45AB"/>
    <w:rsid w:val="33D11E68"/>
    <w:rsid w:val="33D90C83"/>
    <w:rsid w:val="33EB4E73"/>
    <w:rsid w:val="33EC73C6"/>
    <w:rsid w:val="34080923"/>
    <w:rsid w:val="340E7F53"/>
    <w:rsid w:val="3414231C"/>
    <w:rsid w:val="341B38E4"/>
    <w:rsid w:val="34232D3A"/>
    <w:rsid w:val="3423634C"/>
    <w:rsid w:val="3427128D"/>
    <w:rsid w:val="342B2E84"/>
    <w:rsid w:val="3435444C"/>
    <w:rsid w:val="3438559D"/>
    <w:rsid w:val="34467F62"/>
    <w:rsid w:val="346D1370"/>
    <w:rsid w:val="348926CB"/>
    <w:rsid w:val="34A54AFE"/>
    <w:rsid w:val="34B46020"/>
    <w:rsid w:val="34E92893"/>
    <w:rsid w:val="34EA6B0C"/>
    <w:rsid w:val="34EC4D0A"/>
    <w:rsid w:val="35061593"/>
    <w:rsid w:val="351703FB"/>
    <w:rsid w:val="351927DF"/>
    <w:rsid w:val="351F0973"/>
    <w:rsid w:val="35745D63"/>
    <w:rsid w:val="35A95DE6"/>
    <w:rsid w:val="35D151C8"/>
    <w:rsid w:val="35EE35F2"/>
    <w:rsid w:val="35F77378"/>
    <w:rsid w:val="363442EC"/>
    <w:rsid w:val="36387CFB"/>
    <w:rsid w:val="363D69A1"/>
    <w:rsid w:val="36413C79"/>
    <w:rsid w:val="36414FCF"/>
    <w:rsid w:val="365B586B"/>
    <w:rsid w:val="365B70C5"/>
    <w:rsid w:val="365E30B5"/>
    <w:rsid w:val="36981CED"/>
    <w:rsid w:val="36BF1DD2"/>
    <w:rsid w:val="36C53A7F"/>
    <w:rsid w:val="36CE1E68"/>
    <w:rsid w:val="36E109D4"/>
    <w:rsid w:val="36E834C5"/>
    <w:rsid w:val="370F191E"/>
    <w:rsid w:val="37315781"/>
    <w:rsid w:val="374542A1"/>
    <w:rsid w:val="375A370E"/>
    <w:rsid w:val="3764571F"/>
    <w:rsid w:val="37695A7F"/>
    <w:rsid w:val="378053BA"/>
    <w:rsid w:val="378A05A9"/>
    <w:rsid w:val="37900C40"/>
    <w:rsid w:val="37BC2662"/>
    <w:rsid w:val="37CD0431"/>
    <w:rsid w:val="37F447A1"/>
    <w:rsid w:val="38314F22"/>
    <w:rsid w:val="3837064E"/>
    <w:rsid w:val="383C5395"/>
    <w:rsid w:val="383E13AB"/>
    <w:rsid w:val="38595906"/>
    <w:rsid w:val="38650A21"/>
    <w:rsid w:val="389D3D05"/>
    <w:rsid w:val="38BC6D4E"/>
    <w:rsid w:val="38BD6130"/>
    <w:rsid w:val="38C70BA1"/>
    <w:rsid w:val="38EE3222"/>
    <w:rsid w:val="38EE73D0"/>
    <w:rsid w:val="39137BCC"/>
    <w:rsid w:val="392F2E57"/>
    <w:rsid w:val="39553805"/>
    <w:rsid w:val="396540A3"/>
    <w:rsid w:val="3968586E"/>
    <w:rsid w:val="399734A7"/>
    <w:rsid w:val="399E4911"/>
    <w:rsid w:val="39AB4C77"/>
    <w:rsid w:val="39B60A71"/>
    <w:rsid w:val="39EC6D25"/>
    <w:rsid w:val="39FD3BA9"/>
    <w:rsid w:val="3A104114"/>
    <w:rsid w:val="3A2C0493"/>
    <w:rsid w:val="3A35584D"/>
    <w:rsid w:val="3A4F5511"/>
    <w:rsid w:val="3A5840DC"/>
    <w:rsid w:val="3A6B36BB"/>
    <w:rsid w:val="3A774743"/>
    <w:rsid w:val="3A826A76"/>
    <w:rsid w:val="3A8E50DC"/>
    <w:rsid w:val="3A945BA3"/>
    <w:rsid w:val="3AAA0FD5"/>
    <w:rsid w:val="3AB02A00"/>
    <w:rsid w:val="3AC63D80"/>
    <w:rsid w:val="3ACD5C61"/>
    <w:rsid w:val="3AD305F7"/>
    <w:rsid w:val="3AD801EA"/>
    <w:rsid w:val="3AE45A93"/>
    <w:rsid w:val="3AE92740"/>
    <w:rsid w:val="3B052D51"/>
    <w:rsid w:val="3B20208C"/>
    <w:rsid w:val="3B913728"/>
    <w:rsid w:val="3BEB2319"/>
    <w:rsid w:val="3BF24AB4"/>
    <w:rsid w:val="3BF24F29"/>
    <w:rsid w:val="3BFE3083"/>
    <w:rsid w:val="3C000AEB"/>
    <w:rsid w:val="3C294CFB"/>
    <w:rsid w:val="3C3B6DA1"/>
    <w:rsid w:val="3C4117AC"/>
    <w:rsid w:val="3C4D28CF"/>
    <w:rsid w:val="3C703535"/>
    <w:rsid w:val="3CA353C4"/>
    <w:rsid w:val="3CA71B4D"/>
    <w:rsid w:val="3CB4072F"/>
    <w:rsid w:val="3CB91A62"/>
    <w:rsid w:val="3CB955E1"/>
    <w:rsid w:val="3CBA1EE5"/>
    <w:rsid w:val="3CBC5F61"/>
    <w:rsid w:val="3CCA046E"/>
    <w:rsid w:val="3CD26D63"/>
    <w:rsid w:val="3CD70B2E"/>
    <w:rsid w:val="3CDD4B1C"/>
    <w:rsid w:val="3CDF7F12"/>
    <w:rsid w:val="3CE83BDF"/>
    <w:rsid w:val="3CF65CA9"/>
    <w:rsid w:val="3D2E1FAA"/>
    <w:rsid w:val="3D372308"/>
    <w:rsid w:val="3D5E6E94"/>
    <w:rsid w:val="3D7471F8"/>
    <w:rsid w:val="3D9D513A"/>
    <w:rsid w:val="3DD53EAB"/>
    <w:rsid w:val="3E2F7F8F"/>
    <w:rsid w:val="3E607D3D"/>
    <w:rsid w:val="3E7D7C0C"/>
    <w:rsid w:val="3E835089"/>
    <w:rsid w:val="3E8D172A"/>
    <w:rsid w:val="3E9820B2"/>
    <w:rsid w:val="3EB03E23"/>
    <w:rsid w:val="3EB37B67"/>
    <w:rsid w:val="3EC80731"/>
    <w:rsid w:val="3ED20D0A"/>
    <w:rsid w:val="3EE4395E"/>
    <w:rsid w:val="3EF23EBB"/>
    <w:rsid w:val="3EFB0B81"/>
    <w:rsid w:val="3F086869"/>
    <w:rsid w:val="3F0A2158"/>
    <w:rsid w:val="3F1A7134"/>
    <w:rsid w:val="3F1F35EB"/>
    <w:rsid w:val="3F90166E"/>
    <w:rsid w:val="3F9F29F7"/>
    <w:rsid w:val="3FAD63A0"/>
    <w:rsid w:val="3FB017DA"/>
    <w:rsid w:val="3FD2406A"/>
    <w:rsid w:val="3FD60890"/>
    <w:rsid w:val="4018251E"/>
    <w:rsid w:val="40217801"/>
    <w:rsid w:val="402C4F5E"/>
    <w:rsid w:val="405147DD"/>
    <w:rsid w:val="40BA4F41"/>
    <w:rsid w:val="40C239DE"/>
    <w:rsid w:val="40C407E0"/>
    <w:rsid w:val="40CC140D"/>
    <w:rsid w:val="40F40E8E"/>
    <w:rsid w:val="410446FF"/>
    <w:rsid w:val="410B097C"/>
    <w:rsid w:val="410E5C1B"/>
    <w:rsid w:val="411954D8"/>
    <w:rsid w:val="41246204"/>
    <w:rsid w:val="412D3F0B"/>
    <w:rsid w:val="412F470D"/>
    <w:rsid w:val="414F4CDF"/>
    <w:rsid w:val="41706F0C"/>
    <w:rsid w:val="41AB4550"/>
    <w:rsid w:val="41AF6E9A"/>
    <w:rsid w:val="41D3430A"/>
    <w:rsid w:val="422409D9"/>
    <w:rsid w:val="42250C6D"/>
    <w:rsid w:val="42390595"/>
    <w:rsid w:val="423C1BA1"/>
    <w:rsid w:val="423E707A"/>
    <w:rsid w:val="424A383C"/>
    <w:rsid w:val="425243D8"/>
    <w:rsid w:val="426116E9"/>
    <w:rsid w:val="42727F27"/>
    <w:rsid w:val="427667F6"/>
    <w:rsid w:val="428E7AD1"/>
    <w:rsid w:val="429901BF"/>
    <w:rsid w:val="42A10295"/>
    <w:rsid w:val="42BC1F9A"/>
    <w:rsid w:val="42C40990"/>
    <w:rsid w:val="42C460E0"/>
    <w:rsid w:val="42D60A64"/>
    <w:rsid w:val="42E6077B"/>
    <w:rsid w:val="42E7715B"/>
    <w:rsid w:val="42F94866"/>
    <w:rsid w:val="43172612"/>
    <w:rsid w:val="4324120A"/>
    <w:rsid w:val="4343391D"/>
    <w:rsid w:val="43550260"/>
    <w:rsid w:val="43602865"/>
    <w:rsid w:val="4360358E"/>
    <w:rsid w:val="436E6BE1"/>
    <w:rsid w:val="43822E1E"/>
    <w:rsid w:val="43A76519"/>
    <w:rsid w:val="43AC16CC"/>
    <w:rsid w:val="43E45052"/>
    <w:rsid w:val="43E80C33"/>
    <w:rsid w:val="43F63CAB"/>
    <w:rsid w:val="43FD1945"/>
    <w:rsid w:val="445374BB"/>
    <w:rsid w:val="44566DFC"/>
    <w:rsid w:val="44604A39"/>
    <w:rsid w:val="4461461B"/>
    <w:rsid w:val="44667695"/>
    <w:rsid w:val="44831EC9"/>
    <w:rsid w:val="44931544"/>
    <w:rsid w:val="44A47EBD"/>
    <w:rsid w:val="44B62859"/>
    <w:rsid w:val="44C6122C"/>
    <w:rsid w:val="44C65615"/>
    <w:rsid w:val="44C75BF2"/>
    <w:rsid w:val="44E43BCD"/>
    <w:rsid w:val="44F47197"/>
    <w:rsid w:val="45053CDE"/>
    <w:rsid w:val="45180751"/>
    <w:rsid w:val="452B2189"/>
    <w:rsid w:val="452B3664"/>
    <w:rsid w:val="453F6ED9"/>
    <w:rsid w:val="455474EA"/>
    <w:rsid w:val="458727AA"/>
    <w:rsid w:val="458C045D"/>
    <w:rsid w:val="458D7677"/>
    <w:rsid w:val="45913FC1"/>
    <w:rsid w:val="45A95432"/>
    <w:rsid w:val="45D5267D"/>
    <w:rsid w:val="45D52BD9"/>
    <w:rsid w:val="45DA0B16"/>
    <w:rsid w:val="45F012AC"/>
    <w:rsid w:val="45FA7FCA"/>
    <w:rsid w:val="464E03B8"/>
    <w:rsid w:val="465A6CA1"/>
    <w:rsid w:val="466630B4"/>
    <w:rsid w:val="46816056"/>
    <w:rsid w:val="46922C5E"/>
    <w:rsid w:val="46982B4D"/>
    <w:rsid w:val="469950BB"/>
    <w:rsid w:val="469D73B7"/>
    <w:rsid w:val="469F4609"/>
    <w:rsid w:val="46A6627D"/>
    <w:rsid w:val="46BC37F2"/>
    <w:rsid w:val="46C766E0"/>
    <w:rsid w:val="46C975BA"/>
    <w:rsid w:val="46CA721B"/>
    <w:rsid w:val="46CD5928"/>
    <w:rsid w:val="46D531F6"/>
    <w:rsid w:val="46DF5E12"/>
    <w:rsid w:val="47085E8A"/>
    <w:rsid w:val="47316E7C"/>
    <w:rsid w:val="476E0956"/>
    <w:rsid w:val="478F3813"/>
    <w:rsid w:val="479A3CD6"/>
    <w:rsid w:val="479B474C"/>
    <w:rsid w:val="47A1125B"/>
    <w:rsid w:val="47BA003D"/>
    <w:rsid w:val="47C97C7C"/>
    <w:rsid w:val="47CB77E2"/>
    <w:rsid w:val="47D016B3"/>
    <w:rsid w:val="47E53C76"/>
    <w:rsid w:val="48000AD4"/>
    <w:rsid w:val="4808133E"/>
    <w:rsid w:val="48092DBC"/>
    <w:rsid w:val="48121313"/>
    <w:rsid w:val="48201BEE"/>
    <w:rsid w:val="482A396F"/>
    <w:rsid w:val="48341866"/>
    <w:rsid w:val="48393401"/>
    <w:rsid w:val="486B52B6"/>
    <w:rsid w:val="48726ADE"/>
    <w:rsid w:val="4878715C"/>
    <w:rsid w:val="48BF16ED"/>
    <w:rsid w:val="48DA6C69"/>
    <w:rsid w:val="48E07773"/>
    <w:rsid w:val="48FF3C69"/>
    <w:rsid w:val="49056ACA"/>
    <w:rsid w:val="492869D5"/>
    <w:rsid w:val="4933470C"/>
    <w:rsid w:val="493567B4"/>
    <w:rsid w:val="49446C30"/>
    <w:rsid w:val="49455C49"/>
    <w:rsid w:val="49496974"/>
    <w:rsid w:val="49955B9B"/>
    <w:rsid w:val="499E50BD"/>
    <w:rsid w:val="49A117C5"/>
    <w:rsid w:val="49A21F3E"/>
    <w:rsid w:val="49BE3AE8"/>
    <w:rsid w:val="49E77C58"/>
    <w:rsid w:val="4A011C69"/>
    <w:rsid w:val="4A0F3EEA"/>
    <w:rsid w:val="4A2C26F2"/>
    <w:rsid w:val="4A412EE9"/>
    <w:rsid w:val="4A4622F7"/>
    <w:rsid w:val="4A486C34"/>
    <w:rsid w:val="4A6279D2"/>
    <w:rsid w:val="4A7F2B90"/>
    <w:rsid w:val="4A843EFC"/>
    <w:rsid w:val="4A8F2482"/>
    <w:rsid w:val="4AA6274C"/>
    <w:rsid w:val="4AA7488B"/>
    <w:rsid w:val="4AB27485"/>
    <w:rsid w:val="4AB5219F"/>
    <w:rsid w:val="4AC32D06"/>
    <w:rsid w:val="4AD66569"/>
    <w:rsid w:val="4AD74730"/>
    <w:rsid w:val="4AEA0350"/>
    <w:rsid w:val="4AEF4EA7"/>
    <w:rsid w:val="4AF96FA1"/>
    <w:rsid w:val="4B0B2996"/>
    <w:rsid w:val="4B2810B6"/>
    <w:rsid w:val="4B282C4A"/>
    <w:rsid w:val="4B791BBA"/>
    <w:rsid w:val="4B7D717E"/>
    <w:rsid w:val="4B866360"/>
    <w:rsid w:val="4BCF426B"/>
    <w:rsid w:val="4C0E6281"/>
    <w:rsid w:val="4C252EB7"/>
    <w:rsid w:val="4C3C744F"/>
    <w:rsid w:val="4C3E4B42"/>
    <w:rsid w:val="4C452525"/>
    <w:rsid w:val="4C5C43CD"/>
    <w:rsid w:val="4C781F3A"/>
    <w:rsid w:val="4C7F3FE3"/>
    <w:rsid w:val="4C8A2F42"/>
    <w:rsid w:val="4CA27052"/>
    <w:rsid w:val="4CAA4B64"/>
    <w:rsid w:val="4CB21113"/>
    <w:rsid w:val="4CB75992"/>
    <w:rsid w:val="4CB815F0"/>
    <w:rsid w:val="4CC1454B"/>
    <w:rsid w:val="4CC70138"/>
    <w:rsid w:val="4CD300F0"/>
    <w:rsid w:val="4CE87E72"/>
    <w:rsid w:val="4CF730C6"/>
    <w:rsid w:val="4D1B4A9D"/>
    <w:rsid w:val="4D2D046A"/>
    <w:rsid w:val="4D3B304C"/>
    <w:rsid w:val="4DB461A1"/>
    <w:rsid w:val="4DD101CC"/>
    <w:rsid w:val="4DD71AE7"/>
    <w:rsid w:val="4E136977"/>
    <w:rsid w:val="4E1641DE"/>
    <w:rsid w:val="4E2B34A0"/>
    <w:rsid w:val="4E37102E"/>
    <w:rsid w:val="4E59700D"/>
    <w:rsid w:val="4E5D6AA3"/>
    <w:rsid w:val="4E5F163B"/>
    <w:rsid w:val="4E681092"/>
    <w:rsid w:val="4E69754F"/>
    <w:rsid w:val="4E9E7C60"/>
    <w:rsid w:val="4EC16267"/>
    <w:rsid w:val="4EE5782B"/>
    <w:rsid w:val="4F0452E9"/>
    <w:rsid w:val="4F04644E"/>
    <w:rsid w:val="4F0B668B"/>
    <w:rsid w:val="4F234DAD"/>
    <w:rsid w:val="4F360732"/>
    <w:rsid w:val="4F540918"/>
    <w:rsid w:val="4F5A1882"/>
    <w:rsid w:val="4F6978F4"/>
    <w:rsid w:val="4F705750"/>
    <w:rsid w:val="4F745A2C"/>
    <w:rsid w:val="4F897B3D"/>
    <w:rsid w:val="4FA07133"/>
    <w:rsid w:val="50126E1C"/>
    <w:rsid w:val="50513433"/>
    <w:rsid w:val="505D59D1"/>
    <w:rsid w:val="508471F4"/>
    <w:rsid w:val="50957A9F"/>
    <w:rsid w:val="509840F7"/>
    <w:rsid w:val="50C31E24"/>
    <w:rsid w:val="50E41FE4"/>
    <w:rsid w:val="50ED6894"/>
    <w:rsid w:val="511119A1"/>
    <w:rsid w:val="51307ECD"/>
    <w:rsid w:val="51531908"/>
    <w:rsid w:val="516F48D1"/>
    <w:rsid w:val="517551FF"/>
    <w:rsid w:val="5192466B"/>
    <w:rsid w:val="51987ABA"/>
    <w:rsid w:val="51A82485"/>
    <w:rsid w:val="51B47AAE"/>
    <w:rsid w:val="51BB3737"/>
    <w:rsid w:val="52037F05"/>
    <w:rsid w:val="52213BCE"/>
    <w:rsid w:val="52296854"/>
    <w:rsid w:val="523D2748"/>
    <w:rsid w:val="524717F6"/>
    <w:rsid w:val="525352B0"/>
    <w:rsid w:val="525B269A"/>
    <w:rsid w:val="525B760B"/>
    <w:rsid w:val="525C0896"/>
    <w:rsid w:val="52613209"/>
    <w:rsid w:val="52780D4B"/>
    <w:rsid w:val="527C223D"/>
    <w:rsid w:val="527E2FB2"/>
    <w:rsid w:val="529F4074"/>
    <w:rsid w:val="52B806BF"/>
    <w:rsid w:val="52D0067F"/>
    <w:rsid w:val="52DD3E8B"/>
    <w:rsid w:val="52F2582E"/>
    <w:rsid w:val="52FD167D"/>
    <w:rsid w:val="530D1636"/>
    <w:rsid w:val="533C388F"/>
    <w:rsid w:val="53677424"/>
    <w:rsid w:val="537154F7"/>
    <w:rsid w:val="539A6570"/>
    <w:rsid w:val="53BC3CC7"/>
    <w:rsid w:val="53D25F9A"/>
    <w:rsid w:val="53D519A6"/>
    <w:rsid w:val="53D57E3D"/>
    <w:rsid w:val="53D93084"/>
    <w:rsid w:val="53E87DA8"/>
    <w:rsid w:val="53FC2AD7"/>
    <w:rsid w:val="54293BA6"/>
    <w:rsid w:val="543408A6"/>
    <w:rsid w:val="545D3FAE"/>
    <w:rsid w:val="546E59B8"/>
    <w:rsid w:val="5475270F"/>
    <w:rsid w:val="54844AA4"/>
    <w:rsid w:val="549D3DFC"/>
    <w:rsid w:val="54A84039"/>
    <w:rsid w:val="54AF6C57"/>
    <w:rsid w:val="54C55C1F"/>
    <w:rsid w:val="54D92EBA"/>
    <w:rsid w:val="54E82E23"/>
    <w:rsid w:val="54FC71C7"/>
    <w:rsid w:val="550449B5"/>
    <w:rsid w:val="5507756D"/>
    <w:rsid w:val="550C355D"/>
    <w:rsid w:val="551C1A18"/>
    <w:rsid w:val="553B5D18"/>
    <w:rsid w:val="555B0CBE"/>
    <w:rsid w:val="5563330A"/>
    <w:rsid w:val="556F251E"/>
    <w:rsid w:val="5577701E"/>
    <w:rsid w:val="559375A8"/>
    <w:rsid w:val="55992BE3"/>
    <w:rsid w:val="55C71E85"/>
    <w:rsid w:val="55F25A28"/>
    <w:rsid w:val="55F47FB3"/>
    <w:rsid w:val="55FA289C"/>
    <w:rsid w:val="56067FC6"/>
    <w:rsid w:val="56255182"/>
    <w:rsid w:val="565A026F"/>
    <w:rsid w:val="56834BCF"/>
    <w:rsid w:val="569F3221"/>
    <w:rsid w:val="56AF6BFF"/>
    <w:rsid w:val="56B12E00"/>
    <w:rsid w:val="56B449F5"/>
    <w:rsid w:val="56C875FE"/>
    <w:rsid w:val="56D43C8E"/>
    <w:rsid w:val="56E47E71"/>
    <w:rsid w:val="57280BE4"/>
    <w:rsid w:val="57305FC0"/>
    <w:rsid w:val="575D5B18"/>
    <w:rsid w:val="57697F35"/>
    <w:rsid w:val="576D7791"/>
    <w:rsid w:val="57844A0E"/>
    <w:rsid w:val="57D712F7"/>
    <w:rsid w:val="57D83D9A"/>
    <w:rsid w:val="57F523E5"/>
    <w:rsid w:val="57F8527F"/>
    <w:rsid w:val="58287577"/>
    <w:rsid w:val="583131F4"/>
    <w:rsid w:val="58340F0D"/>
    <w:rsid w:val="58341F40"/>
    <w:rsid w:val="58510BA1"/>
    <w:rsid w:val="587F2E9A"/>
    <w:rsid w:val="58986719"/>
    <w:rsid w:val="589E6642"/>
    <w:rsid w:val="58B92E0A"/>
    <w:rsid w:val="58BC3E4D"/>
    <w:rsid w:val="58C57EA8"/>
    <w:rsid w:val="58CF3CE2"/>
    <w:rsid w:val="58DA61D9"/>
    <w:rsid w:val="58E51A57"/>
    <w:rsid w:val="58ED6F59"/>
    <w:rsid w:val="590F17F8"/>
    <w:rsid w:val="591A20CE"/>
    <w:rsid w:val="593C4B2D"/>
    <w:rsid w:val="594C5E24"/>
    <w:rsid w:val="594D0F87"/>
    <w:rsid w:val="59552E64"/>
    <w:rsid w:val="596D5792"/>
    <w:rsid w:val="59804BE8"/>
    <w:rsid w:val="599925E5"/>
    <w:rsid w:val="599A6EF5"/>
    <w:rsid w:val="59A20895"/>
    <w:rsid w:val="59AD310D"/>
    <w:rsid w:val="59AE05EF"/>
    <w:rsid w:val="59B158C6"/>
    <w:rsid w:val="59B428AB"/>
    <w:rsid w:val="59C879AD"/>
    <w:rsid w:val="59D84B76"/>
    <w:rsid w:val="59E018E8"/>
    <w:rsid w:val="59E7027D"/>
    <w:rsid w:val="59F15F6E"/>
    <w:rsid w:val="5A03550E"/>
    <w:rsid w:val="5A064298"/>
    <w:rsid w:val="5A1153C1"/>
    <w:rsid w:val="5A1C0BCE"/>
    <w:rsid w:val="5A48467F"/>
    <w:rsid w:val="5A4852E9"/>
    <w:rsid w:val="5A5B21B3"/>
    <w:rsid w:val="5A677CA7"/>
    <w:rsid w:val="5A854247"/>
    <w:rsid w:val="5AAF1614"/>
    <w:rsid w:val="5AF43C4A"/>
    <w:rsid w:val="5AF44B3B"/>
    <w:rsid w:val="5AF76906"/>
    <w:rsid w:val="5B0B1DCE"/>
    <w:rsid w:val="5B0B572C"/>
    <w:rsid w:val="5B0C2013"/>
    <w:rsid w:val="5B14038C"/>
    <w:rsid w:val="5B265EB5"/>
    <w:rsid w:val="5B3667D9"/>
    <w:rsid w:val="5B384D31"/>
    <w:rsid w:val="5B3C4909"/>
    <w:rsid w:val="5B4969AB"/>
    <w:rsid w:val="5B634382"/>
    <w:rsid w:val="5B7E6426"/>
    <w:rsid w:val="5BA36129"/>
    <w:rsid w:val="5BAE2AB2"/>
    <w:rsid w:val="5BC33544"/>
    <w:rsid w:val="5BC562B5"/>
    <w:rsid w:val="5BC97F97"/>
    <w:rsid w:val="5BCE716B"/>
    <w:rsid w:val="5BD14BD6"/>
    <w:rsid w:val="5BDD420F"/>
    <w:rsid w:val="5BF20C35"/>
    <w:rsid w:val="5C136041"/>
    <w:rsid w:val="5C30794F"/>
    <w:rsid w:val="5C460A35"/>
    <w:rsid w:val="5C513A8E"/>
    <w:rsid w:val="5C6D7C1D"/>
    <w:rsid w:val="5C932D4B"/>
    <w:rsid w:val="5CD01F00"/>
    <w:rsid w:val="5CD12B89"/>
    <w:rsid w:val="5CDE147D"/>
    <w:rsid w:val="5CEF2603"/>
    <w:rsid w:val="5D0132A8"/>
    <w:rsid w:val="5D145A37"/>
    <w:rsid w:val="5D192097"/>
    <w:rsid w:val="5D1D1C83"/>
    <w:rsid w:val="5D3B315F"/>
    <w:rsid w:val="5D3C5057"/>
    <w:rsid w:val="5D3F438B"/>
    <w:rsid w:val="5D5730B3"/>
    <w:rsid w:val="5D5F179A"/>
    <w:rsid w:val="5D623817"/>
    <w:rsid w:val="5D6C0915"/>
    <w:rsid w:val="5D724FF7"/>
    <w:rsid w:val="5D83689C"/>
    <w:rsid w:val="5D927CFC"/>
    <w:rsid w:val="5D9A4B30"/>
    <w:rsid w:val="5DA52508"/>
    <w:rsid w:val="5DAC163F"/>
    <w:rsid w:val="5DB5267D"/>
    <w:rsid w:val="5DC83B3B"/>
    <w:rsid w:val="5DDB48DC"/>
    <w:rsid w:val="5DF64640"/>
    <w:rsid w:val="5DF8541D"/>
    <w:rsid w:val="5DFB6F63"/>
    <w:rsid w:val="5E172F5E"/>
    <w:rsid w:val="5E246283"/>
    <w:rsid w:val="5E434CFF"/>
    <w:rsid w:val="5E481162"/>
    <w:rsid w:val="5E5218E8"/>
    <w:rsid w:val="5E5F7A66"/>
    <w:rsid w:val="5E6B00A6"/>
    <w:rsid w:val="5E7522D4"/>
    <w:rsid w:val="5E7A4F24"/>
    <w:rsid w:val="5E8C2B27"/>
    <w:rsid w:val="5E910AAE"/>
    <w:rsid w:val="5E9641CF"/>
    <w:rsid w:val="5E9B3132"/>
    <w:rsid w:val="5EA12F0B"/>
    <w:rsid w:val="5EA92602"/>
    <w:rsid w:val="5EAC505C"/>
    <w:rsid w:val="5ED51A87"/>
    <w:rsid w:val="5EDF0A48"/>
    <w:rsid w:val="5EFA12D1"/>
    <w:rsid w:val="5F06585C"/>
    <w:rsid w:val="5F0F6EAA"/>
    <w:rsid w:val="5F116665"/>
    <w:rsid w:val="5F1836D9"/>
    <w:rsid w:val="5F51171D"/>
    <w:rsid w:val="5F6065BC"/>
    <w:rsid w:val="5F65287C"/>
    <w:rsid w:val="5F766258"/>
    <w:rsid w:val="5F86708F"/>
    <w:rsid w:val="5F8817CC"/>
    <w:rsid w:val="5FB10776"/>
    <w:rsid w:val="5FDC3F39"/>
    <w:rsid w:val="5FE216E5"/>
    <w:rsid w:val="5FE353DB"/>
    <w:rsid w:val="5FF81BC9"/>
    <w:rsid w:val="5FFA14CC"/>
    <w:rsid w:val="600332C1"/>
    <w:rsid w:val="600524EB"/>
    <w:rsid w:val="601061E2"/>
    <w:rsid w:val="60126392"/>
    <w:rsid w:val="601F7009"/>
    <w:rsid w:val="60287029"/>
    <w:rsid w:val="602E6FEB"/>
    <w:rsid w:val="60384D19"/>
    <w:rsid w:val="60484281"/>
    <w:rsid w:val="606648B0"/>
    <w:rsid w:val="60773D13"/>
    <w:rsid w:val="607C64D4"/>
    <w:rsid w:val="608E2A4F"/>
    <w:rsid w:val="60961E22"/>
    <w:rsid w:val="609B4F11"/>
    <w:rsid w:val="609F52C9"/>
    <w:rsid w:val="60AB30D5"/>
    <w:rsid w:val="60D00BF7"/>
    <w:rsid w:val="60E01D66"/>
    <w:rsid w:val="60EC7228"/>
    <w:rsid w:val="60F07818"/>
    <w:rsid w:val="60FE6323"/>
    <w:rsid w:val="610042FE"/>
    <w:rsid w:val="610A32E3"/>
    <w:rsid w:val="610A7D86"/>
    <w:rsid w:val="61406762"/>
    <w:rsid w:val="616A0312"/>
    <w:rsid w:val="61863797"/>
    <w:rsid w:val="61910AF7"/>
    <w:rsid w:val="6195200A"/>
    <w:rsid w:val="6199121B"/>
    <w:rsid w:val="61A83095"/>
    <w:rsid w:val="61B568A7"/>
    <w:rsid w:val="61D45DD6"/>
    <w:rsid w:val="61EF650E"/>
    <w:rsid w:val="61F14CCE"/>
    <w:rsid w:val="61F33CE5"/>
    <w:rsid w:val="621B78F5"/>
    <w:rsid w:val="622273B1"/>
    <w:rsid w:val="622F4574"/>
    <w:rsid w:val="6232238D"/>
    <w:rsid w:val="627A7474"/>
    <w:rsid w:val="6296189B"/>
    <w:rsid w:val="62C24067"/>
    <w:rsid w:val="62CD6081"/>
    <w:rsid w:val="62D67BDF"/>
    <w:rsid w:val="62DD627B"/>
    <w:rsid w:val="62E5726C"/>
    <w:rsid w:val="62F66762"/>
    <w:rsid w:val="63101E74"/>
    <w:rsid w:val="6311460F"/>
    <w:rsid w:val="6322494F"/>
    <w:rsid w:val="6326465A"/>
    <w:rsid w:val="632B71DC"/>
    <w:rsid w:val="633D585A"/>
    <w:rsid w:val="634F2E43"/>
    <w:rsid w:val="635554EA"/>
    <w:rsid w:val="6373014A"/>
    <w:rsid w:val="637F20EE"/>
    <w:rsid w:val="638044B2"/>
    <w:rsid w:val="63877515"/>
    <w:rsid w:val="63B60CD2"/>
    <w:rsid w:val="63D5290E"/>
    <w:rsid w:val="63DF383E"/>
    <w:rsid w:val="63DF7F3D"/>
    <w:rsid w:val="63E96F5F"/>
    <w:rsid w:val="64121C3E"/>
    <w:rsid w:val="6412270C"/>
    <w:rsid w:val="64156C18"/>
    <w:rsid w:val="64257362"/>
    <w:rsid w:val="64293A69"/>
    <w:rsid w:val="643A39D4"/>
    <w:rsid w:val="64414C0E"/>
    <w:rsid w:val="645C6FEF"/>
    <w:rsid w:val="64612D5D"/>
    <w:rsid w:val="648E77D7"/>
    <w:rsid w:val="64A66CBB"/>
    <w:rsid w:val="64AE73C2"/>
    <w:rsid w:val="64BA7B12"/>
    <w:rsid w:val="64BC49AA"/>
    <w:rsid w:val="64C44307"/>
    <w:rsid w:val="64C60FC8"/>
    <w:rsid w:val="64DE6F51"/>
    <w:rsid w:val="64E13DF8"/>
    <w:rsid w:val="64FB7B22"/>
    <w:rsid w:val="65120563"/>
    <w:rsid w:val="65122EB4"/>
    <w:rsid w:val="651232B9"/>
    <w:rsid w:val="653D7A18"/>
    <w:rsid w:val="654113ED"/>
    <w:rsid w:val="654240F5"/>
    <w:rsid w:val="65943D5A"/>
    <w:rsid w:val="65947EDA"/>
    <w:rsid w:val="659E21BB"/>
    <w:rsid w:val="65B87FFC"/>
    <w:rsid w:val="65BF6C78"/>
    <w:rsid w:val="65D647DF"/>
    <w:rsid w:val="65E33EAB"/>
    <w:rsid w:val="65EA3149"/>
    <w:rsid w:val="65FE3862"/>
    <w:rsid w:val="661E5548"/>
    <w:rsid w:val="662829F8"/>
    <w:rsid w:val="663F4AD8"/>
    <w:rsid w:val="663F58A8"/>
    <w:rsid w:val="664F1E7F"/>
    <w:rsid w:val="66622B7D"/>
    <w:rsid w:val="66655D65"/>
    <w:rsid w:val="668016D1"/>
    <w:rsid w:val="6685306A"/>
    <w:rsid w:val="66906BA2"/>
    <w:rsid w:val="66AA119B"/>
    <w:rsid w:val="66AC5D75"/>
    <w:rsid w:val="66AE605A"/>
    <w:rsid w:val="66B22F68"/>
    <w:rsid w:val="66C339BD"/>
    <w:rsid w:val="66DB65D7"/>
    <w:rsid w:val="66E3130B"/>
    <w:rsid w:val="66E97033"/>
    <w:rsid w:val="66EB5A79"/>
    <w:rsid w:val="66ED569B"/>
    <w:rsid w:val="67312626"/>
    <w:rsid w:val="673520FB"/>
    <w:rsid w:val="674917A3"/>
    <w:rsid w:val="677C6DD4"/>
    <w:rsid w:val="677F245B"/>
    <w:rsid w:val="67A1253D"/>
    <w:rsid w:val="67AF7956"/>
    <w:rsid w:val="67C72EB9"/>
    <w:rsid w:val="67DA5134"/>
    <w:rsid w:val="67E3148E"/>
    <w:rsid w:val="680C65CD"/>
    <w:rsid w:val="6831334D"/>
    <w:rsid w:val="68494C49"/>
    <w:rsid w:val="68510F2E"/>
    <w:rsid w:val="68590391"/>
    <w:rsid w:val="68783FC0"/>
    <w:rsid w:val="689B3D1C"/>
    <w:rsid w:val="68AC2821"/>
    <w:rsid w:val="68BF480F"/>
    <w:rsid w:val="68CE201A"/>
    <w:rsid w:val="68D62E3E"/>
    <w:rsid w:val="68E10913"/>
    <w:rsid w:val="69172CA2"/>
    <w:rsid w:val="69220A63"/>
    <w:rsid w:val="692771F3"/>
    <w:rsid w:val="69292CE5"/>
    <w:rsid w:val="696D7CFA"/>
    <w:rsid w:val="697B3FEF"/>
    <w:rsid w:val="699446EF"/>
    <w:rsid w:val="69BA0E64"/>
    <w:rsid w:val="69DA4F86"/>
    <w:rsid w:val="69E642C7"/>
    <w:rsid w:val="69EC011C"/>
    <w:rsid w:val="6A02408E"/>
    <w:rsid w:val="6A141ED7"/>
    <w:rsid w:val="6A156366"/>
    <w:rsid w:val="6A196F2C"/>
    <w:rsid w:val="6A271A4C"/>
    <w:rsid w:val="6A286ED0"/>
    <w:rsid w:val="6A4C4D06"/>
    <w:rsid w:val="6A51472E"/>
    <w:rsid w:val="6A542F00"/>
    <w:rsid w:val="6A5A47BB"/>
    <w:rsid w:val="6A5A4E63"/>
    <w:rsid w:val="6A5D5914"/>
    <w:rsid w:val="6A7A31A8"/>
    <w:rsid w:val="6A7E7D49"/>
    <w:rsid w:val="6A8628EA"/>
    <w:rsid w:val="6AB173B9"/>
    <w:rsid w:val="6AD9342A"/>
    <w:rsid w:val="6AF46CD5"/>
    <w:rsid w:val="6B053E23"/>
    <w:rsid w:val="6B196171"/>
    <w:rsid w:val="6B1C7422"/>
    <w:rsid w:val="6B3F099D"/>
    <w:rsid w:val="6B4A2BD5"/>
    <w:rsid w:val="6B4D6E82"/>
    <w:rsid w:val="6B561713"/>
    <w:rsid w:val="6B593849"/>
    <w:rsid w:val="6B665D86"/>
    <w:rsid w:val="6BB21AD2"/>
    <w:rsid w:val="6BB22862"/>
    <w:rsid w:val="6BD62996"/>
    <w:rsid w:val="6BE6728C"/>
    <w:rsid w:val="6BE95552"/>
    <w:rsid w:val="6C0D1656"/>
    <w:rsid w:val="6C342F98"/>
    <w:rsid w:val="6C3F13C3"/>
    <w:rsid w:val="6C42127C"/>
    <w:rsid w:val="6C5E3B04"/>
    <w:rsid w:val="6C674BCA"/>
    <w:rsid w:val="6C6877F6"/>
    <w:rsid w:val="6C881A75"/>
    <w:rsid w:val="6C9F5DFA"/>
    <w:rsid w:val="6CB93A7B"/>
    <w:rsid w:val="6CC434EB"/>
    <w:rsid w:val="6CD11A4B"/>
    <w:rsid w:val="6CE5460E"/>
    <w:rsid w:val="6CE675F4"/>
    <w:rsid w:val="6CF07C3A"/>
    <w:rsid w:val="6D152C3F"/>
    <w:rsid w:val="6D2317E2"/>
    <w:rsid w:val="6D267305"/>
    <w:rsid w:val="6D4A4A33"/>
    <w:rsid w:val="6D520702"/>
    <w:rsid w:val="6D750232"/>
    <w:rsid w:val="6D866A53"/>
    <w:rsid w:val="6D99131E"/>
    <w:rsid w:val="6DA83F85"/>
    <w:rsid w:val="6DC43C23"/>
    <w:rsid w:val="6DED1C53"/>
    <w:rsid w:val="6E1140F8"/>
    <w:rsid w:val="6E3F6C9E"/>
    <w:rsid w:val="6E532D03"/>
    <w:rsid w:val="6E6410ED"/>
    <w:rsid w:val="6EC56855"/>
    <w:rsid w:val="6EDA699F"/>
    <w:rsid w:val="6F295902"/>
    <w:rsid w:val="6F2A710C"/>
    <w:rsid w:val="6F2C39B8"/>
    <w:rsid w:val="6F331E27"/>
    <w:rsid w:val="6F4100CF"/>
    <w:rsid w:val="6F443636"/>
    <w:rsid w:val="6F680F89"/>
    <w:rsid w:val="6F8B5CAC"/>
    <w:rsid w:val="6F965AA6"/>
    <w:rsid w:val="6F9C3EDD"/>
    <w:rsid w:val="6FAF547E"/>
    <w:rsid w:val="6FB10B41"/>
    <w:rsid w:val="6FB67655"/>
    <w:rsid w:val="6FEA7383"/>
    <w:rsid w:val="6FF35D5C"/>
    <w:rsid w:val="700C58BA"/>
    <w:rsid w:val="70127A24"/>
    <w:rsid w:val="701E0DA7"/>
    <w:rsid w:val="70573B8D"/>
    <w:rsid w:val="705943EB"/>
    <w:rsid w:val="708A7F50"/>
    <w:rsid w:val="7098381A"/>
    <w:rsid w:val="709869B7"/>
    <w:rsid w:val="709C36C8"/>
    <w:rsid w:val="70A84948"/>
    <w:rsid w:val="70B0301E"/>
    <w:rsid w:val="70C11591"/>
    <w:rsid w:val="70C51A46"/>
    <w:rsid w:val="70EA32FC"/>
    <w:rsid w:val="70FA024D"/>
    <w:rsid w:val="70FA453A"/>
    <w:rsid w:val="71167B5E"/>
    <w:rsid w:val="71190A16"/>
    <w:rsid w:val="7146252E"/>
    <w:rsid w:val="716D06EF"/>
    <w:rsid w:val="71792270"/>
    <w:rsid w:val="717E3E49"/>
    <w:rsid w:val="71812BE5"/>
    <w:rsid w:val="719D4586"/>
    <w:rsid w:val="71A72291"/>
    <w:rsid w:val="71B737DA"/>
    <w:rsid w:val="71BA5B38"/>
    <w:rsid w:val="71E2509B"/>
    <w:rsid w:val="71F2536B"/>
    <w:rsid w:val="723F778B"/>
    <w:rsid w:val="7242788A"/>
    <w:rsid w:val="724D00A1"/>
    <w:rsid w:val="72600DBD"/>
    <w:rsid w:val="7265794C"/>
    <w:rsid w:val="726B50F9"/>
    <w:rsid w:val="72771C5D"/>
    <w:rsid w:val="727F1082"/>
    <w:rsid w:val="72B85ED4"/>
    <w:rsid w:val="72CB154C"/>
    <w:rsid w:val="72F13592"/>
    <w:rsid w:val="730349FB"/>
    <w:rsid w:val="731E574C"/>
    <w:rsid w:val="7327258A"/>
    <w:rsid w:val="733615F1"/>
    <w:rsid w:val="733704EC"/>
    <w:rsid w:val="73406A08"/>
    <w:rsid w:val="735D1412"/>
    <w:rsid w:val="73783372"/>
    <w:rsid w:val="73830F2F"/>
    <w:rsid w:val="73A925A0"/>
    <w:rsid w:val="73AE15E2"/>
    <w:rsid w:val="73EB5F0E"/>
    <w:rsid w:val="73FA7F0F"/>
    <w:rsid w:val="73FC4336"/>
    <w:rsid w:val="74285210"/>
    <w:rsid w:val="742A3A54"/>
    <w:rsid w:val="744C6BDE"/>
    <w:rsid w:val="746B6409"/>
    <w:rsid w:val="746D58AD"/>
    <w:rsid w:val="74703B53"/>
    <w:rsid w:val="7475299F"/>
    <w:rsid w:val="748D10D9"/>
    <w:rsid w:val="749C2D7E"/>
    <w:rsid w:val="74AF345A"/>
    <w:rsid w:val="74C67B59"/>
    <w:rsid w:val="754B09F3"/>
    <w:rsid w:val="7553388D"/>
    <w:rsid w:val="75631EAD"/>
    <w:rsid w:val="75780005"/>
    <w:rsid w:val="757951E3"/>
    <w:rsid w:val="75826A60"/>
    <w:rsid w:val="75925750"/>
    <w:rsid w:val="75984FB8"/>
    <w:rsid w:val="75A35087"/>
    <w:rsid w:val="75D2628B"/>
    <w:rsid w:val="75DA7500"/>
    <w:rsid w:val="75DF01AC"/>
    <w:rsid w:val="75E078FB"/>
    <w:rsid w:val="75E23BB6"/>
    <w:rsid w:val="75EE4FC8"/>
    <w:rsid w:val="76043EC4"/>
    <w:rsid w:val="760D0A86"/>
    <w:rsid w:val="76207B54"/>
    <w:rsid w:val="76274174"/>
    <w:rsid w:val="7636758D"/>
    <w:rsid w:val="763E0C88"/>
    <w:rsid w:val="76446E39"/>
    <w:rsid w:val="764D4DE7"/>
    <w:rsid w:val="7659612C"/>
    <w:rsid w:val="765B0B8A"/>
    <w:rsid w:val="765D17F5"/>
    <w:rsid w:val="76676A3F"/>
    <w:rsid w:val="768B6B99"/>
    <w:rsid w:val="76A3669C"/>
    <w:rsid w:val="76A52A86"/>
    <w:rsid w:val="76BA2285"/>
    <w:rsid w:val="76E551D8"/>
    <w:rsid w:val="76EB745A"/>
    <w:rsid w:val="76F64AE9"/>
    <w:rsid w:val="76FC35CA"/>
    <w:rsid w:val="7707109B"/>
    <w:rsid w:val="77107870"/>
    <w:rsid w:val="77197FA1"/>
    <w:rsid w:val="772B7FEA"/>
    <w:rsid w:val="774507B5"/>
    <w:rsid w:val="77506F31"/>
    <w:rsid w:val="77932611"/>
    <w:rsid w:val="77B90786"/>
    <w:rsid w:val="77CE6C32"/>
    <w:rsid w:val="77D576F3"/>
    <w:rsid w:val="77DE3126"/>
    <w:rsid w:val="77EA4F26"/>
    <w:rsid w:val="7800236F"/>
    <w:rsid w:val="78033E55"/>
    <w:rsid w:val="78042959"/>
    <w:rsid w:val="783C265F"/>
    <w:rsid w:val="78793908"/>
    <w:rsid w:val="78885FD7"/>
    <w:rsid w:val="78895380"/>
    <w:rsid w:val="78D43043"/>
    <w:rsid w:val="78E51593"/>
    <w:rsid w:val="78E65A33"/>
    <w:rsid w:val="78EC1E69"/>
    <w:rsid w:val="78FE183F"/>
    <w:rsid w:val="78FF2321"/>
    <w:rsid w:val="79016ED3"/>
    <w:rsid w:val="790648A6"/>
    <w:rsid w:val="7913164E"/>
    <w:rsid w:val="79286516"/>
    <w:rsid w:val="792F7D21"/>
    <w:rsid w:val="793941C5"/>
    <w:rsid w:val="796D22A7"/>
    <w:rsid w:val="79706953"/>
    <w:rsid w:val="797E76E1"/>
    <w:rsid w:val="799309FC"/>
    <w:rsid w:val="79B45F41"/>
    <w:rsid w:val="79F013CF"/>
    <w:rsid w:val="79FB323E"/>
    <w:rsid w:val="7A0049C1"/>
    <w:rsid w:val="7A0C4606"/>
    <w:rsid w:val="7A26178A"/>
    <w:rsid w:val="7A455570"/>
    <w:rsid w:val="7A626728"/>
    <w:rsid w:val="7A6D1481"/>
    <w:rsid w:val="7A7478D4"/>
    <w:rsid w:val="7A9B71FD"/>
    <w:rsid w:val="7AB86F78"/>
    <w:rsid w:val="7AE020FE"/>
    <w:rsid w:val="7AEB4162"/>
    <w:rsid w:val="7B117D9E"/>
    <w:rsid w:val="7B1E0F9E"/>
    <w:rsid w:val="7B2C276E"/>
    <w:rsid w:val="7B2C66FE"/>
    <w:rsid w:val="7B3927AA"/>
    <w:rsid w:val="7B3E7060"/>
    <w:rsid w:val="7B435805"/>
    <w:rsid w:val="7B4C19CC"/>
    <w:rsid w:val="7B4F4A79"/>
    <w:rsid w:val="7B552F58"/>
    <w:rsid w:val="7B622E86"/>
    <w:rsid w:val="7B7018B1"/>
    <w:rsid w:val="7B7863CC"/>
    <w:rsid w:val="7B9D7D29"/>
    <w:rsid w:val="7BAC0404"/>
    <w:rsid w:val="7BCA7019"/>
    <w:rsid w:val="7BD0788C"/>
    <w:rsid w:val="7BD07C98"/>
    <w:rsid w:val="7BD37F25"/>
    <w:rsid w:val="7BED7A99"/>
    <w:rsid w:val="7C1121DF"/>
    <w:rsid w:val="7C1278D2"/>
    <w:rsid w:val="7C1474A0"/>
    <w:rsid w:val="7C18182E"/>
    <w:rsid w:val="7C1A0958"/>
    <w:rsid w:val="7C2E72A9"/>
    <w:rsid w:val="7C324D49"/>
    <w:rsid w:val="7C606A77"/>
    <w:rsid w:val="7C6914E9"/>
    <w:rsid w:val="7C733FFD"/>
    <w:rsid w:val="7C82671B"/>
    <w:rsid w:val="7C9C6677"/>
    <w:rsid w:val="7C9F2AE1"/>
    <w:rsid w:val="7CA207E3"/>
    <w:rsid w:val="7CAE6CD2"/>
    <w:rsid w:val="7CAE6D56"/>
    <w:rsid w:val="7CB22D67"/>
    <w:rsid w:val="7CB27537"/>
    <w:rsid w:val="7CC4559F"/>
    <w:rsid w:val="7CD22120"/>
    <w:rsid w:val="7CE3229F"/>
    <w:rsid w:val="7CF677F6"/>
    <w:rsid w:val="7CFF7F2A"/>
    <w:rsid w:val="7D050378"/>
    <w:rsid w:val="7D087E31"/>
    <w:rsid w:val="7D0A3F03"/>
    <w:rsid w:val="7D156621"/>
    <w:rsid w:val="7D2D4B50"/>
    <w:rsid w:val="7D325CAE"/>
    <w:rsid w:val="7D3A44B7"/>
    <w:rsid w:val="7D4F5203"/>
    <w:rsid w:val="7D54218E"/>
    <w:rsid w:val="7D547982"/>
    <w:rsid w:val="7D581554"/>
    <w:rsid w:val="7D6102BD"/>
    <w:rsid w:val="7D862BB2"/>
    <w:rsid w:val="7D8A6202"/>
    <w:rsid w:val="7D8D2733"/>
    <w:rsid w:val="7DA9366A"/>
    <w:rsid w:val="7DB9459A"/>
    <w:rsid w:val="7DC635DF"/>
    <w:rsid w:val="7DD762AD"/>
    <w:rsid w:val="7DE86D6A"/>
    <w:rsid w:val="7DF24B17"/>
    <w:rsid w:val="7E020C32"/>
    <w:rsid w:val="7E034F01"/>
    <w:rsid w:val="7E1A50CB"/>
    <w:rsid w:val="7E444AAA"/>
    <w:rsid w:val="7E517AA7"/>
    <w:rsid w:val="7E5E0711"/>
    <w:rsid w:val="7E5E6C45"/>
    <w:rsid w:val="7E7A2700"/>
    <w:rsid w:val="7EAE1CC8"/>
    <w:rsid w:val="7EE90E28"/>
    <w:rsid w:val="7EEF1694"/>
    <w:rsid w:val="7F144FE1"/>
    <w:rsid w:val="7F221A22"/>
    <w:rsid w:val="7F3D5CCF"/>
    <w:rsid w:val="7F3F046A"/>
    <w:rsid w:val="7F431243"/>
    <w:rsid w:val="7F493F0B"/>
    <w:rsid w:val="7F4F0D3E"/>
    <w:rsid w:val="7F5C33CD"/>
    <w:rsid w:val="7F832383"/>
    <w:rsid w:val="7FD618FF"/>
    <w:rsid w:val="7FDD01D5"/>
    <w:rsid w:val="7FE93DF1"/>
    <w:rsid w:val="7FFA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rPr>
  </w:style>
  <w:style w:type="paragraph" w:styleId="3">
    <w:name w:val="Body Text"/>
    <w:basedOn w:val="1"/>
    <w:next w:val="2"/>
    <w:qFormat/>
    <w:uiPriority w:val="0"/>
    <w:pPr>
      <w:spacing w:after="120"/>
    </w:pPr>
  </w:style>
  <w:style w:type="paragraph" w:styleId="7">
    <w:name w:val="List Number"/>
    <w:basedOn w:val="1"/>
    <w:qFormat/>
    <w:uiPriority w:val="0"/>
    <w:pPr>
      <w:widowControl/>
      <w:numPr>
        <w:ilvl w:val="0"/>
        <w:numId w:val="1"/>
      </w:numPr>
      <w:tabs>
        <w:tab w:val="left" w:pos="454"/>
        <w:tab w:val="left" w:pos="720"/>
        <w:tab w:val="left" w:pos="899"/>
        <w:tab w:val="clear" w:pos="960"/>
      </w:tabs>
      <w:spacing w:afterLines="50"/>
      <w:ind w:left="454" w:hanging="284"/>
      <w:jc w:val="left"/>
    </w:pPr>
    <w:rPr>
      <w:kern w:val="0"/>
      <w:sz w:val="24"/>
      <w:szCs w:val="20"/>
    </w:rPr>
  </w:style>
  <w:style w:type="paragraph" w:styleId="8">
    <w:name w:val="Normal Indent"/>
    <w:basedOn w:val="1"/>
    <w:next w:val="9"/>
    <w:link w:val="40"/>
    <w:qFormat/>
    <w:uiPriority w:val="0"/>
    <w:pPr>
      <w:ind w:firstLine="420"/>
    </w:pPr>
    <w:rPr>
      <w:szCs w:val="20"/>
    </w:rPr>
  </w:style>
  <w:style w:type="paragraph" w:styleId="9">
    <w:name w:val="Body Text Indent"/>
    <w:basedOn w:val="1"/>
    <w:next w:val="1"/>
    <w:link w:val="3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35"/>
    <w:qFormat/>
    <w:uiPriority w:val="0"/>
    <w:pPr>
      <w:jc w:val="left"/>
    </w:pPr>
  </w:style>
  <w:style w:type="paragraph" w:styleId="12">
    <w:name w:val="Body Text 3"/>
    <w:basedOn w:val="1"/>
    <w:qFormat/>
    <w:uiPriority w:val="0"/>
    <w:pPr>
      <w:spacing w:after="120"/>
    </w:pPr>
    <w:rPr>
      <w:sz w:val="16"/>
      <w:szCs w:val="16"/>
    </w:rPr>
  </w:style>
  <w:style w:type="paragraph" w:styleId="13">
    <w:name w:val="List 2"/>
    <w:basedOn w:val="1"/>
    <w:qFormat/>
    <w:uiPriority w:val="0"/>
    <w:pPr>
      <w:ind w:left="100" w:leftChars="200" w:hanging="200" w:hangingChars="200"/>
    </w:pPr>
  </w:style>
  <w:style w:type="paragraph" w:styleId="14">
    <w:name w:val="Plain Text"/>
    <w:basedOn w:val="1"/>
    <w:link w:val="43"/>
    <w:qFormat/>
    <w:uiPriority w:val="0"/>
    <w:rPr>
      <w:rFonts w:ascii="宋体" w:hAnsi="Courier New"/>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annotation subject"/>
    <w:basedOn w:val="11"/>
    <w:next w:val="11"/>
    <w:link w:val="42"/>
    <w:qFormat/>
    <w:uiPriority w:val="0"/>
    <w:rPr>
      <w:b/>
      <w:bCs/>
    </w:rPr>
  </w:style>
  <w:style w:type="paragraph" w:styleId="24">
    <w:name w:val="Body Text First Indent 2"/>
    <w:basedOn w:val="9"/>
    <w:link w:val="36"/>
    <w:qFormat/>
    <w:uiPriority w:val="99"/>
    <w:pPr>
      <w:widowControl/>
      <w:tabs>
        <w:tab w:val="clear" w:pos="720"/>
        <w:tab w:val="clear" w:pos="1260"/>
        <w:tab w:val="clear" w:pos="2160"/>
        <w:tab w:val="clear" w:pos="2880"/>
        <w:tab w:val="clear" w:pos="3600"/>
        <w:tab w:val="clear" w:pos="4320"/>
        <w:tab w:val="clear" w:pos="5040"/>
        <w:tab w:val="clear" w:pos="5760"/>
      </w:tabs>
      <w:autoSpaceDE/>
      <w:autoSpaceDN/>
      <w:adjustRightInd/>
      <w:spacing w:after="160" w:line="259" w:lineRule="auto"/>
      <w:ind w:left="420" w:leftChars="200" w:right="0" w:rightChars="0" w:firstLine="420" w:firstLineChars="0"/>
    </w:pPr>
    <w:rPr>
      <w:rFonts w:ascii="Arial" w:hAnsi="Arial"/>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unhideWhenUsed/>
    <w:qFormat/>
    <w:uiPriority w:val="99"/>
    <w:rPr>
      <w:color w:val="954F72"/>
      <w:u w:val="single"/>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customStyle="1" w:styleId="33">
    <w:name w:val="页眉 Char"/>
    <w:link w:val="19"/>
    <w:qFormat/>
    <w:uiPriority w:val="0"/>
    <w:rPr>
      <w:kern w:val="2"/>
      <w:sz w:val="18"/>
      <w:szCs w:val="18"/>
    </w:rPr>
  </w:style>
  <w:style w:type="character" w:customStyle="1" w:styleId="34">
    <w:name w:val="批注框文本 Char"/>
    <w:link w:val="17"/>
    <w:qFormat/>
    <w:uiPriority w:val="0"/>
    <w:rPr>
      <w:kern w:val="2"/>
      <w:sz w:val="18"/>
      <w:szCs w:val="18"/>
    </w:rPr>
  </w:style>
  <w:style w:type="character" w:customStyle="1" w:styleId="35">
    <w:name w:val="批注文字 Char"/>
    <w:link w:val="11"/>
    <w:qFormat/>
    <w:uiPriority w:val="0"/>
    <w:rPr>
      <w:kern w:val="2"/>
      <w:sz w:val="21"/>
      <w:szCs w:val="24"/>
    </w:rPr>
  </w:style>
  <w:style w:type="character" w:customStyle="1" w:styleId="36">
    <w:name w:val="正文首行缩进 2 Char"/>
    <w:link w:val="24"/>
    <w:qFormat/>
    <w:uiPriority w:val="99"/>
    <w:rPr>
      <w:rFonts w:ascii="Arial" w:hAnsi="Arial"/>
      <w:color w:val="000000"/>
      <w:sz w:val="24"/>
    </w:rPr>
  </w:style>
  <w:style w:type="character" w:customStyle="1" w:styleId="37">
    <w:name w:val="正文文本缩进 Char"/>
    <w:link w:val="9"/>
    <w:qFormat/>
    <w:uiPriority w:val="0"/>
    <w:rPr>
      <w:rFonts w:ascii="宋体"/>
      <w:color w:val="000000"/>
      <w:sz w:val="24"/>
    </w:rPr>
  </w:style>
  <w:style w:type="character" w:customStyle="1" w:styleId="38">
    <w:name w:val="标题 1 Char"/>
    <w:link w:val="4"/>
    <w:qFormat/>
    <w:uiPriority w:val="0"/>
    <w:rPr>
      <w:b/>
      <w:bCs/>
      <w:kern w:val="44"/>
      <w:sz w:val="44"/>
      <w:szCs w:val="44"/>
    </w:rPr>
  </w:style>
  <w:style w:type="character" w:customStyle="1" w:styleId="39">
    <w:name w:val="纯文本 字符"/>
    <w:qFormat/>
    <w:uiPriority w:val="0"/>
    <w:rPr>
      <w:rFonts w:ascii="宋体" w:hAnsi="Courier New"/>
      <w:kern w:val="2"/>
      <w:sz w:val="21"/>
    </w:rPr>
  </w:style>
  <w:style w:type="character" w:customStyle="1" w:styleId="40">
    <w:name w:val="正文缩进 Char"/>
    <w:link w:val="8"/>
    <w:qFormat/>
    <w:uiPriority w:val="0"/>
    <w:rPr>
      <w:kern w:val="2"/>
      <w:sz w:val="21"/>
    </w:rPr>
  </w:style>
  <w:style w:type="character" w:customStyle="1" w:styleId="41">
    <w:name w:val="页脚 Char"/>
    <w:link w:val="18"/>
    <w:qFormat/>
    <w:uiPriority w:val="0"/>
    <w:rPr>
      <w:kern w:val="2"/>
      <w:sz w:val="18"/>
      <w:szCs w:val="18"/>
    </w:rPr>
  </w:style>
  <w:style w:type="character" w:customStyle="1" w:styleId="42">
    <w:name w:val="批注主题 Char"/>
    <w:basedOn w:val="35"/>
    <w:link w:val="23"/>
    <w:qFormat/>
    <w:uiPriority w:val="0"/>
  </w:style>
  <w:style w:type="character" w:customStyle="1" w:styleId="43">
    <w:name w:val="纯文本 Char"/>
    <w:link w:val="14"/>
    <w:qFormat/>
    <w:uiPriority w:val="0"/>
    <w:rPr>
      <w:rFonts w:ascii="宋体" w:hAnsi="Courier New" w:eastAsia="宋体"/>
      <w:kern w:val="2"/>
      <w:sz w:val="21"/>
      <w:szCs w:val="24"/>
      <w:lang w:val="en-US" w:eastAsia="zh-CN" w:bidi="ar-SA"/>
    </w:rPr>
  </w:style>
  <w:style w:type="paragraph" w:customStyle="1" w:styleId="44">
    <w:name w:val="标书-正文"/>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14"/>
    <w:qFormat/>
    <w:uiPriority w:val="0"/>
    <w:rPr>
      <w:rFonts w:ascii="Times New Roman" w:hAnsi="Times New Roman" w:eastAsia="宋体" w:cs="Times New Roman"/>
      <w:sz w:val="21"/>
      <w:lang w:val="en-US" w:eastAsia="zh-CN" w:bidi="ar-SA"/>
    </w:rPr>
  </w:style>
  <w:style w:type="paragraph" w:customStyle="1" w:styleId="47">
    <w:name w:val="招标-标题1"/>
    <w:basedOn w:val="1"/>
    <w:qFormat/>
    <w:uiPriority w:val="0"/>
    <w:pPr>
      <w:spacing w:line="300" w:lineRule="auto"/>
      <w:ind w:left="560"/>
    </w:pPr>
    <w:rPr>
      <w:rFonts w:ascii="宋体" w:hAnsi="宋体"/>
      <w:b/>
      <w:bCs/>
      <w:szCs w:val="21"/>
    </w:rPr>
  </w:style>
  <w:style w:type="paragraph" w:customStyle="1" w:styleId="48">
    <w:name w:val="_Style 49"/>
    <w:basedOn w:val="1"/>
    <w:next w:val="14"/>
    <w:qFormat/>
    <w:uiPriority w:val="0"/>
    <w:rPr>
      <w:rFonts w:ascii="宋体" w:hAnsi="Courier New"/>
      <w:kern w:val="0"/>
      <w:sz w:val="24"/>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表格内容"/>
    <w:basedOn w:val="1"/>
    <w:qFormat/>
    <w:uiPriority w:val="2"/>
    <w:pPr>
      <w:widowControl/>
      <w:jc w:val="center"/>
    </w:pPr>
    <w:rPr>
      <w:kern w:val="0"/>
      <w:sz w:val="24"/>
      <w:szCs w:val="28"/>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Char1"/>
    <w:basedOn w:val="1"/>
    <w:qFormat/>
    <w:uiPriority w:val="0"/>
  </w:style>
  <w:style w:type="paragraph" w:customStyle="1" w:styleId="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出段落1"/>
    <w:basedOn w:val="1"/>
    <w:qFormat/>
    <w:uiPriority w:val="0"/>
    <w:pPr>
      <w:ind w:firstLine="420" w:firstLineChars="200"/>
    </w:pPr>
    <w:rPr>
      <w:rFonts w:ascii="Calibri" w:hAnsi="Calibri"/>
      <w:kern w:val="0"/>
      <w:szCs w:val="20"/>
    </w:rPr>
  </w:style>
  <w:style w:type="paragraph" w:customStyle="1" w:styleId="59">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0">
    <w:name w:val="纯文本_0_1"/>
    <w:basedOn w:val="1"/>
    <w:qFormat/>
    <w:uiPriority w:val="0"/>
    <w:pPr>
      <w:widowControl/>
      <w:jc w:val="left"/>
    </w:pPr>
    <w:rPr>
      <w:rFonts w:ascii="宋体" w:hAnsi="Courier New"/>
      <w:szCs w:val="21"/>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2">
    <w:name w:val="List Paragraph"/>
    <w:basedOn w:val="1"/>
    <w:qFormat/>
    <w:uiPriority w:val="34"/>
    <w:pPr>
      <w:ind w:firstLine="420" w:firstLineChars="200"/>
    </w:pPr>
    <w:rPr>
      <w:rFonts w:ascii="Calibri" w:hAnsi="Calibri"/>
      <w:szCs w:val="22"/>
    </w:rPr>
  </w:style>
  <w:style w:type="paragraph" w:customStyle="1" w:styleId="63">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w:basedOn w:val="1"/>
    <w:qFormat/>
    <w:uiPriority w:val="0"/>
  </w:style>
  <w:style w:type="paragraph" w:customStyle="1" w:styleId="67">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378E6-D33D-44CB-B491-C9EA16DF040D}">
  <ds:schemaRefs/>
</ds:datastoreItem>
</file>

<file path=docProps/app.xml><?xml version="1.0" encoding="utf-8"?>
<Properties xmlns="http://schemas.openxmlformats.org/officeDocument/2006/extended-properties" xmlns:vt="http://schemas.openxmlformats.org/officeDocument/2006/docPropsVTypes">
  <Template>Normal</Template>
  <Pages>42</Pages>
  <Words>3582</Words>
  <Characters>20420</Characters>
  <Lines>170</Lines>
  <Paragraphs>47</Paragraphs>
  <TotalTime>2</TotalTime>
  <ScaleCrop>false</ScaleCrop>
  <LinksUpToDate>false</LinksUpToDate>
  <CharactersWithSpaces>23955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2020-12-29T02:44:00Z</dcterms:created>
  <dc:creator>dell</dc:creator>
  <cp:lastModifiedBy>吴越</cp:lastModifiedBy>
  <cp:lastPrinted>2020-12-28T06:24:00Z</cp:lastPrinted>
  <dcterms:modified xsi:type="dcterms:W3CDTF">2021-01-13T04:03:01Z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