
<file path=[Content_Types].xml><?xml version="1.0" encoding="utf-8"?>
<Types xmlns="http://schemas.openxmlformats.org/package/2006/content-types">
  <Default Extension="xml" ContentType="application/xml"/>
  <Default Extension="jpeg" ContentType="image/jpeg"/>
  <Default Extension="tiff" ContentType="image/tif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b/>
          <w:kern w:val="0"/>
          <w:sz w:val="52"/>
          <w:szCs w:val="52"/>
        </w:rPr>
      </w:pPr>
    </w:p>
    <w:p>
      <w:pPr>
        <w:autoSpaceDE w:val="0"/>
        <w:autoSpaceDN w:val="0"/>
        <w:adjustRightInd w:val="0"/>
        <w:jc w:val="center"/>
        <w:rPr>
          <w:rFonts w:hint="eastAsia" w:ascii="宋体" w:hAnsi="宋体" w:eastAsia="宋体"/>
          <w:sz w:val="36"/>
          <w:szCs w:val="36"/>
          <w:lang w:eastAsia="zh-CN"/>
        </w:rPr>
      </w:pPr>
      <w:r>
        <w:rPr>
          <w:rFonts w:hint="eastAsia" w:ascii="宋体" w:hAnsi="宋体"/>
          <w:b/>
          <w:sz w:val="36"/>
          <w:szCs w:val="36"/>
          <w:lang w:eastAsia="zh-CN"/>
        </w:rPr>
        <w:t>三门县中心幼儿园平安路分园幼儿桌椅及教玩具采购项目</w:t>
      </w:r>
    </w:p>
    <w:p>
      <w:pPr>
        <w:autoSpaceDE w:val="0"/>
        <w:autoSpaceDN w:val="0"/>
        <w:adjustRightInd w:val="0"/>
        <w:jc w:val="center"/>
        <w:rPr>
          <w:rFonts w:ascii="宋体" w:hAnsi="宋体"/>
          <w:szCs w:val="36"/>
        </w:rPr>
      </w:pPr>
    </w:p>
    <w:p>
      <w:pPr>
        <w:autoSpaceDE w:val="0"/>
        <w:autoSpaceDN w:val="0"/>
        <w:adjustRightInd w:val="0"/>
        <w:jc w:val="center"/>
        <w:rPr>
          <w:rFonts w:ascii="宋体" w:hAnsi="宋体"/>
          <w:szCs w:val="36"/>
        </w:rPr>
      </w:pPr>
    </w:p>
    <w:p>
      <w:pPr>
        <w:autoSpaceDE w:val="0"/>
        <w:autoSpaceDN w:val="0"/>
        <w:adjustRightInd w:val="0"/>
        <w:jc w:val="center"/>
        <w:rPr>
          <w:rFonts w:ascii="宋体" w:hAnsi="宋体"/>
          <w:szCs w:val="36"/>
        </w:rPr>
      </w:pPr>
    </w:p>
    <w:p>
      <w:pPr>
        <w:autoSpaceDE w:val="0"/>
        <w:autoSpaceDN w:val="0"/>
        <w:adjustRightInd w:val="0"/>
        <w:jc w:val="center"/>
        <w:rPr>
          <w:rFonts w:ascii="宋体" w:hAnsi="宋体"/>
          <w:szCs w:val="36"/>
        </w:rPr>
      </w:pPr>
    </w:p>
    <w:p>
      <w:pPr>
        <w:adjustRightInd w:val="0"/>
        <w:snapToGrid w:val="0"/>
        <w:jc w:val="center"/>
        <w:rPr>
          <w:rFonts w:ascii="黑体" w:hAnsi="宋体" w:eastAsia="黑体"/>
          <w:b/>
          <w:bCs/>
          <w:spacing w:val="36"/>
          <w:sz w:val="84"/>
          <w:szCs w:val="84"/>
        </w:rPr>
      </w:pPr>
      <w:r>
        <w:rPr>
          <w:rFonts w:hint="eastAsia" w:ascii="黑体" w:hAnsi="宋体" w:eastAsia="黑体"/>
          <w:b/>
          <w:bCs/>
          <w:spacing w:val="36"/>
          <w:sz w:val="84"/>
          <w:szCs w:val="84"/>
        </w:rPr>
        <w:t>公开招标文件</w:t>
      </w:r>
    </w:p>
    <w:p>
      <w:pPr>
        <w:adjustRightInd w:val="0"/>
        <w:snapToGrid w:val="0"/>
        <w:jc w:val="center"/>
        <w:rPr>
          <w:rFonts w:ascii="华文行楷" w:hAnsi="宋体" w:eastAsia="华文行楷"/>
          <w:b/>
          <w:bCs/>
          <w:spacing w:val="36"/>
          <w:sz w:val="24"/>
        </w:rPr>
      </w:pPr>
    </w:p>
    <w:p>
      <w:pPr>
        <w:adjustRightInd w:val="0"/>
        <w:snapToGrid w:val="0"/>
        <w:rPr>
          <w:rFonts w:ascii="华文行楷" w:hAnsi="宋体" w:eastAsia="华文行楷"/>
          <w:b/>
          <w:bCs/>
          <w:spacing w:val="36"/>
          <w:sz w:val="24"/>
        </w:rPr>
      </w:pPr>
    </w:p>
    <w:p>
      <w:pPr>
        <w:adjustRightInd w:val="0"/>
        <w:snapToGrid w:val="0"/>
        <w:spacing w:line="480" w:lineRule="auto"/>
        <w:jc w:val="center"/>
        <w:rPr>
          <w:rFonts w:hint="eastAsia" w:ascii="宋体" w:hAnsi="宋体" w:eastAsia="宋体"/>
          <w:b/>
          <w:sz w:val="32"/>
          <w:szCs w:val="32"/>
          <w:lang w:eastAsia="zh-CN"/>
        </w:rPr>
      </w:pPr>
      <w:r>
        <w:rPr>
          <w:rFonts w:hint="eastAsia" w:ascii="宋体" w:hAnsi="宋体"/>
          <w:b/>
          <w:sz w:val="32"/>
          <w:szCs w:val="32"/>
        </w:rPr>
        <w:t>项目编号：</w:t>
      </w:r>
      <w:r>
        <w:rPr>
          <w:rFonts w:hint="eastAsia" w:ascii="宋体" w:hAnsi="宋体"/>
          <w:b/>
          <w:sz w:val="32"/>
          <w:szCs w:val="32"/>
          <w:lang w:eastAsia="zh-CN"/>
        </w:rPr>
        <w:t>三拓展-2019-0</w:t>
      </w:r>
      <w:r>
        <w:rPr>
          <w:rFonts w:hint="eastAsia" w:ascii="宋体" w:hAnsi="宋体"/>
          <w:b/>
          <w:sz w:val="32"/>
          <w:szCs w:val="32"/>
          <w:lang w:val="en-US" w:eastAsia="zh-CN"/>
        </w:rPr>
        <w:t>27</w:t>
      </w:r>
      <w:r>
        <w:rPr>
          <w:rFonts w:hint="eastAsia" w:ascii="宋体" w:hAnsi="宋体"/>
          <w:b/>
          <w:sz w:val="32"/>
          <w:szCs w:val="32"/>
          <w:lang w:eastAsia="zh-CN"/>
        </w:rPr>
        <w:t>号</w:t>
      </w:r>
    </w:p>
    <w:p>
      <w:pPr>
        <w:autoSpaceDE w:val="0"/>
        <w:autoSpaceDN w:val="0"/>
        <w:adjustRightInd w:val="0"/>
        <w:jc w:val="center"/>
        <w:rPr>
          <w:rFonts w:ascii="宋体" w:hAnsi="宋体"/>
          <w:szCs w:val="36"/>
        </w:rPr>
      </w:pPr>
    </w:p>
    <w:p>
      <w:pPr>
        <w:autoSpaceDE w:val="0"/>
        <w:autoSpaceDN w:val="0"/>
        <w:adjustRightInd w:val="0"/>
        <w:jc w:val="center"/>
        <w:rPr>
          <w:rFonts w:ascii="黑体" w:eastAsia="黑体"/>
          <w:b/>
          <w:bCs/>
          <w:sz w:val="52"/>
          <w:szCs w:val="72"/>
        </w:rPr>
      </w:pPr>
    </w:p>
    <w:p>
      <w:pPr>
        <w:autoSpaceDE w:val="0"/>
        <w:autoSpaceDN w:val="0"/>
        <w:adjustRightInd w:val="0"/>
        <w:jc w:val="center"/>
        <w:rPr>
          <w:rFonts w:ascii="黑体" w:eastAsia="黑体"/>
          <w:b/>
          <w:bCs/>
          <w:sz w:val="52"/>
          <w:szCs w:val="72"/>
        </w:rPr>
      </w:pPr>
    </w:p>
    <w:p>
      <w:pPr>
        <w:autoSpaceDE w:val="0"/>
        <w:autoSpaceDN w:val="0"/>
        <w:adjustRightInd w:val="0"/>
        <w:jc w:val="center"/>
        <w:rPr>
          <w:rFonts w:ascii="黑体" w:eastAsia="黑体"/>
          <w:b/>
          <w:bCs/>
          <w:sz w:val="52"/>
          <w:szCs w:val="72"/>
        </w:rPr>
      </w:pPr>
    </w:p>
    <w:p>
      <w:pPr>
        <w:tabs>
          <w:tab w:val="left" w:pos="1440"/>
        </w:tabs>
        <w:spacing w:line="216" w:lineRule="auto"/>
        <w:ind w:firstLine="1343" w:firstLineChars="446"/>
        <w:rPr>
          <w:rFonts w:ascii="宋体" w:hAnsi="宋体"/>
          <w:b/>
          <w:bCs/>
          <w:sz w:val="30"/>
        </w:rPr>
      </w:pPr>
      <w:r>
        <w:rPr>
          <w:rFonts w:hint="eastAsia" w:ascii="宋体" w:hAnsi="宋体"/>
          <w:b/>
          <w:bCs/>
          <w:sz w:val="30"/>
        </w:rPr>
        <w:t xml:space="preserve">  </w:t>
      </w:r>
    </w:p>
    <w:p>
      <w:pPr>
        <w:tabs>
          <w:tab w:val="left" w:pos="1440"/>
        </w:tabs>
        <w:spacing w:line="216" w:lineRule="auto"/>
        <w:rPr>
          <w:rFonts w:ascii="宋体" w:hAnsi="宋体"/>
          <w:spacing w:val="50"/>
          <w:sz w:val="32"/>
          <w:szCs w:val="20"/>
        </w:rPr>
      </w:pPr>
      <w:r>
        <w:rPr>
          <w:rFonts w:hint="eastAsia" w:ascii="宋体" w:hAnsi="宋体"/>
          <w:b/>
          <w:bCs/>
          <w:sz w:val="30"/>
        </w:rPr>
        <w:t xml:space="preserve">    </w:t>
      </w:r>
    </w:p>
    <w:tbl>
      <w:tblPr>
        <w:tblStyle w:val="20"/>
        <w:tblW w:w="7651" w:type="dxa"/>
        <w:jc w:val="center"/>
        <w:tblInd w:w="0" w:type="dxa"/>
        <w:tblLayout w:type="fixed"/>
        <w:tblCellMar>
          <w:top w:w="0" w:type="dxa"/>
          <w:left w:w="108" w:type="dxa"/>
          <w:bottom w:w="0" w:type="dxa"/>
          <w:right w:w="108" w:type="dxa"/>
        </w:tblCellMar>
      </w:tblPr>
      <w:tblGrid>
        <w:gridCol w:w="1988"/>
        <w:gridCol w:w="257"/>
        <w:gridCol w:w="5406"/>
      </w:tblGrid>
      <w:tr>
        <w:tblPrEx>
          <w:tblLayout w:type="fixed"/>
          <w:tblCellMar>
            <w:top w:w="0" w:type="dxa"/>
            <w:left w:w="108" w:type="dxa"/>
            <w:bottom w:w="0" w:type="dxa"/>
            <w:right w:w="108" w:type="dxa"/>
          </w:tblCellMar>
        </w:tblPrEx>
        <w:trPr>
          <w:trHeight w:val="888" w:hRule="atLeast"/>
          <w:jc w:val="center"/>
        </w:trPr>
        <w:tc>
          <w:tcPr>
            <w:tcW w:w="1988" w:type="dxa"/>
            <w:vAlign w:val="center"/>
          </w:tcPr>
          <w:p>
            <w:pPr>
              <w:adjustRightInd w:val="0"/>
              <w:snapToGrid w:val="0"/>
              <w:spacing w:line="440" w:lineRule="exact"/>
              <w:jc w:val="distribute"/>
              <w:rPr>
                <w:sz w:val="32"/>
                <w:szCs w:val="32"/>
              </w:rPr>
            </w:pPr>
            <w:r>
              <w:rPr>
                <w:rFonts w:hint="eastAsia"/>
                <w:sz w:val="32"/>
                <w:szCs w:val="32"/>
              </w:rPr>
              <w:t>采购</w:t>
            </w:r>
            <w:r>
              <w:rPr>
                <w:sz w:val="32"/>
                <w:szCs w:val="32"/>
              </w:rPr>
              <w:t>人</w:t>
            </w:r>
          </w:p>
        </w:tc>
        <w:tc>
          <w:tcPr>
            <w:tcW w:w="257" w:type="dxa"/>
            <w:vAlign w:val="center"/>
          </w:tcPr>
          <w:p>
            <w:pPr>
              <w:adjustRightInd w:val="0"/>
              <w:snapToGrid w:val="0"/>
              <w:spacing w:line="440" w:lineRule="exact"/>
              <w:jc w:val="distribute"/>
              <w:rPr>
                <w:sz w:val="32"/>
                <w:szCs w:val="32"/>
              </w:rPr>
            </w:pPr>
            <w:r>
              <w:rPr>
                <w:sz w:val="32"/>
                <w:szCs w:val="32"/>
              </w:rPr>
              <w:t>：</w:t>
            </w:r>
          </w:p>
        </w:tc>
        <w:tc>
          <w:tcPr>
            <w:tcW w:w="5406" w:type="dxa"/>
            <w:vAlign w:val="center"/>
          </w:tcPr>
          <w:p>
            <w:pPr>
              <w:adjustRightInd w:val="0"/>
              <w:snapToGrid w:val="0"/>
              <w:spacing w:line="440" w:lineRule="exact"/>
              <w:jc w:val="distribute"/>
              <w:rPr>
                <w:rFonts w:hint="eastAsia" w:eastAsia="宋体"/>
                <w:sz w:val="32"/>
                <w:szCs w:val="32"/>
                <w:lang w:eastAsia="zh-CN"/>
              </w:rPr>
            </w:pPr>
            <w:r>
              <w:rPr>
                <w:rFonts w:hint="eastAsia"/>
                <w:sz w:val="32"/>
                <w:szCs w:val="32"/>
                <w:lang w:eastAsia="zh-CN"/>
              </w:rPr>
              <w:t xml:space="preserve">三门县中心幼儿园 </w:t>
            </w:r>
          </w:p>
        </w:tc>
      </w:tr>
      <w:tr>
        <w:tblPrEx>
          <w:tblLayout w:type="fixed"/>
          <w:tblCellMar>
            <w:top w:w="0" w:type="dxa"/>
            <w:left w:w="108" w:type="dxa"/>
            <w:bottom w:w="0" w:type="dxa"/>
            <w:right w:w="108" w:type="dxa"/>
          </w:tblCellMar>
        </w:tblPrEx>
        <w:trPr>
          <w:trHeight w:val="888" w:hRule="atLeast"/>
          <w:jc w:val="center"/>
        </w:trPr>
        <w:tc>
          <w:tcPr>
            <w:tcW w:w="1988" w:type="dxa"/>
            <w:vAlign w:val="center"/>
          </w:tcPr>
          <w:p>
            <w:pPr>
              <w:adjustRightInd w:val="0"/>
              <w:snapToGrid w:val="0"/>
              <w:spacing w:line="440" w:lineRule="exact"/>
              <w:jc w:val="distribute"/>
              <w:rPr>
                <w:sz w:val="32"/>
                <w:szCs w:val="32"/>
              </w:rPr>
            </w:pPr>
            <w:r>
              <w:rPr>
                <w:sz w:val="32"/>
                <w:szCs w:val="32"/>
              </w:rPr>
              <w:t>招标代理</w:t>
            </w:r>
            <w:r>
              <w:rPr>
                <w:rFonts w:hint="eastAsia"/>
                <w:sz w:val="32"/>
                <w:szCs w:val="32"/>
              </w:rPr>
              <w:t>人</w:t>
            </w:r>
          </w:p>
        </w:tc>
        <w:tc>
          <w:tcPr>
            <w:tcW w:w="257" w:type="dxa"/>
            <w:vAlign w:val="center"/>
          </w:tcPr>
          <w:p>
            <w:pPr>
              <w:adjustRightInd w:val="0"/>
              <w:snapToGrid w:val="0"/>
              <w:spacing w:line="440" w:lineRule="exact"/>
              <w:jc w:val="distribute"/>
              <w:rPr>
                <w:sz w:val="32"/>
                <w:szCs w:val="32"/>
              </w:rPr>
            </w:pPr>
            <w:r>
              <w:rPr>
                <w:sz w:val="32"/>
                <w:szCs w:val="32"/>
              </w:rPr>
              <w:t>：</w:t>
            </w:r>
          </w:p>
        </w:tc>
        <w:tc>
          <w:tcPr>
            <w:tcW w:w="5406" w:type="dxa"/>
            <w:vAlign w:val="center"/>
          </w:tcPr>
          <w:p>
            <w:pPr>
              <w:adjustRightInd w:val="0"/>
              <w:snapToGrid w:val="0"/>
              <w:spacing w:line="440" w:lineRule="exact"/>
              <w:jc w:val="distribute"/>
              <w:rPr>
                <w:sz w:val="32"/>
                <w:szCs w:val="32"/>
              </w:rPr>
            </w:pPr>
            <w:r>
              <w:rPr>
                <w:rFonts w:hint="eastAsia"/>
                <w:sz w:val="32"/>
                <w:szCs w:val="32"/>
              </w:rPr>
              <w:t>浙江建科工程项目管理有限公司</w:t>
            </w:r>
          </w:p>
        </w:tc>
      </w:tr>
      <w:tr>
        <w:tblPrEx>
          <w:tblLayout w:type="fixed"/>
          <w:tblCellMar>
            <w:top w:w="0" w:type="dxa"/>
            <w:left w:w="108" w:type="dxa"/>
            <w:bottom w:w="0" w:type="dxa"/>
            <w:right w:w="108" w:type="dxa"/>
          </w:tblCellMar>
        </w:tblPrEx>
        <w:trPr>
          <w:trHeight w:val="888" w:hRule="atLeast"/>
          <w:jc w:val="center"/>
        </w:trPr>
        <w:tc>
          <w:tcPr>
            <w:tcW w:w="1988" w:type="dxa"/>
            <w:vAlign w:val="center"/>
          </w:tcPr>
          <w:p>
            <w:pPr>
              <w:adjustRightInd w:val="0"/>
              <w:snapToGrid w:val="0"/>
              <w:spacing w:line="440" w:lineRule="exact"/>
              <w:jc w:val="distribute"/>
              <w:rPr>
                <w:rFonts w:hint="default" w:eastAsia="宋体"/>
                <w:sz w:val="32"/>
                <w:szCs w:val="32"/>
                <w:lang w:val="en-US" w:eastAsia="zh-CN"/>
              </w:rPr>
            </w:pPr>
            <w:r>
              <w:rPr>
                <w:rFonts w:hint="eastAsia"/>
                <w:sz w:val="32"/>
                <w:szCs w:val="32"/>
                <w:lang w:val="en-US" w:eastAsia="zh-CN"/>
              </w:rPr>
              <w:t>上级主管部门</w:t>
            </w:r>
          </w:p>
        </w:tc>
        <w:tc>
          <w:tcPr>
            <w:tcW w:w="257" w:type="dxa"/>
            <w:vAlign w:val="center"/>
          </w:tcPr>
          <w:p>
            <w:pPr>
              <w:adjustRightInd w:val="0"/>
              <w:snapToGrid w:val="0"/>
              <w:spacing w:line="440" w:lineRule="exact"/>
              <w:jc w:val="distribute"/>
              <w:rPr>
                <w:sz w:val="32"/>
                <w:szCs w:val="32"/>
              </w:rPr>
            </w:pPr>
          </w:p>
        </w:tc>
        <w:tc>
          <w:tcPr>
            <w:tcW w:w="5406" w:type="dxa"/>
            <w:vAlign w:val="center"/>
          </w:tcPr>
          <w:p>
            <w:pPr>
              <w:adjustRightInd w:val="0"/>
              <w:snapToGrid w:val="0"/>
              <w:spacing w:line="440" w:lineRule="exact"/>
              <w:jc w:val="distribute"/>
              <w:rPr>
                <w:rFonts w:hint="default" w:eastAsia="宋体"/>
                <w:sz w:val="32"/>
                <w:szCs w:val="32"/>
                <w:lang w:val="en-US" w:eastAsia="zh-CN"/>
              </w:rPr>
            </w:pPr>
            <w:r>
              <w:rPr>
                <w:rFonts w:hint="eastAsia"/>
                <w:sz w:val="32"/>
                <w:szCs w:val="32"/>
                <w:lang w:val="en-US" w:eastAsia="zh-CN"/>
              </w:rPr>
              <w:t>三门县教育局</w:t>
            </w:r>
          </w:p>
        </w:tc>
      </w:tr>
    </w:tbl>
    <w:p>
      <w:pPr>
        <w:spacing w:line="640" w:lineRule="exact"/>
        <w:ind w:firstLine="1280" w:firstLineChars="400"/>
        <w:jc w:val="left"/>
        <w:rPr>
          <w:rFonts w:ascii="宋体" w:hAnsi="宋体"/>
          <w:sz w:val="32"/>
          <w:szCs w:val="20"/>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firstLine="704" w:firstLineChars="200"/>
        <w:jc w:val="center"/>
        <w:rPr>
          <w:rFonts w:ascii="宋体" w:hAnsi="宋体" w:cs="宋体"/>
          <w:kern w:val="0"/>
          <w:sz w:val="28"/>
          <w:szCs w:val="28"/>
        </w:rPr>
      </w:pPr>
      <w:r>
        <w:rPr>
          <w:rFonts w:hint="eastAsia" w:ascii="宋体" w:hAnsi="宋体"/>
          <w:spacing w:val="16"/>
          <w:sz w:val="32"/>
          <w:szCs w:val="20"/>
        </w:rPr>
        <w:t xml:space="preserve">二 ○ 一 九 年 </w:t>
      </w:r>
      <w:r>
        <w:rPr>
          <w:rFonts w:hint="eastAsia" w:ascii="宋体" w:hAnsi="宋体"/>
          <w:spacing w:val="16"/>
          <w:sz w:val="32"/>
          <w:szCs w:val="20"/>
          <w:lang w:eastAsia="zh-CN"/>
        </w:rPr>
        <w:t>八</w:t>
      </w:r>
      <w:r>
        <w:rPr>
          <w:rFonts w:hint="eastAsia" w:ascii="宋体" w:hAnsi="宋体"/>
          <w:spacing w:val="16"/>
          <w:sz w:val="32"/>
          <w:szCs w:val="20"/>
        </w:rPr>
        <w:t xml:space="preserve"> 月</w:t>
      </w:r>
    </w:p>
    <w:p>
      <w:pPr>
        <w:jc w:val="center"/>
        <w:rPr>
          <w:rFonts w:ascii="宋体" w:hAnsi="宋体" w:cs="Arial"/>
          <w:b/>
          <w:bCs/>
          <w:sz w:val="36"/>
          <w:szCs w:val="36"/>
        </w:rPr>
      </w:pPr>
    </w:p>
    <w:p>
      <w:pPr>
        <w:pStyle w:val="2"/>
        <w:rPr>
          <w:rFonts w:ascii="宋体" w:hAnsi="宋体" w:cs="Arial"/>
          <w:b/>
          <w:bCs/>
          <w:sz w:val="36"/>
          <w:szCs w:val="36"/>
        </w:rPr>
      </w:pPr>
    </w:p>
    <w:p>
      <w:pPr>
        <w:pStyle w:val="2"/>
        <w:rPr>
          <w:rFonts w:ascii="宋体" w:hAnsi="宋体" w:cs="Arial"/>
          <w:b/>
          <w:bCs/>
          <w:sz w:val="36"/>
          <w:szCs w:val="36"/>
        </w:rPr>
      </w:pPr>
    </w:p>
    <w:p>
      <w:pPr>
        <w:pStyle w:val="2"/>
        <w:rPr>
          <w:rFonts w:ascii="宋体" w:hAnsi="宋体" w:cs="Arial"/>
          <w:b/>
          <w:bCs/>
          <w:sz w:val="36"/>
          <w:szCs w:val="36"/>
        </w:rPr>
      </w:pPr>
    </w:p>
    <w:p>
      <w:pPr>
        <w:pStyle w:val="2"/>
        <w:rPr>
          <w:rFonts w:ascii="宋体" w:hAnsi="宋体" w:cs="Arial"/>
          <w:b/>
          <w:bCs/>
          <w:sz w:val="36"/>
          <w:szCs w:val="36"/>
        </w:rPr>
      </w:pPr>
    </w:p>
    <w:p>
      <w:pPr>
        <w:jc w:val="both"/>
        <w:rPr>
          <w:rFonts w:hint="eastAsia" w:ascii="宋体" w:hAnsi="宋体" w:cs="Arial"/>
          <w:b/>
          <w:bCs/>
          <w:sz w:val="36"/>
          <w:szCs w:val="36"/>
        </w:rPr>
        <w:sectPr>
          <w:headerReference r:id="rId4" w:type="first"/>
          <w:footerReference r:id="rId5" w:type="first"/>
          <w:headerReference r:id="rId3" w:type="default"/>
          <w:pgSz w:w="11908" w:h="16834"/>
          <w:pgMar w:top="1361" w:right="1418" w:bottom="1304" w:left="1440" w:header="794" w:footer="737" w:gutter="0"/>
          <w:pgNumType w:fmt="decimal" w:start="1"/>
          <w:cols w:space="720" w:num="1"/>
        </w:sectPr>
      </w:pPr>
    </w:p>
    <w:p>
      <w:pPr>
        <w:jc w:val="center"/>
        <w:rPr>
          <w:rFonts w:ascii="宋体" w:hAnsi="宋体" w:cs="Arial"/>
          <w:b/>
          <w:bCs/>
          <w:sz w:val="36"/>
          <w:szCs w:val="36"/>
        </w:rPr>
      </w:pPr>
      <w:r>
        <w:rPr>
          <w:rFonts w:hint="eastAsia" w:ascii="宋体" w:hAnsi="宋体" w:cs="Arial"/>
          <w:b/>
          <w:bCs/>
          <w:sz w:val="36"/>
          <w:szCs w:val="36"/>
        </w:rPr>
        <w:t>目    录</w:t>
      </w: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left="3232" w:right="25" w:firstLine="6847"/>
        <w:jc w:val="left"/>
        <w:rPr>
          <w:rFonts w:ascii="宋体" w:hAnsi="宋体"/>
          <w:b/>
          <w:sz w:val="36"/>
        </w:rPr>
      </w:pPr>
    </w:p>
    <w:p>
      <w:pPr>
        <w:spacing w:line="360" w:lineRule="auto"/>
        <w:rPr>
          <w:rFonts w:ascii="新宋体" w:hAnsi="新宋体" w:eastAsia="新宋体"/>
          <w:sz w:val="28"/>
          <w:szCs w:val="28"/>
        </w:rPr>
      </w:pPr>
    </w:p>
    <w:p>
      <w:pPr>
        <w:numPr>
          <w:ilvl w:val="0"/>
          <w:numId w:val="3"/>
        </w:numPr>
        <w:spacing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公开招标采购公告</w:t>
      </w:r>
    </w:p>
    <w:p>
      <w:pPr>
        <w:numPr>
          <w:ilvl w:val="0"/>
          <w:numId w:val="3"/>
        </w:numPr>
        <w:spacing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投标人须知</w:t>
      </w:r>
    </w:p>
    <w:p>
      <w:pPr>
        <w:numPr>
          <w:ilvl w:val="0"/>
          <w:numId w:val="3"/>
        </w:numPr>
        <w:spacing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评标办法及评分标准</w:t>
      </w:r>
    </w:p>
    <w:p>
      <w:pPr>
        <w:numPr>
          <w:ilvl w:val="0"/>
          <w:numId w:val="3"/>
        </w:numPr>
        <w:spacing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公开招标需求</w:t>
      </w:r>
    </w:p>
    <w:p>
      <w:pPr>
        <w:numPr>
          <w:ilvl w:val="0"/>
          <w:numId w:val="3"/>
        </w:numPr>
        <w:spacing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政府采购合同主要条款指引</w:t>
      </w:r>
    </w:p>
    <w:p>
      <w:pPr>
        <w:numPr>
          <w:ilvl w:val="0"/>
          <w:numId w:val="3"/>
        </w:numPr>
        <w:spacing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投标文件格式附件</w:t>
      </w: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pStyle w:val="2"/>
      </w:pPr>
    </w:p>
    <w:p>
      <w:pPr>
        <w:pStyle w:val="2"/>
      </w:pPr>
    </w:p>
    <w:p>
      <w:pPr>
        <w:pStyle w:val="2"/>
      </w:pPr>
    </w:p>
    <w:p>
      <w:pPr>
        <w:pStyle w:val="2"/>
      </w:pPr>
    </w:p>
    <w:p>
      <w:pPr>
        <w:pStyle w:val="2"/>
      </w:pPr>
    </w:p>
    <w:p>
      <w:pPr>
        <w:pStyle w:val="2"/>
      </w:pPr>
    </w:p>
    <w:p>
      <w:pPr>
        <w:pStyle w:val="2"/>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tabs>
          <w:tab w:val="left" w:pos="180"/>
          <w:tab w:val="left" w:pos="360"/>
          <w:tab w:val="left" w:pos="540"/>
          <w:tab w:val="left" w:pos="8280"/>
        </w:tabs>
        <w:autoSpaceDE w:val="0"/>
        <w:autoSpaceDN w:val="0"/>
        <w:adjustRightInd w:val="0"/>
        <w:spacing w:line="360" w:lineRule="auto"/>
        <w:ind w:right="23"/>
        <w:jc w:val="center"/>
        <w:rPr>
          <w:rFonts w:asciiTheme="majorEastAsia" w:hAnsiTheme="majorEastAsia" w:eastAsiaTheme="majorEastAsia"/>
          <w:b/>
          <w:kern w:val="0"/>
          <w:sz w:val="36"/>
          <w:szCs w:val="36"/>
        </w:rPr>
      </w:pPr>
    </w:p>
    <w:p>
      <w:pPr>
        <w:tabs>
          <w:tab w:val="left" w:pos="180"/>
          <w:tab w:val="left" w:pos="360"/>
          <w:tab w:val="left" w:pos="540"/>
          <w:tab w:val="left" w:pos="8280"/>
        </w:tabs>
        <w:autoSpaceDE w:val="0"/>
        <w:autoSpaceDN w:val="0"/>
        <w:adjustRightInd w:val="0"/>
        <w:spacing w:line="360" w:lineRule="auto"/>
        <w:ind w:right="23"/>
        <w:jc w:val="center"/>
        <w:rPr>
          <w:rFonts w:asciiTheme="majorEastAsia" w:hAnsiTheme="majorEastAsia" w:eastAsiaTheme="majorEastAsia"/>
          <w:b/>
          <w:kern w:val="0"/>
          <w:sz w:val="36"/>
          <w:szCs w:val="36"/>
        </w:rPr>
      </w:pPr>
      <w:r>
        <w:rPr>
          <w:rFonts w:hint="eastAsia" w:asciiTheme="majorEastAsia" w:hAnsiTheme="majorEastAsia" w:eastAsiaTheme="majorEastAsia"/>
          <w:b/>
          <w:kern w:val="0"/>
          <w:sz w:val="36"/>
          <w:szCs w:val="36"/>
        </w:rPr>
        <w:t>第一章  公开</w:t>
      </w:r>
      <w:r>
        <w:rPr>
          <w:rFonts w:hint="eastAsia" w:asciiTheme="majorEastAsia" w:hAnsiTheme="majorEastAsia" w:eastAsiaTheme="majorEastAsia"/>
          <w:b/>
          <w:sz w:val="36"/>
          <w:szCs w:val="36"/>
        </w:rPr>
        <w:t>招标采购公告</w:t>
      </w:r>
    </w:p>
    <w:p>
      <w:pPr>
        <w:tabs>
          <w:tab w:val="left" w:pos="180"/>
          <w:tab w:val="left" w:pos="360"/>
          <w:tab w:val="left" w:pos="540"/>
          <w:tab w:val="left" w:pos="8280"/>
        </w:tabs>
        <w:autoSpaceDE w:val="0"/>
        <w:autoSpaceDN w:val="0"/>
        <w:adjustRightInd w:val="0"/>
        <w:spacing w:line="360" w:lineRule="auto"/>
        <w:ind w:right="23" w:firstLine="539"/>
        <w:jc w:val="left"/>
        <w:rPr>
          <w:rFonts w:ascii="宋体" w:hAnsi="宋体" w:cs="宋体"/>
          <w:kern w:val="0"/>
          <w:sz w:val="24"/>
        </w:rPr>
      </w:pPr>
      <w:r>
        <w:rPr>
          <w:rFonts w:hint="eastAsia" w:ascii="宋体" w:hAnsi="宋体"/>
          <w:kern w:val="0"/>
          <w:sz w:val="24"/>
        </w:rPr>
        <w:t>根据《中华人民共和国政府采购法》、《中华人民共和国政府采购法实施条例》和财政部令第87号《政府采购货物和服务招标投标管理办法》等有关规定</w:t>
      </w:r>
      <w:r>
        <w:rPr>
          <w:rFonts w:ascii="宋体" w:hAnsi="宋体"/>
          <w:kern w:val="0"/>
          <w:sz w:val="24"/>
        </w:rPr>
        <w:t xml:space="preserve">, </w:t>
      </w:r>
      <w:r>
        <w:rPr>
          <w:rFonts w:hint="eastAsia" w:ascii="宋体" w:hAnsi="宋体"/>
          <w:kern w:val="0"/>
          <w:sz w:val="24"/>
        </w:rPr>
        <w:t>受采购人委托，</w:t>
      </w:r>
      <w:r>
        <w:rPr>
          <w:rFonts w:hint="eastAsia" w:ascii="宋体" w:hAnsi="宋体" w:cs="宋体"/>
          <w:kern w:val="0"/>
          <w:sz w:val="24"/>
        </w:rPr>
        <w:t>现就</w:t>
      </w:r>
      <w:r>
        <w:rPr>
          <w:rFonts w:hint="eastAsia" w:ascii="宋体" w:hAnsi="宋体" w:cs="宋体"/>
          <w:kern w:val="0"/>
          <w:sz w:val="24"/>
          <w:lang w:eastAsia="zh-CN"/>
        </w:rPr>
        <w:t>三门县中心幼儿园平安路分园幼儿桌椅及教玩具采购项目</w:t>
      </w:r>
      <w:r>
        <w:rPr>
          <w:rFonts w:hint="eastAsia" w:ascii="宋体" w:hAnsi="宋体" w:cs="宋体"/>
          <w:kern w:val="0"/>
          <w:sz w:val="24"/>
        </w:rPr>
        <w:t>进行公开招标采购，欢迎符合条件的潜在投标人参加本项目投标。</w:t>
      </w:r>
    </w:p>
    <w:p>
      <w:pPr>
        <w:tabs>
          <w:tab w:val="left" w:pos="180"/>
          <w:tab w:val="left" w:pos="360"/>
          <w:tab w:val="left" w:pos="540"/>
          <w:tab w:val="left" w:pos="8280"/>
        </w:tabs>
        <w:autoSpaceDE w:val="0"/>
        <w:autoSpaceDN w:val="0"/>
        <w:adjustRightInd w:val="0"/>
        <w:spacing w:line="360" w:lineRule="auto"/>
        <w:ind w:right="23"/>
        <w:jc w:val="left"/>
        <w:rPr>
          <w:rFonts w:ascii="宋体" w:hAnsi="宋体"/>
          <w:kern w:val="0"/>
          <w:sz w:val="24"/>
        </w:rPr>
      </w:pPr>
      <w:r>
        <w:rPr>
          <w:rFonts w:hint="eastAsia" w:ascii="宋体" w:hAnsi="宋体"/>
          <w:b/>
          <w:kern w:val="0"/>
          <w:sz w:val="24"/>
        </w:rPr>
        <w:t>一、项目编号：三拓展-2019-0</w:t>
      </w:r>
      <w:r>
        <w:rPr>
          <w:rFonts w:hint="eastAsia" w:ascii="宋体" w:hAnsi="宋体"/>
          <w:b/>
          <w:kern w:val="0"/>
          <w:sz w:val="24"/>
          <w:lang w:val="en-US" w:eastAsia="zh-CN"/>
        </w:rPr>
        <w:t>27</w:t>
      </w:r>
      <w:bookmarkStart w:id="30" w:name="_GoBack"/>
      <w:bookmarkEnd w:id="30"/>
      <w:r>
        <w:rPr>
          <w:rFonts w:hint="eastAsia" w:ascii="宋体" w:hAnsi="宋体"/>
          <w:b/>
          <w:kern w:val="0"/>
          <w:sz w:val="24"/>
        </w:rPr>
        <w:t>号</w:t>
      </w:r>
    </w:p>
    <w:p>
      <w:pPr>
        <w:widowControl/>
        <w:spacing w:line="360" w:lineRule="auto"/>
        <w:jc w:val="left"/>
        <w:outlineLvl w:val="0"/>
        <w:rPr>
          <w:rFonts w:ascii="宋体" w:hAnsi="宋体" w:cs="宋体"/>
          <w:b/>
          <w:kern w:val="0"/>
          <w:sz w:val="24"/>
        </w:rPr>
      </w:pPr>
      <w:bookmarkStart w:id="0" w:name="_Toc290043087"/>
      <w:bookmarkStart w:id="1" w:name="_Toc217998400"/>
      <w:bookmarkStart w:id="2" w:name="_Toc240724366"/>
      <w:bookmarkStart w:id="3" w:name="_Toc248896174"/>
      <w:bookmarkStart w:id="4" w:name="_Toc248896026"/>
      <w:bookmarkStart w:id="5" w:name="_Toc239128658"/>
      <w:bookmarkStart w:id="6" w:name="_Toc283973051"/>
      <w:bookmarkStart w:id="7" w:name="_Toc277078923"/>
      <w:bookmarkStart w:id="8" w:name="_Toc504136795"/>
      <w:bookmarkStart w:id="9" w:name="_Toc301444166"/>
      <w:bookmarkStart w:id="10" w:name="_Toc240724181"/>
      <w:bookmarkStart w:id="11" w:name="_Toc237138375"/>
      <w:bookmarkStart w:id="12" w:name="_Toc261001138"/>
      <w:bookmarkStart w:id="13" w:name="_Toc255821801"/>
      <w:bookmarkStart w:id="14" w:name="_Toc261001046"/>
      <w:bookmarkStart w:id="15" w:name="_Toc240724031"/>
      <w:bookmarkStart w:id="16" w:name="_Toc292375875"/>
      <w:bookmarkStart w:id="17" w:name="_Toc255819807"/>
      <w:bookmarkStart w:id="18" w:name="_Toc237656252"/>
      <w:bookmarkStart w:id="19" w:name="_Toc238443287"/>
      <w:bookmarkStart w:id="20" w:name="_Toc218007960"/>
      <w:bookmarkStart w:id="21" w:name="_Toc255459623"/>
      <w:bookmarkStart w:id="22" w:name="_Toc218007229"/>
      <w:bookmarkStart w:id="23" w:name="_Toc248896333"/>
      <w:bookmarkStart w:id="24" w:name="_Toc237079651"/>
      <w:bookmarkStart w:id="25" w:name="_Toc306901423"/>
      <w:bookmarkStart w:id="26" w:name="_Toc302983071"/>
      <w:r>
        <w:rPr>
          <w:rFonts w:hint="eastAsia" w:ascii="宋体" w:hAnsi="宋体" w:cs="宋体"/>
          <w:b/>
          <w:kern w:val="0"/>
          <w:sz w:val="24"/>
        </w:rPr>
        <w:t>二、招标项目概况（内容、用途、数量、简要技术要求等）:</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Start w:id="27" w:name="B10_招标内容"/>
      <w:bookmarkEnd w:id="27"/>
    </w:p>
    <w:p>
      <w:pPr>
        <w:widowControl/>
        <w:spacing w:line="360" w:lineRule="auto"/>
        <w:ind w:left="60" w:right="60" w:firstLine="463" w:firstLineChars="193"/>
        <w:jc w:val="left"/>
        <w:outlineLvl w:val="0"/>
        <w:rPr>
          <w:rFonts w:ascii="宋体" w:hAnsi="宋体" w:cs="宋体"/>
          <w:color w:val="auto"/>
          <w:kern w:val="0"/>
          <w:sz w:val="24"/>
        </w:rPr>
      </w:pPr>
      <w:bookmarkStart w:id="28" w:name="_Toc504136796"/>
      <w:r>
        <w:rPr>
          <w:rFonts w:hint="eastAsia" w:ascii="宋体" w:hAnsi="宋体" w:cs="宋体"/>
          <w:color w:val="auto"/>
          <w:kern w:val="0"/>
          <w:sz w:val="24"/>
        </w:rPr>
        <w:t>本项目预算为</w:t>
      </w:r>
      <w:r>
        <w:rPr>
          <w:rFonts w:hint="eastAsia" w:ascii="宋体" w:hAnsi="宋体"/>
          <w:color w:val="auto"/>
          <w:sz w:val="24"/>
          <w:u w:val="single"/>
          <w:lang w:val="en-US" w:eastAsia="zh-CN"/>
        </w:rPr>
        <w:t>69.16万</w:t>
      </w:r>
      <w:r>
        <w:rPr>
          <w:rFonts w:hint="eastAsia" w:ascii="宋体" w:hAnsi="宋体"/>
          <w:color w:val="auto"/>
          <w:sz w:val="24"/>
        </w:rPr>
        <w:t>元</w:t>
      </w:r>
      <w:r>
        <w:rPr>
          <w:rFonts w:hint="eastAsia" w:ascii="宋体" w:hAnsi="宋体" w:cs="宋体"/>
          <w:color w:val="auto"/>
          <w:kern w:val="0"/>
          <w:sz w:val="24"/>
        </w:rPr>
        <w:t>。</w:t>
      </w:r>
      <w:bookmarkEnd w:id="28"/>
    </w:p>
    <w:p>
      <w:pPr>
        <w:widowControl/>
        <w:spacing w:line="360" w:lineRule="auto"/>
        <w:ind w:left="60" w:right="60" w:firstLine="540"/>
        <w:jc w:val="left"/>
        <w:rPr>
          <w:rFonts w:ascii="宋体" w:hAnsi="宋体" w:cs="宋体"/>
          <w:color w:val="auto"/>
          <w:kern w:val="0"/>
          <w:sz w:val="24"/>
        </w:rPr>
      </w:pPr>
      <w:r>
        <w:rPr>
          <w:rFonts w:hint="eastAsia" w:ascii="宋体" w:hAnsi="宋体" w:cs="宋体"/>
          <w:color w:val="auto"/>
          <w:kern w:val="0"/>
          <w:sz w:val="24"/>
        </w:rPr>
        <w:t>招标内容主要包括：</w:t>
      </w:r>
      <w:r>
        <w:rPr>
          <w:rFonts w:hint="eastAsia" w:ascii="宋体" w:hAnsi="宋体"/>
          <w:color w:val="auto"/>
          <w:sz w:val="24"/>
          <w:lang w:eastAsia="zh-CN"/>
        </w:rPr>
        <w:t>三门县中心幼儿园平安路分园幼儿桌椅及教玩具采购项目</w:t>
      </w:r>
      <w:r>
        <w:rPr>
          <w:rFonts w:hint="eastAsia" w:ascii="宋体" w:hAnsi="宋体"/>
          <w:color w:val="auto"/>
          <w:sz w:val="24"/>
        </w:rPr>
        <w:t>所包含的的</w:t>
      </w:r>
      <w:r>
        <w:rPr>
          <w:rFonts w:hint="eastAsia" w:ascii="宋体" w:hAnsi="宋体"/>
          <w:color w:val="auto"/>
          <w:sz w:val="24"/>
          <w:lang w:val="en-US" w:eastAsia="zh-CN"/>
        </w:rPr>
        <w:t>桌椅及</w:t>
      </w:r>
      <w:r>
        <w:rPr>
          <w:rFonts w:hint="eastAsia" w:ascii="宋体" w:hAnsi="宋体"/>
          <w:color w:val="auto"/>
          <w:sz w:val="24"/>
          <w:lang w:eastAsia="zh-CN"/>
        </w:rPr>
        <w:t>幼教玩具</w:t>
      </w:r>
      <w:r>
        <w:rPr>
          <w:rFonts w:hint="eastAsia" w:ascii="宋体" w:hAnsi="宋体"/>
          <w:color w:val="auto"/>
          <w:sz w:val="24"/>
        </w:rPr>
        <w:t>的</w:t>
      </w:r>
      <w:r>
        <w:rPr>
          <w:rFonts w:hint="eastAsia" w:ascii="宋体" w:hAnsi="宋体"/>
          <w:color w:val="auto"/>
          <w:sz w:val="24"/>
          <w:lang w:eastAsia="zh-CN"/>
        </w:rPr>
        <w:t>供应、安装、调试、检测、验收直至交付使用及售后服务</w:t>
      </w:r>
      <w:r>
        <w:rPr>
          <w:rFonts w:hint="eastAsia" w:ascii="宋体" w:hAnsi="宋体"/>
          <w:color w:val="auto"/>
          <w:sz w:val="24"/>
        </w:rPr>
        <w:t>。</w:t>
      </w:r>
    </w:p>
    <w:p>
      <w:pPr>
        <w:tabs>
          <w:tab w:val="left" w:pos="180"/>
          <w:tab w:val="left" w:pos="360"/>
          <w:tab w:val="left" w:pos="540"/>
          <w:tab w:val="left" w:pos="8280"/>
        </w:tabs>
        <w:autoSpaceDE w:val="0"/>
        <w:autoSpaceDN w:val="0"/>
        <w:adjustRightInd w:val="0"/>
        <w:spacing w:line="360" w:lineRule="auto"/>
        <w:ind w:right="23"/>
        <w:jc w:val="left"/>
        <w:rPr>
          <w:rFonts w:ascii="宋体" w:hAnsi="宋体"/>
          <w:b/>
          <w:color w:val="auto"/>
          <w:kern w:val="0"/>
          <w:sz w:val="24"/>
        </w:rPr>
      </w:pPr>
      <w:r>
        <w:rPr>
          <w:rFonts w:hint="eastAsia" w:ascii="宋体" w:hAnsi="宋体"/>
          <w:b/>
          <w:color w:val="auto"/>
          <w:sz w:val="24"/>
        </w:rPr>
        <w:t>三、合格投标人的资格条件：</w:t>
      </w:r>
    </w:p>
    <w:p>
      <w:pPr>
        <w:tabs>
          <w:tab w:val="left" w:pos="180"/>
          <w:tab w:val="left" w:pos="360"/>
          <w:tab w:val="left" w:pos="540"/>
          <w:tab w:val="left" w:pos="8280"/>
        </w:tabs>
        <w:autoSpaceDE w:val="0"/>
        <w:autoSpaceDN w:val="0"/>
        <w:adjustRightInd w:val="0"/>
        <w:spacing w:line="360" w:lineRule="auto"/>
        <w:ind w:right="23" w:firstLine="480" w:firstLineChars="200"/>
        <w:jc w:val="left"/>
        <w:rPr>
          <w:rFonts w:hint="eastAsia" w:ascii="宋体"/>
          <w:color w:val="auto"/>
          <w:kern w:val="0"/>
          <w:sz w:val="24"/>
        </w:rPr>
      </w:pPr>
      <w:r>
        <w:rPr>
          <w:rFonts w:hint="eastAsia" w:ascii="宋体"/>
          <w:color w:val="auto"/>
          <w:kern w:val="0"/>
          <w:sz w:val="24"/>
        </w:rPr>
        <w:t>（1）符合《中华人民共和国政府采购法》第二十二条规定的条件；</w:t>
      </w:r>
    </w:p>
    <w:p>
      <w:pPr>
        <w:keepNext w:val="0"/>
        <w:keepLines w:val="0"/>
        <w:pageBreakBefore w:val="0"/>
        <w:widowControl w:val="0"/>
        <w:kinsoku/>
        <w:wordWrap/>
        <w:overflowPunct/>
        <w:topLinePunct w:val="0"/>
        <w:autoSpaceDE/>
        <w:autoSpaceDN/>
        <w:bidi w:val="0"/>
        <w:adjustRightInd/>
        <w:snapToGrid w:val="0"/>
        <w:spacing w:line="480" w:lineRule="auto"/>
        <w:ind w:firstLine="480" w:firstLineChars="200"/>
        <w:textAlignment w:val="auto"/>
        <w:outlineLvl w:val="9"/>
        <w:rPr>
          <w:rFonts w:hint="eastAsia" w:ascii="宋体" w:hAnsi="宋体" w:eastAsia="宋体" w:cs="宋体"/>
          <w:color w:val="auto"/>
          <w:sz w:val="24"/>
          <w:szCs w:val="24"/>
        </w:rPr>
      </w:pPr>
      <w:r>
        <w:rPr>
          <w:rFonts w:hint="eastAsia" w:ascii="宋体"/>
          <w:color w:val="auto"/>
          <w:kern w:val="0"/>
          <w:sz w:val="24"/>
        </w:rPr>
        <w:t>（2）</w:t>
      </w:r>
      <w:r>
        <w:rPr>
          <w:rFonts w:hint="eastAsia" w:ascii="宋体"/>
          <w:color w:val="auto"/>
          <w:kern w:val="0"/>
          <w:sz w:val="24"/>
          <w:lang w:eastAsia="zh-CN"/>
        </w:rPr>
        <w:t>具有幼教设备、游乐设备、幼教玩具等加工生产、销售企业</w:t>
      </w:r>
      <w:r>
        <w:rPr>
          <w:rFonts w:hint="eastAsia" w:ascii="宋体" w:hAnsi="宋体" w:eastAsia="宋体" w:cs="宋体"/>
          <w:color w:val="auto"/>
          <w:sz w:val="24"/>
          <w:szCs w:val="24"/>
        </w:rPr>
        <w:t>。</w:t>
      </w:r>
    </w:p>
    <w:p>
      <w:pPr>
        <w:tabs>
          <w:tab w:val="left" w:pos="180"/>
          <w:tab w:val="left" w:pos="360"/>
          <w:tab w:val="left" w:pos="540"/>
          <w:tab w:val="left" w:pos="8280"/>
        </w:tabs>
        <w:autoSpaceDE w:val="0"/>
        <w:autoSpaceDN w:val="0"/>
        <w:adjustRightInd w:val="0"/>
        <w:spacing w:line="360" w:lineRule="auto"/>
        <w:ind w:right="23" w:firstLine="480" w:firstLineChars="200"/>
        <w:jc w:val="left"/>
        <w:rPr>
          <w:rFonts w:ascii="宋体" w:hAnsi="宋体"/>
          <w:sz w:val="24"/>
        </w:rPr>
      </w:pPr>
      <w:r>
        <w:rPr>
          <w:rFonts w:hint="eastAsia" w:ascii="宋体"/>
          <w:kern w:val="0"/>
          <w:sz w:val="24"/>
        </w:rPr>
        <w:t>（3）本项目不接受联合体投标。</w:t>
      </w:r>
    </w:p>
    <w:p>
      <w:pPr>
        <w:tabs>
          <w:tab w:val="left" w:pos="180"/>
          <w:tab w:val="left" w:pos="360"/>
          <w:tab w:val="left" w:pos="540"/>
          <w:tab w:val="left" w:pos="8280"/>
        </w:tabs>
        <w:autoSpaceDE w:val="0"/>
        <w:autoSpaceDN w:val="0"/>
        <w:adjustRightInd w:val="0"/>
        <w:spacing w:line="360" w:lineRule="auto"/>
        <w:ind w:right="23"/>
        <w:jc w:val="left"/>
        <w:rPr>
          <w:rFonts w:ascii="宋体" w:hAnsi="宋体"/>
          <w:b/>
          <w:sz w:val="24"/>
        </w:rPr>
      </w:pPr>
      <w:r>
        <w:rPr>
          <w:rFonts w:hint="eastAsia" w:ascii="宋体" w:hAnsi="宋体"/>
          <w:b/>
          <w:sz w:val="24"/>
        </w:rPr>
        <w:t>四、招标文件获取的方式、时间：</w:t>
      </w:r>
    </w:p>
    <w:p>
      <w:pPr>
        <w:snapToGrid w:val="0"/>
        <w:spacing w:line="360" w:lineRule="auto"/>
        <w:ind w:firstLine="480" w:firstLineChars="200"/>
        <w:rPr>
          <w:rFonts w:ascii="宋体" w:hAnsi="宋体" w:cs="Arial"/>
          <w:sz w:val="24"/>
        </w:rPr>
      </w:pPr>
      <w:r>
        <w:rPr>
          <w:rFonts w:hint="eastAsia" w:ascii="宋体" w:hAnsi="宋体" w:cs="Arial"/>
          <w:sz w:val="24"/>
        </w:rPr>
        <w:t>1、获取方式：</w:t>
      </w:r>
      <w:r>
        <w:rPr>
          <w:rFonts w:hint="eastAsia" w:ascii="宋体" w:hAnsi="宋体" w:cs="宋体"/>
          <w:kern w:val="0"/>
          <w:sz w:val="24"/>
        </w:rPr>
        <w:t>网上直接下载，下载地址为</w:t>
      </w:r>
      <w:r>
        <w:rPr>
          <w:rFonts w:hint="eastAsia" w:ascii="宋体" w:hAnsi="宋体" w:cs="Arial"/>
          <w:sz w:val="24"/>
        </w:rPr>
        <w:t>http:// www.zjzfcg.gov.cn和</w:t>
      </w:r>
      <w:r>
        <w:fldChar w:fldCharType="begin"/>
      </w:r>
      <w:r>
        <w:instrText xml:space="preserve"> HYPERLINK "http://www.xjztb.cn" </w:instrText>
      </w:r>
      <w:r>
        <w:fldChar w:fldCharType="separate"/>
      </w:r>
      <w:r>
        <w:rPr>
          <w:rFonts w:ascii="宋体" w:hAnsi="宋体" w:cs="Arial"/>
          <w:sz w:val="24"/>
        </w:rPr>
        <w:t>http://www.smztb.com</w:t>
      </w:r>
      <w:r>
        <w:rPr>
          <w:rFonts w:ascii="宋体" w:hAnsi="宋体" w:cs="Arial"/>
          <w:sz w:val="24"/>
        </w:rPr>
        <w:fldChar w:fldCharType="end"/>
      </w:r>
      <w:r>
        <w:rPr>
          <w:rFonts w:hint="eastAsia" w:ascii="宋体" w:hAnsi="宋体" w:cs="Arial"/>
          <w:sz w:val="24"/>
        </w:rPr>
        <w:t>。</w:t>
      </w:r>
    </w:p>
    <w:p>
      <w:pPr>
        <w:spacing w:line="360" w:lineRule="auto"/>
        <w:ind w:firstLine="480" w:firstLineChars="200"/>
        <w:rPr>
          <w:rFonts w:ascii="宋体" w:hAnsi="宋体" w:cs="Arial"/>
          <w:sz w:val="24"/>
        </w:rPr>
      </w:pPr>
      <w:r>
        <w:rPr>
          <w:rFonts w:hint="eastAsia" w:ascii="宋体" w:hAnsi="宋体" w:cs="Arial"/>
          <w:sz w:val="24"/>
        </w:rPr>
        <w:t>2、获取（公告）时间：</w:t>
      </w:r>
      <w:r>
        <w:rPr>
          <w:rFonts w:hint="eastAsia" w:ascii="宋体" w:hAnsi="宋体" w:cs="宋体"/>
          <w:kern w:val="0"/>
          <w:sz w:val="24"/>
        </w:rPr>
        <w:t>2019年</w:t>
      </w:r>
      <w:r>
        <w:rPr>
          <w:rFonts w:hint="eastAsia" w:ascii="宋体" w:hAnsi="宋体" w:cs="宋体"/>
          <w:kern w:val="0"/>
          <w:sz w:val="24"/>
          <w:lang w:val="en-US" w:eastAsia="zh-CN"/>
        </w:rPr>
        <w:t>08</w:t>
      </w:r>
      <w:r>
        <w:rPr>
          <w:rFonts w:hint="eastAsia" w:ascii="宋体" w:hAnsi="宋体" w:cs="宋体"/>
          <w:kern w:val="0"/>
          <w:sz w:val="24"/>
        </w:rPr>
        <w:t>月</w:t>
      </w:r>
      <w:r>
        <w:rPr>
          <w:rFonts w:hint="eastAsia" w:ascii="宋体" w:hAnsi="宋体" w:cs="宋体"/>
          <w:kern w:val="0"/>
          <w:sz w:val="24"/>
          <w:lang w:val="en-US" w:eastAsia="zh-CN"/>
        </w:rPr>
        <w:t>23</w:t>
      </w:r>
      <w:r>
        <w:rPr>
          <w:rFonts w:hint="eastAsia" w:ascii="宋体" w:hAnsi="宋体" w:cs="宋体"/>
          <w:kern w:val="0"/>
          <w:sz w:val="24"/>
        </w:rPr>
        <w:t>日至2019年</w:t>
      </w:r>
      <w:r>
        <w:rPr>
          <w:rFonts w:hint="eastAsia" w:ascii="宋体" w:hAnsi="宋体" w:cs="宋体"/>
          <w:kern w:val="0"/>
          <w:sz w:val="24"/>
          <w:lang w:val="en-US" w:eastAsia="zh-CN"/>
        </w:rPr>
        <w:t>09</w:t>
      </w:r>
      <w:r>
        <w:rPr>
          <w:rFonts w:hint="eastAsia" w:ascii="宋体" w:hAnsi="宋体" w:cs="宋体"/>
          <w:kern w:val="0"/>
          <w:sz w:val="24"/>
        </w:rPr>
        <w:t>月</w:t>
      </w:r>
      <w:r>
        <w:rPr>
          <w:rFonts w:hint="eastAsia" w:ascii="宋体" w:hAnsi="宋体" w:cs="宋体"/>
          <w:kern w:val="0"/>
          <w:sz w:val="24"/>
          <w:lang w:val="en-US" w:eastAsia="zh-CN"/>
        </w:rPr>
        <w:t>16</w:t>
      </w:r>
      <w:r>
        <w:rPr>
          <w:rFonts w:hint="eastAsia" w:ascii="宋体" w:hAnsi="宋体" w:cs="宋体"/>
          <w:kern w:val="0"/>
          <w:sz w:val="24"/>
        </w:rPr>
        <w:t>日</w:t>
      </w: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right="23"/>
        <w:jc w:val="left"/>
        <w:rPr>
          <w:rFonts w:ascii="宋体" w:hAnsi="宋体"/>
          <w:b/>
          <w:kern w:val="0"/>
          <w:sz w:val="24"/>
        </w:rPr>
      </w:pPr>
      <w:r>
        <w:rPr>
          <w:rFonts w:hint="eastAsia" w:ascii="宋体" w:hAnsi="宋体" w:cs="Arial"/>
          <w:b/>
          <w:sz w:val="24"/>
        </w:rPr>
        <w:t>五、</w:t>
      </w:r>
      <w:r>
        <w:rPr>
          <w:rFonts w:hint="eastAsia" w:ascii="宋体" w:hAnsi="宋体"/>
          <w:b/>
          <w:kern w:val="0"/>
          <w:sz w:val="24"/>
        </w:rPr>
        <w:t>投标截止及开标时间、地点：</w:t>
      </w:r>
    </w:p>
    <w:p>
      <w:pPr>
        <w:snapToGrid w:val="0"/>
        <w:spacing w:line="360" w:lineRule="auto"/>
        <w:ind w:firstLine="480" w:firstLineChars="200"/>
        <w:rPr>
          <w:rFonts w:hint="eastAsia" w:ascii="宋体" w:hAnsi="宋体" w:cs="宋体"/>
          <w:kern w:val="0"/>
          <w:sz w:val="24"/>
        </w:rPr>
      </w:pPr>
      <w:r>
        <w:rPr>
          <w:rFonts w:hint="eastAsia" w:ascii="宋体" w:hAnsi="宋体" w:cs="宋体"/>
          <w:kern w:val="0"/>
          <w:sz w:val="24"/>
        </w:rPr>
        <w:t>本次招标将于2019年</w:t>
      </w:r>
      <w:r>
        <w:rPr>
          <w:rFonts w:hint="eastAsia" w:ascii="宋体" w:hAnsi="宋体" w:cs="宋体"/>
          <w:kern w:val="0"/>
          <w:sz w:val="24"/>
          <w:lang w:val="en-US" w:eastAsia="zh-CN"/>
        </w:rPr>
        <w:t>09</w:t>
      </w:r>
      <w:r>
        <w:rPr>
          <w:rFonts w:hint="eastAsia" w:ascii="宋体" w:hAnsi="宋体" w:cs="宋体"/>
          <w:kern w:val="0"/>
          <w:sz w:val="24"/>
        </w:rPr>
        <w:t>月</w:t>
      </w:r>
      <w:r>
        <w:rPr>
          <w:rFonts w:hint="eastAsia" w:ascii="宋体" w:hAnsi="宋体" w:cs="宋体"/>
          <w:kern w:val="0"/>
          <w:sz w:val="24"/>
          <w:lang w:val="en-US" w:eastAsia="zh-CN"/>
        </w:rPr>
        <w:t>16</w:t>
      </w:r>
      <w:r>
        <w:rPr>
          <w:rFonts w:hint="eastAsia" w:ascii="宋体" w:hAnsi="宋体" w:cs="宋体"/>
          <w:kern w:val="0"/>
          <w:sz w:val="24"/>
        </w:rPr>
        <w:t>日星期</w:t>
      </w:r>
      <w:r>
        <w:rPr>
          <w:rFonts w:hint="eastAsia" w:ascii="宋体" w:hAnsi="宋体" w:cs="宋体"/>
          <w:kern w:val="0"/>
          <w:sz w:val="24"/>
          <w:lang w:val="en-US" w:eastAsia="zh-CN"/>
        </w:rPr>
        <w:t>一</w:t>
      </w:r>
      <w:r>
        <w:rPr>
          <w:rFonts w:hint="eastAsia" w:ascii="宋体" w:hAnsi="宋体" w:cs="Arial"/>
          <w:sz w:val="24"/>
          <w:lang w:val="en-US" w:eastAsia="zh-CN"/>
        </w:rPr>
        <w:t>09</w:t>
      </w:r>
      <w:r>
        <w:rPr>
          <w:rFonts w:hint="eastAsia" w:ascii="宋体" w:hAnsi="宋体" w:cs="宋体"/>
          <w:sz w:val="24"/>
        </w:rPr>
        <w:t>:</w:t>
      </w:r>
      <w:r>
        <w:rPr>
          <w:rFonts w:hint="eastAsia" w:ascii="宋体" w:hAnsi="宋体" w:cs="宋体"/>
          <w:sz w:val="24"/>
          <w:lang w:val="en-US" w:eastAsia="zh-CN"/>
        </w:rPr>
        <w:t>00</w:t>
      </w:r>
      <w:r>
        <w:rPr>
          <w:rFonts w:hint="eastAsia" w:ascii="宋体" w:hAnsi="宋体" w:cs="宋体"/>
          <w:kern w:val="0"/>
          <w:sz w:val="24"/>
        </w:rPr>
        <w:t>时整在三门县广场路22号交通大楼四楼开标室开标，请在此时间前将投标文件送达开标地点，逾期或不符合规定的投标文件恕不接受。</w:t>
      </w: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right="23"/>
        <w:jc w:val="left"/>
        <w:rPr>
          <w:rFonts w:hint="eastAsia" w:ascii="宋体" w:hAnsi="宋体"/>
          <w:b/>
          <w:kern w:val="0"/>
          <w:sz w:val="24"/>
        </w:rPr>
      </w:pPr>
      <w:r>
        <w:rPr>
          <w:rFonts w:hint="eastAsia" w:ascii="宋体" w:hAnsi="宋体"/>
          <w:b/>
          <w:kern w:val="0"/>
          <w:sz w:val="24"/>
          <w:lang w:eastAsia="zh-CN"/>
        </w:rPr>
        <w:t>六</w:t>
      </w:r>
      <w:r>
        <w:rPr>
          <w:rFonts w:hint="eastAsia" w:ascii="宋体" w:hAnsi="宋体"/>
          <w:b/>
          <w:kern w:val="0"/>
          <w:sz w:val="24"/>
        </w:rPr>
        <w:t>、投标保证金：</w:t>
      </w:r>
    </w:p>
    <w:p>
      <w:pPr>
        <w:snapToGrid w:val="0"/>
        <w:spacing w:line="360" w:lineRule="auto"/>
        <w:ind w:firstLine="480" w:firstLineChars="200"/>
        <w:rPr>
          <w:rFonts w:hint="eastAsia" w:ascii="宋体" w:hAnsi="宋体" w:cs="宋体"/>
          <w:kern w:val="0"/>
          <w:sz w:val="24"/>
        </w:rPr>
      </w:pPr>
      <w:r>
        <w:rPr>
          <w:rFonts w:hint="eastAsia" w:ascii="宋体" w:hAnsi="宋体" w:cs="宋体"/>
          <w:kern w:val="0"/>
          <w:sz w:val="24"/>
        </w:rPr>
        <w:t>1、投标保证金的形式：现金，在递交投标文件的同时递交。</w:t>
      </w:r>
    </w:p>
    <w:p>
      <w:pPr>
        <w:snapToGrid w:val="0"/>
        <w:spacing w:line="360" w:lineRule="auto"/>
        <w:ind w:firstLine="480" w:firstLineChars="200"/>
        <w:rPr>
          <w:rFonts w:hint="eastAsia" w:ascii="宋体" w:hAnsi="宋体" w:cs="宋体"/>
          <w:kern w:val="0"/>
          <w:sz w:val="24"/>
        </w:rPr>
      </w:pPr>
      <w:r>
        <w:rPr>
          <w:rFonts w:hint="eastAsia" w:ascii="宋体" w:hAnsi="宋体" w:cs="宋体"/>
          <w:kern w:val="0"/>
          <w:sz w:val="24"/>
        </w:rPr>
        <w:t>2、投标保证金金额：</w:t>
      </w:r>
      <w:r>
        <w:rPr>
          <w:rFonts w:hint="eastAsia" w:ascii="宋体" w:hAnsi="宋体" w:cs="宋体"/>
          <w:kern w:val="0"/>
          <w:sz w:val="24"/>
          <w:lang w:val="en-US" w:eastAsia="zh-CN"/>
        </w:rPr>
        <w:t>6000</w:t>
      </w:r>
      <w:r>
        <w:rPr>
          <w:rFonts w:hint="eastAsia" w:ascii="宋体" w:hAnsi="宋体" w:cs="宋体"/>
          <w:kern w:val="0"/>
          <w:sz w:val="24"/>
        </w:rPr>
        <w:t>元整；</w:t>
      </w:r>
    </w:p>
    <w:p>
      <w:pPr>
        <w:snapToGrid w:val="0"/>
        <w:spacing w:line="360" w:lineRule="auto"/>
        <w:ind w:firstLine="480" w:firstLineChars="200"/>
        <w:rPr>
          <w:rFonts w:hint="eastAsia" w:ascii="宋体" w:hAnsi="宋体" w:cs="宋体"/>
          <w:kern w:val="0"/>
          <w:sz w:val="24"/>
        </w:rPr>
      </w:pPr>
      <w:r>
        <w:rPr>
          <w:rFonts w:hint="eastAsia" w:ascii="宋体" w:hAnsi="宋体" w:cs="宋体"/>
          <w:kern w:val="0"/>
          <w:sz w:val="24"/>
        </w:rPr>
        <w:t xml:space="preserve">3、投标保证金缴纳截止时间：2019年 </w:t>
      </w:r>
      <w:r>
        <w:rPr>
          <w:rFonts w:hint="eastAsia" w:ascii="宋体" w:hAnsi="宋体" w:cs="宋体"/>
          <w:kern w:val="0"/>
          <w:sz w:val="24"/>
          <w:lang w:val="en-US" w:eastAsia="zh-CN"/>
        </w:rPr>
        <w:t>09</w:t>
      </w:r>
      <w:r>
        <w:rPr>
          <w:rFonts w:hint="eastAsia" w:ascii="宋体" w:hAnsi="宋体" w:cs="宋体"/>
          <w:kern w:val="0"/>
          <w:sz w:val="24"/>
        </w:rPr>
        <w:t>月</w:t>
      </w:r>
      <w:r>
        <w:rPr>
          <w:rFonts w:hint="eastAsia" w:ascii="宋体" w:hAnsi="宋体" w:cs="宋体"/>
          <w:kern w:val="0"/>
          <w:sz w:val="24"/>
          <w:lang w:val="en-US" w:eastAsia="zh-CN"/>
        </w:rPr>
        <w:t>16</w:t>
      </w:r>
      <w:r>
        <w:rPr>
          <w:rFonts w:hint="eastAsia" w:ascii="宋体" w:hAnsi="宋体" w:cs="宋体"/>
          <w:kern w:val="0"/>
          <w:sz w:val="24"/>
        </w:rPr>
        <w:t>日9：00。</w:t>
      </w:r>
    </w:p>
    <w:p>
      <w:pPr>
        <w:snapToGrid w:val="0"/>
        <w:spacing w:line="360" w:lineRule="auto"/>
        <w:ind w:firstLine="480" w:firstLineChars="200"/>
      </w:pPr>
      <w:r>
        <w:rPr>
          <w:rFonts w:hint="eastAsia" w:ascii="宋体" w:hAnsi="宋体" w:cs="宋体"/>
          <w:kern w:val="0"/>
          <w:sz w:val="24"/>
        </w:rPr>
        <w:t>4、投标保证金的有效期：同投标有效期。</w:t>
      </w:r>
    </w:p>
    <w:p>
      <w:pPr>
        <w:snapToGrid w:val="0"/>
        <w:spacing w:line="360" w:lineRule="auto"/>
        <w:rPr>
          <w:rFonts w:ascii="宋体" w:hAnsi="宋体" w:cs="Arial"/>
          <w:b/>
          <w:sz w:val="24"/>
        </w:rPr>
      </w:pPr>
      <w:r>
        <w:rPr>
          <w:rFonts w:hint="eastAsia" w:ascii="宋体" w:hAnsi="宋体" w:cs="Arial"/>
          <w:b/>
          <w:sz w:val="24"/>
          <w:lang w:eastAsia="zh-CN"/>
        </w:rPr>
        <w:t>七</w:t>
      </w:r>
      <w:r>
        <w:rPr>
          <w:rFonts w:ascii="宋体" w:hAnsi="宋体" w:cs="Arial"/>
          <w:b/>
          <w:sz w:val="24"/>
        </w:rPr>
        <w:t>、投标人信用信息查询渠道及截止时点、信用信息查询记录和证据留存的具体方式、信用信息的使用规则</w:t>
      </w:r>
      <w:r>
        <w:rPr>
          <w:rFonts w:hint="eastAsia" w:ascii="宋体" w:hAnsi="宋体" w:cs="Arial"/>
          <w:b/>
          <w:sz w:val="24"/>
        </w:rPr>
        <w:t>：</w:t>
      </w:r>
    </w:p>
    <w:p>
      <w:pPr>
        <w:snapToGrid w:val="0"/>
        <w:spacing w:line="360" w:lineRule="auto"/>
        <w:ind w:firstLine="480" w:firstLineChars="200"/>
        <w:rPr>
          <w:rFonts w:ascii="宋体" w:hAnsi="宋体" w:cs="Arial"/>
          <w:sz w:val="24"/>
        </w:rPr>
      </w:pPr>
      <w:r>
        <w:rPr>
          <w:rFonts w:hint="eastAsia" w:ascii="宋体" w:hAnsi="宋体" w:cs="Arial"/>
          <w:sz w:val="24"/>
        </w:rPr>
        <w:t>1、查询渠道：</w:t>
      </w:r>
      <w:r>
        <w:rPr>
          <w:rFonts w:hint="eastAsia" w:ascii="宋体" w:hAnsi="宋体" w:cs="Arial"/>
          <w:sz w:val="24"/>
          <w:shd w:val="clear" w:color="auto" w:fill="auto"/>
        </w:rPr>
        <w:t>国家企业信用信息公示系统（http://www.gsxt.gov.cn/index.html）</w:t>
      </w:r>
      <w:r>
        <w:rPr>
          <w:rFonts w:hint="eastAsia" w:ascii="宋体" w:hAnsi="宋体" w:cs="Arial"/>
          <w:sz w:val="24"/>
        </w:rPr>
        <w:t>。</w:t>
      </w:r>
    </w:p>
    <w:p>
      <w:pPr>
        <w:snapToGrid w:val="0"/>
        <w:spacing w:line="360" w:lineRule="auto"/>
        <w:ind w:firstLine="480" w:firstLineChars="200"/>
        <w:rPr>
          <w:rFonts w:ascii="宋体" w:hAnsi="宋体" w:cs="Arial"/>
          <w:b/>
          <w:bCs/>
          <w:sz w:val="24"/>
          <w:shd w:val="clear" w:color="FFFFFF" w:fill="D9D9D9"/>
        </w:rPr>
      </w:pPr>
      <w:r>
        <w:rPr>
          <w:rFonts w:hint="eastAsia" w:ascii="宋体" w:hAnsi="宋体" w:cs="Arial"/>
          <w:sz w:val="24"/>
        </w:rPr>
        <w:t>2、截止时点：开标后评标前。</w:t>
      </w:r>
    </w:p>
    <w:p>
      <w:pPr>
        <w:snapToGrid w:val="0"/>
        <w:spacing w:line="360" w:lineRule="auto"/>
        <w:ind w:firstLine="480" w:firstLineChars="200"/>
        <w:rPr>
          <w:rFonts w:ascii="宋体" w:hAnsi="宋体" w:cs="Arial"/>
          <w:sz w:val="24"/>
        </w:rPr>
      </w:pPr>
      <w:r>
        <w:rPr>
          <w:rFonts w:hint="eastAsia" w:ascii="宋体" w:hAnsi="宋体" w:cs="Arial"/>
          <w:sz w:val="24"/>
        </w:rPr>
        <w:t>3、</w:t>
      </w:r>
      <w:r>
        <w:rPr>
          <w:rFonts w:ascii="宋体" w:hAnsi="宋体" w:cs="Arial"/>
          <w:sz w:val="24"/>
        </w:rPr>
        <w:t>信用信息查询记录和证据留存的具体方式</w:t>
      </w:r>
      <w:r>
        <w:rPr>
          <w:rFonts w:hint="eastAsia" w:ascii="宋体" w:hAnsi="宋体" w:cs="Arial"/>
          <w:sz w:val="24"/>
        </w:rPr>
        <w:t>：由采购组织机构在规定查询时间内打印信用信息查询记录并归入项目档案。</w:t>
      </w:r>
    </w:p>
    <w:p>
      <w:pPr>
        <w:snapToGrid w:val="0"/>
        <w:spacing w:line="360" w:lineRule="auto"/>
        <w:ind w:firstLine="480" w:firstLineChars="200"/>
        <w:rPr>
          <w:rFonts w:ascii="宋体" w:hAnsi="宋体" w:cs="Arial"/>
          <w:sz w:val="24"/>
        </w:rPr>
      </w:pPr>
      <w:r>
        <w:rPr>
          <w:rFonts w:hint="eastAsia" w:ascii="宋体" w:hAnsi="宋体" w:cs="Arial"/>
          <w:sz w:val="24"/>
        </w:rPr>
        <w:t>4、使用规则：对列入失信被执行人、重大税收违法案件当事人名单、政府采购严重违法失信行为记录名单及其他不符合《中华人民共和国政府采购法》第二十二条规定条件的供应商，</w:t>
      </w:r>
      <w:r>
        <w:rPr>
          <w:rFonts w:ascii="宋体" w:hAnsi="宋体" w:cs="Arial"/>
          <w:sz w:val="24"/>
        </w:rPr>
        <w:t>将被</w:t>
      </w:r>
      <w:r>
        <w:rPr>
          <w:rFonts w:hint="eastAsia" w:ascii="宋体" w:hAnsi="宋体" w:cs="Arial"/>
          <w:sz w:val="24"/>
        </w:rPr>
        <w:t>拒绝其参与政府采购活动。</w:t>
      </w:r>
    </w:p>
    <w:p>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b/>
          <w:sz w:val="24"/>
        </w:rPr>
      </w:pPr>
      <w:r>
        <w:rPr>
          <w:rFonts w:hint="eastAsia" w:ascii="宋体" w:hAnsi="宋体"/>
          <w:b/>
          <w:sz w:val="24"/>
          <w:lang w:eastAsia="zh-CN"/>
        </w:rPr>
        <w:t>八</w:t>
      </w:r>
      <w:r>
        <w:rPr>
          <w:rFonts w:hint="eastAsia" w:ascii="宋体" w:hAnsi="宋体"/>
          <w:b/>
          <w:sz w:val="24"/>
        </w:rPr>
        <w:t>、联系方式：</w:t>
      </w:r>
    </w:p>
    <w:p>
      <w:pPr>
        <w:keepNext w:val="0"/>
        <w:keepLines w:val="0"/>
        <w:pageBreakBefore w:val="0"/>
        <w:widowControl w:val="0"/>
        <w:kinsoku/>
        <w:wordWrap/>
        <w:overflowPunct/>
        <w:topLinePunct w:val="0"/>
        <w:autoSpaceDE/>
        <w:autoSpaceDN/>
        <w:bidi w:val="0"/>
        <w:adjustRightInd/>
        <w:spacing w:line="400" w:lineRule="exact"/>
        <w:ind w:firstLine="472" w:firstLineChars="196"/>
        <w:textAlignment w:val="auto"/>
        <w:rPr>
          <w:rFonts w:ascii="宋体" w:hAnsi="宋体"/>
          <w:b/>
          <w:sz w:val="24"/>
        </w:rPr>
      </w:pPr>
      <w:r>
        <w:rPr>
          <w:rFonts w:hint="eastAsia" w:ascii="宋体" w:hAnsi="宋体"/>
          <w:b/>
          <w:sz w:val="24"/>
        </w:rPr>
        <w:t>（一）采购代理机构</w:t>
      </w:r>
    </w:p>
    <w:p>
      <w:pPr>
        <w:keepNext w:val="0"/>
        <w:keepLines w:val="0"/>
        <w:pageBreakBefore w:val="0"/>
        <w:widowControl w:val="0"/>
        <w:kinsoku/>
        <w:wordWrap/>
        <w:overflowPunct/>
        <w:topLinePunct w:val="0"/>
        <w:autoSpaceDE/>
        <w:autoSpaceDN/>
        <w:bidi w:val="0"/>
        <w:adjustRightInd/>
        <w:snapToGrid w:val="0"/>
        <w:spacing w:line="400" w:lineRule="exact"/>
        <w:ind w:firstLine="600" w:firstLineChars="250"/>
        <w:textAlignment w:val="auto"/>
        <w:rPr>
          <w:rFonts w:ascii="宋体" w:hAnsi="宋体" w:cs="Arial"/>
          <w:sz w:val="24"/>
        </w:rPr>
      </w:pPr>
      <w:r>
        <w:rPr>
          <w:rFonts w:hint="eastAsia" w:ascii="宋体" w:hAnsi="宋体" w:cs="Arial"/>
          <w:sz w:val="24"/>
        </w:rPr>
        <w:t>项目联系人：周文君</w:t>
      </w:r>
    </w:p>
    <w:p>
      <w:pPr>
        <w:keepNext w:val="0"/>
        <w:keepLines w:val="0"/>
        <w:pageBreakBefore w:val="0"/>
        <w:widowControl w:val="0"/>
        <w:kinsoku/>
        <w:wordWrap/>
        <w:overflowPunct/>
        <w:topLinePunct w:val="0"/>
        <w:autoSpaceDE/>
        <w:autoSpaceDN/>
        <w:bidi w:val="0"/>
        <w:adjustRightInd/>
        <w:snapToGrid w:val="0"/>
        <w:spacing w:line="400" w:lineRule="exact"/>
        <w:ind w:firstLine="600" w:firstLineChars="250"/>
        <w:textAlignment w:val="auto"/>
        <w:rPr>
          <w:rFonts w:hint="default" w:ascii="宋体" w:hAnsi="宋体" w:eastAsia="宋体" w:cs="宋体"/>
          <w:kern w:val="0"/>
          <w:sz w:val="24"/>
          <w:lang w:val="en-US" w:eastAsia="zh-CN"/>
        </w:rPr>
      </w:pPr>
      <w:r>
        <w:rPr>
          <w:rFonts w:hint="eastAsia" w:ascii="宋体" w:hAnsi="宋体" w:cs="Arial"/>
          <w:sz w:val="24"/>
        </w:rPr>
        <w:t>联系电话：</w:t>
      </w:r>
      <w:r>
        <w:rPr>
          <w:rFonts w:hint="eastAsia" w:ascii="宋体" w:hAnsi="宋体" w:cs="宋体"/>
          <w:kern w:val="0"/>
          <w:sz w:val="24"/>
        </w:rPr>
        <w:t>0576-83303456</w:t>
      </w:r>
      <w:r>
        <w:rPr>
          <w:rFonts w:hint="eastAsia" w:ascii="宋体" w:hAnsi="宋体" w:cs="宋体"/>
          <w:kern w:val="0"/>
          <w:sz w:val="24"/>
          <w:lang w:val="en-US" w:eastAsia="zh-CN"/>
        </w:rPr>
        <w:t xml:space="preserve"> 13958533735</w:t>
      </w:r>
    </w:p>
    <w:p>
      <w:pPr>
        <w:keepNext w:val="0"/>
        <w:keepLines w:val="0"/>
        <w:pageBreakBefore w:val="0"/>
        <w:widowControl w:val="0"/>
        <w:kinsoku/>
        <w:wordWrap/>
        <w:overflowPunct/>
        <w:topLinePunct w:val="0"/>
        <w:autoSpaceDE/>
        <w:autoSpaceDN/>
        <w:bidi w:val="0"/>
        <w:adjustRightInd/>
        <w:snapToGrid w:val="0"/>
        <w:spacing w:line="400" w:lineRule="exact"/>
        <w:ind w:firstLine="600" w:firstLineChars="250"/>
        <w:textAlignment w:val="auto"/>
        <w:rPr>
          <w:rFonts w:ascii="宋体" w:hAnsi="宋体" w:cs="Arial"/>
          <w:sz w:val="24"/>
        </w:rPr>
      </w:pPr>
      <w:r>
        <w:rPr>
          <w:rFonts w:hint="eastAsia" w:ascii="宋体" w:hAnsi="宋体" w:cs="宋体"/>
          <w:kern w:val="0"/>
          <w:sz w:val="24"/>
        </w:rPr>
        <w:t>地址：</w:t>
      </w:r>
      <w:r>
        <w:rPr>
          <w:rFonts w:hint="eastAsia" w:ascii="宋体" w:hAnsi="宋体" w:cs="Arial"/>
          <w:bCs/>
          <w:color w:val="000000"/>
          <w:sz w:val="24"/>
        </w:rPr>
        <w:t>三门县海游街道环湖东路1-11号</w:t>
      </w:r>
      <w:r>
        <w:rPr>
          <w:rFonts w:hint="eastAsia" w:ascii="宋体" w:hAnsi="宋体" w:cs="宋体"/>
          <w:kern w:val="0"/>
          <w:sz w:val="24"/>
        </w:rPr>
        <w:t xml:space="preserve">    </w:t>
      </w:r>
    </w:p>
    <w:p>
      <w:pPr>
        <w:keepNext w:val="0"/>
        <w:keepLines w:val="0"/>
        <w:pageBreakBefore w:val="0"/>
        <w:widowControl w:val="0"/>
        <w:kinsoku/>
        <w:wordWrap/>
        <w:overflowPunct/>
        <w:topLinePunct w:val="0"/>
        <w:autoSpaceDE/>
        <w:autoSpaceDN/>
        <w:bidi w:val="0"/>
        <w:adjustRightInd/>
        <w:spacing w:line="400" w:lineRule="exact"/>
        <w:ind w:firstLine="472" w:firstLineChars="196"/>
        <w:textAlignment w:val="auto"/>
        <w:rPr>
          <w:rFonts w:ascii="宋体" w:hAnsi="宋体"/>
          <w:b/>
          <w:sz w:val="24"/>
        </w:rPr>
      </w:pPr>
      <w:r>
        <w:rPr>
          <w:rFonts w:hint="eastAsia" w:ascii="宋体" w:hAnsi="宋体"/>
          <w:b/>
          <w:sz w:val="24"/>
        </w:rPr>
        <w:t>（二）采购人</w:t>
      </w:r>
      <w:r>
        <w:rPr>
          <w:rFonts w:hint="eastAsia" w:ascii="宋体" w:hAnsi="宋体" w:cs="Arial"/>
          <w:sz w:val="24"/>
        </w:rPr>
        <w:t xml:space="preserve"> </w:t>
      </w:r>
    </w:p>
    <w:p>
      <w:pPr>
        <w:keepNext w:val="0"/>
        <w:keepLines w:val="0"/>
        <w:pageBreakBefore w:val="0"/>
        <w:widowControl w:val="0"/>
        <w:kinsoku/>
        <w:wordWrap/>
        <w:overflowPunct/>
        <w:topLinePunct w:val="0"/>
        <w:autoSpaceDE/>
        <w:autoSpaceDN/>
        <w:bidi w:val="0"/>
        <w:adjustRightInd/>
        <w:snapToGrid w:val="0"/>
        <w:spacing w:line="400" w:lineRule="exact"/>
        <w:ind w:firstLine="720" w:firstLineChars="300"/>
        <w:textAlignment w:val="auto"/>
        <w:rPr>
          <w:rFonts w:hint="eastAsia" w:ascii="宋体" w:hAnsi="宋体" w:eastAsia="宋体" w:cs="宋体"/>
          <w:kern w:val="0"/>
          <w:sz w:val="24"/>
          <w:lang w:eastAsia="zh-CN"/>
        </w:rPr>
      </w:pPr>
      <w:r>
        <w:rPr>
          <w:rFonts w:ascii="宋体" w:hAnsi="宋体" w:cs="Arial"/>
          <w:sz w:val="24"/>
        </w:rPr>
        <w:t>联系人：</w:t>
      </w:r>
      <w:r>
        <w:rPr>
          <w:rFonts w:hint="eastAsia" w:ascii="宋体" w:hAnsi="宋体" w:cs="宋体"/>
          <w:kern w:val="0"/>
          <w:sz w:val="24"/>
          <w:lang w:eastAsia="zh-CN"/>
        </w:rPr>
        <w:t>赖爱萍</w:t>
      </w:r>
      <w:r>
        <w:rPr>
          <w:rFonts w:hint="eastAsia" w:ascii="宋体" w:hAnsi="宋体" w:cs="宋体"/>
          <w:kern w:val="0"/>
          <w:sz w:val="24"/>
        </w:rPr>
        <w:t xml:space="preserve">       联系电话：</w:t>
      </w:r>
      <w:r>
        <w:rPr>
          <w:rFonts w:hint="eastAsia" w:ascii="宋体" w:hAnsi="宋体" w:cs="宋体"/>
          <w:kern w:val="0"/>
          <w:sz w:val="24"/>
          <w:lang w:eastAsia="zh-CN"/>
        </w:rPr>
        <w:t>13958529092</w:t>
      </w:r>
    </w:p>
    <w:p>
      <w:pPr>
        <w:keepNext w:val="0"/>
        <w:keepLines w:val="0"/>
        <w:pageBreakBefore w:val="0"/>
        <w:widowControl w:val="0"/>
        <w:kinsoku/>
        <w:wordWrap/>
        <w:overflowPunct/>
        <w:topLinePunct w:val="0"/>
        <w:autoSpaceDE/>
        <w:autoSpaceDN/>
        <w:bidi w:val="0"/>
        <w:adjustRightInd/>
        <w:snapToGrid w:val="0"/>
        <w:spacing w:line="400" w:lineRule="exact"/>
        <w:ind w:firstLine="600" w:firstLineChars="250"/>
        <w:textAlignment w:val="auto"/>
        <w:rPr>
          <w:rFonts w:hint="default" w:ascii="宋体" w:hAnsi="宋体" w:eastAsia="宋体" w:cs="Arial"/>
          <w:sz w:val="24"/>
          <w:lang w:val="en-US" w:eastAsia="zh-CN"/>
        </w:rPr>
      </w:pPr>
      <w:r>
        <w:rPr>
          <w:rFonts w:hint="eastAsia" w:ascii="宋体" w:hAnsi="宋体" w:cs="宋体"/>
          <w:kern w:val="0"/>
          <w:sz w:val="24"/>
        </w:rPr>
        <w:t>地址：三门县海游街道</w:t>
      </w:r>
      <w:r>
        <w:rPr>
          <w:rFonts w:hint="eastAsia" w:ascii="宋体" w:hAnsi="宋体" w:cs="宋体"/>
          <w:kern w:val="0"/>
          <w:sz w:val="24"/>
          <w:lang w:eastAsia="zh-CN"/>
        </w:rPr>
        <w:t>康华路</w:t>
      </w:r>
      <w:r>
        <w:rPr>
          <w:rFonts w:hint="eastAsia" w:ascii="宋体" w:hAnsi="宋体" w:cs="宋体"/>
          <w:kern w:val="0"/>
          <w:sz w:val="24"/>
          <w:lang w:val="en-US" w:eastAsia="zh-CN"/>
        </w:rPr>
        <w:t>8号</w:t>
      </w:r>
    </w:p>
    <w:p>
      <w:pPr>
        <w:keepNext w:val="0"/>
        <w:keepLines w:val="0"/>
        <w:pageBreakBefore w:val="0"/>
        <w:widowControl w:val="0"/>
        <w:kinsoku/>
        <w:wordWrap/>
        <w:overflowPunct/>
        <w:topLinePunct w:val="0"/>
        <w:autoSpaceDE/>
        <w:autoSpaceDN/>
        <w:bidi w:val="0"/>
        <w:adjustRightInd/>
        <w:spacing w:line="400" w:lineRule="exact"/>
        <w:ind w:right="480" w:firstLine="3600" w:firstLineChars="1500"/>
        <w:jc w:val="left"/>
        <w:textAlignment w:val="auto"/>
        <w:rPr>
          <w:rFonts w:hint="eastAsia" w:ascii="宋体" w:hAnsi="宋体" w:cs="宋体"/>
          <w:sz w:val="24"/>
          <w:lang w:val="en-US" w:eastAsia="zh-CN"/>
        </w:rPr>
      </w:pPr>
    </w:p>
    <w:p>
      <w:pPr>
        <w:keepNext w:val="0"/>
        <w:keepLines w:val="0"/>
        <w:pageBreakBefore w:val="0"/>
        <w:widowControl w:val="0"/>
        <w:kinsoku/>
        <w:wordWrap/>
        <w:overflowPunct/>
        <w:topLinePunct w:val="0"/>
        <w:autoSpaceDE/>
        <w:autoSpaceDN/>
        <w:bidi w:val="0"/>
        <w:adjustRightInd/>
        <w:spacing w:line="400" w:lineRule="exact"/>
        <w:ind w:right="480" w:firstLine="3600" w:firstLineChars="1500"/>
        <w:jc w:val="left"/>
        <w:textAlignment w:val="auto"/>
        <w:rPr>
          <w:rFonts w:hint="eastAsia" w:ascii="宋体" w:hAnsi="宋体" w:cs="宋体"/>
          <w:sz w:val="24"/>
          <w:lang w:val="en-US" w:eastAsia="zh-CN"/>
        </w:rPr>
      </w:pPr>
    </w:p>
    <w:p>
      <w:pPr>
        <w:keepNext w:val="0"/>
        <w:keepLines w:val="0"/>
        <w:pageBreakBefore w:val="0"/>
        <w:widowControl w:val="0"/>
        <w:kinsoku/>
        <w:wordWrap/>
        <w:overflowPunct/>
        <w:topLinePunct w:val="0"/>
        <w:autoSpaceDE/>
        <w:autoSpaceDN/>
        <w:bidi w:val="0"/>
        <w:adjustRightInd/>
        <w:spacing w:line="400" w:lineRule="exact"/>
        <w:ind w:right="480" w:firstLine="3600" w:firstLineChars="1500"/>
        <w:jc w:val="left"/>
        <w:textAlignment w:val="auto"/>
        <w:rPr>
          <w:rFonts w:hint="eastAsia" w:ascii="宋体" w:hAnsi="宋体" w:cs="宋体"/>
          <w:sz w:val="24"/>
          <w:lang w:val="en-US" w:eastAsia="zh-CN"/>
        </w:rPr>
      </w:pPr>
    </w:p>
    <w:p>
      <w:pPr>
        <w:keepNext w:val="0"/>
        <w:keepLines w:val="0"/>
        <w:pageBreakBefore w:val="0"/>
        <w:widowControl w:val="0"/>
        <w:kinsoku/>
        <w:wordWrap/>
        <w:overflowPunct/>
        <w:topLinePunct w:val="0"/>
        <w:autoSpaceDE/>
        <w:autoSpaceDN/>
        <w:bidi w:val="0"/>
        <w:adjustRightInd/>
        <w:spacing w:line="400" w:lineRule="exact"/>
        <w:ind w:right="480" w:firstLine="3600" w:firstLineChars="1500"/>
        <w:jc w:val="left"/>
        <w:textAlignment w:val="auto"/>
        <w:rPr>
          <w:rFonts w:hint="eastAsia"/>
          <w:lang w:eastAsia="zh-CN"/>
        </w:rPr>
      </w:pPr>
      <w:r>
        <w:rPr>
          <w:rFonts w:hint="eastAsia" w:ascii="宋体" w:hAnsi="宋体" w:cs="宋体"/>
          <w:sz w:val="24"/>
          <w:lang w:val="en-US" w:eastAsia="zh-CN"/>
        </w:rPr>
        <w:t>招   标  人：</w:t>
      </w:r>
      <w:r>
        <w:rPr>
          <w:rFonts w:hint="eastAsia" w:ascii="宋体" w:hAnsi="宋体" w:cs="宋体"/>
          <w:sz w:val="24"/>
          <w:lang w:eastAsia="zh-CN"/>
        </w:rPr>
        <w:t xml:space="preserve">三门县中心幼儿园 </w:t>
      </w:r>
    </w:p>
    <w:p>
      <w:pPr>
        <w:keepNext w:val="0"/>
        <w:keepLines w:val="0"/>
        <w:pageBreakBefore w:val="0"/>
        <w:widowControl w:val="0"/>
        <w:kinsoku/>
        <w:wordWrap/>
        <w:overflowPunct/>
        <w:topLinePunct w:val="0"/>
        <w:autoSpaceDE/>
        <w:autoSpaceDN/>
        <w:bidi w:val="0"/>
        <w:adjustRightInd/>
        <w:spacing w:line="400" w:lineRule="exact"/>
        <w:ind w:right="480"/>
        <w:jc w:val="right"/>
        <w:textAlignment w:val="auto"/>
        <w:rPr>
          <w:rFonts w:hint="eastAsia"/>
        </w:rPr>
      </w:pPr>
      <w:r>
        <w:rPr>
          <w:rFonts w:hint="eastAsia" w:ascii="宋体" w:hAnsi="宋体" w:cs="宋体"/>
          <w:sz w:val="24"/>
          <w:lang w:val="en-US" w:eastAsia="zh-CN"/>
        </w:rPr>
        <w:t>招标代理机构：</w:t>
      </w:r>
      <w:r>
        <w:rPr>
          <w:rFonts w:hint="eastAsia" w:ascii="宋体" w:hAnsi="宋体" w:cs="宋体"/>
          <w:sz w:val="24"/>
        </w:rPr>
        <w:t>浙江建科工程项目管理有限公司</w:t>
      </w:r>
    </w:p>
    <w:p>
      <w:pPr>
        <w:pStyle w:val="2"/>
        <w:jc w:val="center"/>
        <w:rPr>
          <w:rFonts w:hint="eastAsia" w:ascii="宋体" w:hAnsi="宋体" w:cs="宋体"/>
          <w:kern w:val="0"/>
          <w:sz w:val="24"/>
        </w:rPr>
      </w:pPr>
      <w:r>
        <w:rPr>
          <w:rFonts w:hint="eastAsia" w:ascii="宋体" w:hAnsi="宋体" w:cs="宋体"/>
          <w:sz w:val="24"/>
          <w:lang w:val="en-US" w:eastAsia="zh-CN"/>
        </w:rPr>
        <w:t xml:space="preserve">          上级主管部门：三门县教育局</w:t>
      </w:r>
    </w:p>
    <w:p>
      <w:pPr>
        <w:keepNext w:val="0"/>
        <w:keepLines w:val="0"/>
        <w:pageBreakBefore w:val="0"/>
        <w:widowControl w:val="0"/>
        <w:kinsoku/>
        <w:wordWrap/>
        <w:overflowPunct/>
        <w:topLinePunct w:val="0"/>
        <w:autoSpaceDE/>
        <w:autoSpaceDN/>
        <w:bidi w:val="0"/>
        <w:adjustRightInd/>
        <w:spacing w:line="400" w:lineRule="exact"/>
        <w:ind w:right="480" w:firstLine="5520" w:firstLineChars="2300"/>
        <w:jc w:val="left"/>
        <w:textAlignment w:val="auto"/>
        <w:rPr>
          <w:rFonts w:hint="eastAsia" w:ascii="宋体" w:hAnsi="宋体" w:cs="宋体"/>
          <w:kern w:val="0"/>
          <w:sz w:val="24"/>
        </w:rPr>
      </w:pPr>
      <w:r>
        <w:rPr>
          <w:rFonts w:hint="eastAsia" w:ascii="宋体" w:hAnsi="宋体" w:cs="宋体"/>
          <w:kern w:val="0"/>
          <w:sz w:val="24"/>
        </w:rPr>
        <w:t>2019年</w:t>
      </w:r>
      <w:r>
        <w:rPr>
          <w:rFonts w:hint="eastAsia" w:ascii="宋体" w:hAnsi="宋体" w:cs="宋体"/>
          <w:kern w:val="0"/>
          <w:sz w:val="24"/>
          <w:lang w:val="en-US" w:eastAsia="zh-CN"/>
        </w:rPr>
        <w:t>08</w:t>
      </w:r>
      <w:r>
        <w:rPr>
          <w:rFonts w:hint="eastAsia" w:ascii="宋体" w:hAnsi="宋体" w:cs="宋体"/>
          <w:kern w:val="0"/>
          <w:sz w:val="24"/>
        </w:rPr>
        <w:t>月</w:t>
      </w:r>
      <w:r>
        <w:rPr>
          <w:rFonts w:hint="eastAsia" w:ascii="宋体" w:hAnsi="宋体" w:cs="宋体"/>
          <w:kern w:val="0"/>
          <w:sz w:val="24"/>
          <w:lang w:val="en-US" w:eastAsia="zh-CN"/>
        </w:rPr>
        <w:t>23</w:t>
      </w:r>
      <w:r>
        <w:rPr>
          <w:rFonts w:hint="eastAsia" w:ascii="宋体" w:hAnsi="宋体" w:cs="宋体"/>
          <w:kern w:val="0"/>
          <w:sz w:val="24"/>
        </w:rPr>
        <w:t>日</w:t>
      </w:r>
    </w:p>
    <w:p>
      <w:pPr>
        <w:pStyle w:val="2"/>
        <w:rPr>
          <w:rFonts w:hint="eastAsia" w:ascii="宋体" w:hAnsi="宋体" w:cs="宋体"/>
          <w:kern w:val="0"/>
          <w:sz w:val="24"/>
        </w:rPr>
      </w:pPr>
    </w:p>
    <w:p>
      <w:pPr>
        <w:pStyle w:val="2"/>
        <w:rPr>
          <w:rFonts w:hint="eastAsia" w:ascii="宋体" w:hAnsi="宋体" w:cs="宋体"/>
          <w:kern w:val="0"/>
          <w:sz w:val="24"/>
        </w:rPr>
      </w:pPr>
    </w:p>
    <w:p>
      <w:pPr>
        <w:pStyle w:val="2"/>
        <w:rPr>
          <w:rFonts w:hint="eastAsia" w:ascii="宋体" w:hAnsi="宋体" w:cs="宋体"/>
          <w:kern w:val="0"/>
          <w:sz w:val="24"/>
        </w:rPr>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numPr>
          <w:ilvl w:val="0"/>
          <w:numId w:val="4"/>
        </w:numPr>
        <w:spacing w:line="360" w:lineRule="auto"/>
        <w:jc w:val="center"/>
        <w:rPr>
          <w:rFonts w:asciiTheme="minorEastAsia" w:hAnsiTheme="minorEastAsia" w:eastAsiaTheme="minorEastAsia"/>
          <w:b/>
          <w:sz w:val="36"/>
          <w:szCs w:val="36"/>
        </w:rPr>
      </w:pPr>
      <w:r>
        <w:rPr>
          <w:rFonts w:hint="eastAsia" w:asciiTheme="minorEastAsia" w:hAnsiTheme="minorEastAsia" w:eastAsiaTheme="minorEastAsia"/>
          <w:b/>
          <w:sz w:val="36"/>
          <w:szCs w:val="36"/>
        </w:rPr>
        <w:t>投标人须知</w:t>
      </w:r>
    </w:p>
    <w:p>
      <w:pPr>
        <w:spacing w:line="360" w:lineRule="auto"/>
        <w:jc w:val="center"/>
        <w:rPr>
          <w:rFonts w:asciiTheme="minorEastAsia" w:hAnsiTheme="minorEastAsia" w:eastAsiaTheme="minorEastAsia"/>
          <w:b/>
          <w:sz w:val="24"/>
        </w:rPr>
      </w:pPr>
      <w:r>
        <w:rPr>
          <w:rFonts w:hint="eastAsia" w:asciiTheme="minorEastAsia" w:hAnsiTheme="minorEastAsia" w:eastAsiaTheme="minorEastAsia"/>
          <w:b/>
          <w:sz w:val="24"/>
        </w:rPr>
        <w:t>前附表</w:t>
      </w:r>
    </w:p>
    <w:tbl>
      <w:tblPr>
        <w:tblStyle w:val="20"/>
        <w:tblW w:w="91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2610"/>
        <w:gridCol w:w="5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序号</w:t>
            </w:r>
          </w:p>
        </w:tc>
        <w:tc>
          <w:tcPr>
            <w:tcW w:w="26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项    目</w:t>
            </w:r>
          </w:p>
        </w:tc>
        <w:tc>
          <w:tcPr>
            <w:tcW w:w="578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w:t>
            </w:r>
          </w:p>
        </w:tc>
        <w:tc>
          <w:tcPr>
            <w:tcW w:w="26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供应商特定资格要求</w:t>
            </w:r>
          </w:p>
        </w:tc>
        <w:tc>
          <w:tcPr>
            <w:tcW w:w="5780" w:type="dxa"/>
            <w:tcBorders>
              <w:top w:val="single" w:color="auto" w:sz="4" w:space="0"/>
              <w:left w:val="single" w:color="auto" w:sz="4" w:space="0"/>
              <w:bottom w:val="single" w:color="auto" w:sz="4" w:space="0"/>
              <w:right w:val="single" w:color="auto" w:sz="4" w:space="0"/>
            </w:tcBorders>
            <w:vAlign w:val="center"/>
          </w:tcPr>
          <w:p>
            <w:pPr>
              <w:spacing w:line="360" w:lineRule="auto"/>
              <w:jc w:val="both"/>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符合招标公告资格要求的供应商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w:t>
            </w:r>
          </w:p>
        </w:tc>
        <w:tc>
          <w:tcPr>
            <w:tcW w:w="26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kern w:val="0"/>
                <w:sz w:val="24"/>
              </w:rPr>
              <w:t>答疑会或</w:t>
            </w:r>
            <w:r>
              <w:rPr>
                <w:rFonts w:hint="eastAsia" w:asciiTheme="majorEastAsia" w:hAnsiTheme="majorEastAsia" w:eastAsiaTheme="majorEastAsia" w:cstheme="majorEastAsia"/>
                <w:sz w:val="24"/>
              </w:rPr>
              <w:t>现场踏勘</w:t>
            </w:r>
          </w:p>
        </w:tc>
        <w:tc>
          <w:tcPr>
            <w:tcW w:w="5780" w:type="dxa"/>
            <w:tcBorders>
              <w:top w:val="single" w:color="auto" w:sz="4" w:space="0"/>
              <w:left w:val="single" w:color="auto" w:sz="4" w:space="0"/>
              <w:bottom w:val="single" w:color="auto" w:sz="4" w:space="0"/>
              <w:right w:val="single" w:color="auto" w:sz="4" w:space="0"/>
            </w:tcBorders>
            <w:vAlign w:val="center"/>
          </w:tcPr>
          <w:p>
            <w:pPr>
              <w:spacing w:line="360" w:lineRule="auto"/>
              <w:jc w:val="both"/>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不组织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3</w:t>
            </w:r>
          </w:p>
        </w:tc>
        <w:tc>
          <w:tcPr>
            <w:tcW w:w="26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投标文件包装要求</w:t>
            </w:r>
          </w:p>
        </w:tc>
        <w:tc>
          <w:tcPr>
            <w:tcW w:w="5780" w:type="dxa"/>
            <w:tcBorders>
              <w:top w:val="single" w:color="auto" w:sz="4" w:space="0"/>
              <w:left w:val="single" w:color="auto" w:sz="4" w:space="0"/>
              <w:bottom w:val="single" w:color="auto" w:sz="4" w:space="0"/>
              <w:right w:val="single" w:color="auto" w:sz="4" w:space="0"/>
            </w:tcBorders>
            <w:vAlign w:val="center"/>
          </w:tcPr>
          <w:p>
            <w:pPr>
              <w:spacing w:line="360" w:lineRule="auto"/>
              <w:jc w:val="both"/>
              <w:rPr>
                <w:rFonts w:asciiTheme="majorEastAsia" w:hAnsiTheme="majorEastAsia" w:eastAsiaTheme="majorEastAsia" w:cstheme="majorEastAsia"/>
                <w:sz w:val="24"/>
              </w:rPr>
            </w:pPr>
            <w:r>
              <w:rPr>
                <w:rFonts w:asciiTheme="majorEastAsia" w:hAnsiTheme="majorEastAsia" w:eastAsiaTheme="majorEastAsia" w:cstheme="majorEastAsia"/>
                <w:sz w:val="24"/>
              </w:rPr>
              <w:t>资格证明文件共</w:t>
            </w:r>
            <w:r>
              <w:rPr>
                <w:rFonts w:asciiTheme="majorEastAsia" w:hAnsiTheme="majorEastAsia" w:eastAsiaTheme="majorEastAsia" w:cstheme="majorEastAsia"/>
                <w:sz w:val="24"/>
                <w:u w:val="single"/>
              </w:rPr>
              <w:t xml:space="preserve"> 2 </w:t>
            </w:r>
            <w:r>
              <w:rPr>
                <w:rFonts w:asciiTheme="majorEastAsia" w:hAnsiTheme="majorEastAsia" w:eastAsiaTheme="majorEastAsia" w:cstheme="majorEastAsia"/>
                <w:sz w:val="24"/>
              </w:rPr>
              <w:t>份（一正本一副本，封装成一袋），商务与技术文件共</w:t>
            </w:r>
            <w:r>
              <w:rPr>
                <w:rFonts w:asciiTheme="majorEastAsia" w:hAnsiTheme="majorEastAsia" w:eastAsiaTheme="majorEastAsia" w:cstheme="majorEastAsia"/>
                <w:sz w:val="24"/>
                <w:u w:val="single"/>
              </w:rPr>
              <w:t xml:space="preserve"> 5 </w:t>
            </w:r>
            <w:r>
              <w:rPr>
                <w:rFonts w:asciiTheme="majorEastAsia" w:hAnsiTheme="majorEastAsia" w:eastAsiaTheme="majorEastAsia" w:cstheme="majorEastAsia"/>
                <w:sz w:val="24"/>
              </w:rPr>
              <w:t>份（一正本四副本，封装成一袋），报价文件共</w:t>
            </w:r>
            <w:r>
              <w:rPr>
                <w:rFonts w:asciiTheme="majorEastAsia" w:hAnsiTheme="majorEastAsia" w:eastAsiaTheme="majorEastAsia" w:cstheme="majorEastAsia"/>
                <w:sz w:val="24"/>
                <w:u w:val="single"/>
              </w:rPr>
              <w:t xml:space="preserve"> 5 </w:t>
            </w:r>
            <w:r>
              <w:rPr>
                <w:rFonts w:asciiTheme="majorEastAsia" w:hAnsiTheme="majorEastAsia" w:eastAsiaTheme="majorEastAsia" w:cstheme="majorEastAsia"/>
                <w:sz w:val="24"/>
              </w:rPr>
              <w:t>份（一正本四副本，封装成一袋），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4</w:t>
            </w:r>
          </w:p>
        </w:tc>
        <w:tc>
          <w:tcPr>
            <w:tcW w:w="26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投标有效期</w:t>
            </w:r>
          </w:p>
        </w:tc>
        <w:tc>
          <w:tcPr>
            <w:tcW w:w="5780" w:type="dxa"/>
            <w:tcBorders>
              <w:top w:val="single" w:color="auto" w:sz="4" w:space="0"/>
              <w:left w:val="single" w:color="auto" w:sz="4" w:space="0"/>
              <w:bottom w:val="single" w:color="auto" w:sz="4" w:space="0"/>
              <w:right w:val="single" w:color="auto" w:sz="4" w:space="0"/>
            </w:tcBorders>
            <w:vAlign w:val="center"/>
          </w:tcPr>
          <w:p>
            <w:pPr>
              <w:spacing w:line="360" w:lineRule="auto"/>
              <w:jc w:val="both"/>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投标有效期为开标后90天，</w:t>
            </w:r>
            <w:r>
              <w:rPr>
                <w:rFonts w:hint="eastAsia" w:asciiTheme="majorEastAsia" w:hAnsiTheme="majorEastAsia" w:eastAsiaTheme="majorEastAsia" w:cstheme="majorEastAsia"/>
                <w:kern w:val="0"/>
                <w:sz w:val="24"/>
              </w:rPr>
              <w:t>投标有效期从提交投标文件的截止之日起算。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5</w:t>
            </w:r>
          </w:p>
        </w:tc>
        <w:tc>
          <w:tcPr>
            <w:tcW w:w="26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投标文件递交</w:t>
            </w:r>
          </w:p>
        </w:tc>
        <w:tc>
          <w:tcPr>
            <w:tcW w:w="5780" w:type="dxa"/>
            <w:tcBorders>
              <w:top w:val="single" w:color="auto" w:sz="4" w:space="0"/>
              <w:left w:val="single" w:color="auto" w:sz="4" w:space="0"/>
              <w:bottom w:val="single" w:color="auto" w:sz="4" w:space="0"/>
              <w:right w:val="single" w:color="auto" w:sz="4" w:space="0"/>
            </w:tcBorders>
            <w:vAlign w:val="center"/>
          </w:tcPr>
          <w:p>
            <w:pPr>
              <w:spacing w:line="360" w:lineRule="auto"/>
              <w:jc w:val="both"/>
              <w:rPr>
                <w:rFonts w:hint="eastAsia" w:ascii="宋体" w:hAnsi="宋体" w:cs="宋体"/>
                <w:sz w:val="24"/>
                <w:lang w:val="en-US" w:eastAsia="zh-CN"/>
              </w:rPr>
            </w:pPr>
            <w:r>
              <w:rPr>
                <w:rFonts w:hint="eastAsia" w:asciiTheme="majorEastAsia" w:hAnsiTheme="majorEastAsia" w:eastAsiaTheme="majorEastAsia" w:cstheme="majorEastAsia"/>
                <w:sz w:val="24"/>
              </w:rPr>
              <w:t>截止时间：北京时间20</w:t>
            </w:r>
            <w:r>
              <w:rPr>
                <w:rFonts w:hint="eastAsia" w:ascii="宋体" w:hAnsi="宋体" w:cs="Arial"/>
                <w:sz w:val="24"/>
              </w:rPr>
              <w:t>19</w:t>
            </w:r>
            <w:r>
              <w:rPr>
                <w:rFonts w:hint="eastAsia" w:ascii="宋体" w:hAnsi="宋体" w:cs="宋体"/>
                <w:sz w:val="24"/>
              </w:rPr>
              <w:t>年</w:t>
            </w:r>
            <w:r>
              <w:rPr>
                <w:rFonts w:hint="eastAsia" w:ascii="宋体" w:hAnsi="宋体" w:cs="Arial"/>
                <w:sz w:val="24"/>
                <w:lang w:val="en-US" w:eastAsia="zh-CN"/>
              </w:rPr>
              <w:t>09</w:t>
            </w:r>
            <w:r>
              <w:rPr>
                <w:rFonts w:hint="eastAsia" w:ascii="宋体" w:hAnsi="宋体" w:cs="Arial"/>
                <w:sz w:val="24"/>
              </w:rPr>
              <w:t>月</w:t>
            </w:r>
            <w:r>
              <w:rPr>
                <w:rFonts w:hint="eastAsia" w:ascii="宋体" w:hAnsi="宋体" w:cs="Arial"/>
                <w:sz w:val="24"/>
                <w:lang w:val="en-US" w:eastAsia="zh-CN"/>
              </w:rPr>
              <w:t>16</w:t>
            </w:r>
            <w:r>
              <w:rPr>
                <w:rFonts w:hint="eastAsia" w:ascii="宋体" w:hAnsi="宋体" w:cs="Arial"/>
                <w:sz w:val="24"/>
              </w:rPr>
              <w:t>日</w:t>
            </w:r>
            <w:r>
              <w:rPr>
                <w:rFonts w:hint="eastAsia" w:ascii="宋体" w:hAnsi="宋体" w:cs="Arial"/>
                <w:sz w:val="24"/>
                <w:lang w:val="en-US" w:eastAsia="zh-CN"/>
              </w:rPr>
              <w:t>09</w:t>
            </w:r>
            <w:r>
              <w:rPr>
                <w:rFonts w:hint="eastAsia" w:ascii="宋体" w:hAnsi="宋体" w:cs="宋体"/>
                <w:sz w:val="24"/>
              </w:rPr>
              <w:t>:</w:t>
            </w:r>
            <w:r>
              <w:rPr>
                <w:rFonts w:hint="eastAsia" w:ascii="宋体" w:hAnsi="宋体" w:cs="宋体"/>
                <w:sz w:val="24"/>
                <w:lang w:val="en-US" w:eastAsia="zh-CN"/>
              </w:rPr>
              <w:t>00</w:t>
            </w:r>
          </w:p>
          <w:p>
            <w:pPr>
              <w:spacing w:line="360" w:lineRule="auto"/>
              <w:jc w:val="both"/>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递交地点：</w:t>
            </w:r>
            <w:r>
              <w:rPr>
                <w:rFonts w:asciiTheme="majorEastAsia" w:hAnsiTheme="majorEastAsia" w:eastAsiaTheme="majorEastAsia" w:cstheme="majorEastAsia"/>
                <w:sz w:val="24"/>
              </w:rPr>
              <w:t>三门县公共资源交易中心</w:t>
            </w:r>
          </w:p>
          <w:p>
            <w:pPr>
              <w:spacing w:line="360" w:lineRule="auto"/>
              <w:jc w:val="both"/>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逾期送达的投标文件恕不接受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6</w:t>
            </w:r>
          </w:p>
        </w:tc>
        <w:tc>
          <w:tcPr>
            <w:tcW w:w="26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开标时间及地点</w:t>
            </w:r>
          </w:p>
        </w:tc>
        <w:tc>
          <w:tcPr>
            <w:tcW w:w="5780" w:type="dxa"/>
            <w:tcBorders>
              <w:top w:val="single" w:color="auto" w:sz="4" w:space="0"/>
              <w:left w:val="single" w:color="auto" w:sz="4" w:space="0"/>
              <w:bottom w:val="single" w:color="auto" w:sz="4" w:space="0"/>
              <w:right w:val="single" w:color="auto" w:sz="4" w:space="0"/>
            </w:tcBorders>
            <w:vAlign w:val="center"/>
          </w:tcPr>
          <w:p>
            <w:pPr>
              <w:spacing w:line="360" w:lineRule="auto"/>
              <w:jc w:val="both"/>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时间：北京时间20</w:t>
            </w:r>
            <w:r>
              <w:rPr>
                <w:rFonts w:hint="eastAsia" w:ascii="宋体" w:hAnsi="宋体" w:cs="Arial"/>
                <w:sz w:val="24"/>
              </w:rPr>
              <w:t>19</w:t>
            </w:r>
            <w:r>
              <w:rPr>
                <w:rFonts w:hint="eastAsia" w:ascii="宋体" w:hAnsi="宋体" w:cs="宋体"/>
                <w:sz w:val="24"/>
              </w:rPr>
              <w:t>年</w:t>
            </w:r>
            <w:r>
              <w:rPr>
                <w:rFonts w:hint="eastAsia" w:ascii="宋体" w:hAnsi="宋体" w:cs="Arial"/>
                <w:sz w:val="24"/>
                <w:lang w:val="en-US" w:eastAsia="zh-CN"/>
              </w:rPr>
              <w:t>09</w:t>
            </w:r>
            <w:r>
              <w:rPr>
                <w:rFonts w:hint="eastAsia" w:ascii="宋体" w:hAnsi="宋体" w:cs="Arial"/>
                <w:sz w:val="24"/>
              </w:rPr>
              <w:t>月</w:t>
            </w:r>
            <w:r>
              <w:rPr>
                <w:rFonts w:hint="eastAsia" w:ascii="宋体" w:hAnsi="宋体" w:cs="Arial"/>
                <w:sz w:val="24"/>
                <w:lang w:val="en-US" w:eastAsia="zh-CN"/>
              </w:rPr>
              <w:t>16</w:t>
            </w:r>
            <w:r>
              <w:rPr>
                <w:rFonts w:hint="eastAsia" w:ascii="宋体" w:hAnsi="宋体" w:cs="Arial"/>
                <w:sz w:val="24"/>
              </w:rPr>
              <w:t>日</w:t>
            </w:r>
            <w:r>
              <w:rPr>
                <w:rFonts w:hint="eastAsia" w:ascii="宋体" w:hAnsi="宋体" w:cs="Arial"/>
                <w:sz w:val="24"/>
                <w:lang w:val="en-US" w:eastAsia="zh-CN"/>
              </w:rPr>
              <w:t>09</w:t>
            </w:r>
            <w:r>
              <w:rPr>
                <w:rFonts w:hint="eastAsia" w:ascii="宋体" w:hAnsi="宋体" w:cs="宋体"/>
                <w:sz w:val="24"/>
              </w:rPr>
              <w:t>:</w:t>
            </w:r>
            <w:r>
              <w:rPr>
                <w:rFonts w:hint="eastAsia" w:ascii="宋体" w:hAnsi="宋体" w:cs="宋体"/>
                <w:sz w:val="24"/>
                <w:lang w:val="en-US" w:eastAsia="zh-CN"/>
              </w:rPr>
              <w:t>00</w:t>
            </w:r>
          </w:p>
          <w:p>
            <w:pPr>
              <w:spacing w:line="360" w:lineRule="auto"/>
              <w:jc w:val="both"/>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地点：三门</w:t>
            </w:r>
            <w:r>
              <w:rPr>
                <w:rFonts w:asciiTheme="majorEastAsia" w:hAnsiTheme="majorEastAsia" w:eastAsiaTheme="majorEastAsia" w:cstheme="majorEastAsia"/>
                <w:sz w:val="24"/>
              </w:rPr>
              <w:t>县公共资源交易中心</w:t>
            </w:r>
            <w:r>
              <w:rPr>
                <w:rFonts w:hint="eastAsia" w:asciiTheme="majorEastAsia" w:hAnsiTheme="majorEastAsia" w:eastAsiaTheme="majorEastAsia" w:cstheme="majorEastAsia"/>
                <w:sz w:val="24"/>
              </w:rPr>
              <w:t>开标室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7</w:t>
            </w:r>
          </w:p>
        </w:tc>
        <w:tc>
          <w:tcPr>
            <w:tcW w:w="26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sz w:val="24"/>
                <w:lang w:eastAsia="zh-CN"/>
              </w:rPr>
            </w:pPr>
            <w:r>
              <w:rPr>
                <w:rFonts w:hint="eastAsia" w:asciiTheme="majorEastAsia" w:hAnsiTheme="majorEastAsia" w:eastAsiaTheme="majorEastAsia" w:cstheme="majorEastAsia"/>
                <w:sz w:val="24"/>
                <w:lang w:eastAsia="zh-CN"/>
              </w:rPr>
              <w:t>服务期</w:t>
            </w:r>
          </w:p>
        </w:tc>
        <w:tc>
          <w:tcPr>
            <w:tcW w:w="5780" w:type="dxa"/>
            <w:tcBorders>
              <w:top w:val="single" w:color="auto" w:sz="4" w:space="0"/>
              <w:left w:val="single" w:color="auto" w:sz="4" w:space="0"/>
              <w:bottom w:val="single" w:color="auto" w:sz="4" w:space="0"/>
              <w:right w:val="single" w:color="auto" w:sz="4" w:space="0"/>
            </w:tcBorders>
            <w:vAlign w:val="center"/>
          </w:tcPr>
          <w:p>
            <w:pPr>
              <w:spacing w:line="360" w:lineRule="auto"/>
              <w:jc w:val="both"/>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color w:val="auto"/>
                <w:sz w:val="24"/>
              </w:rPr>
              <w:t>在</w:t>
            </w:r>
            <w:r>
              <w:rPr>
                <w:rFonts w:hint="eastAsia" w:asciiTheme="majorEastAsia" w:hAnsiTheme="majorEastAsia" w:eastAsiaTheme="majorEastAsia" w:cstheme="majorEastAsia"/>
                <w:color w:val="auto"/>
                <w:sz w:val="24"/>
                <w:lang w:val="en-US" w:eastAsia="zh-CN"/>
              </w:rPr>
              <w:t>2019年10月03日前</w:t>
            </w:r>
            <w:r>
              <w:rPr>
                <w:rFonts w:hint="eastAsia" w:asciiTheme="majorEastAsia" w:hAnsiTheme="majorEastAsia" w:eastAsiaTheme="majorEastAsia" w:cstheme="majorEastAsia"/>
                <w:sz w:val="24"/>
              </w:rPr>
              <w:t>完成产品的供货、安装、调试</w:t>
            </w:r>
            <w:r>
              <w:rPr>
                <w:rFonts w:hint="eastAsia" w:asciiTheme="majorEastAsia" w:hAnsiTheme="majorEastAsia" w:eastAsiaTheme="majorEastAsia" w:cstheme="majorEastAsia"/>
                <w:sz w:val="24"/>
                <w:lang w:eastAsia="zh-CN"/>
              </w:rPr>
              <w:t>等</w:t>
            </w:r>
            <w:r>
              <w:rPr>
                <w:rFonts w:hint="eastAsia" w:asciiTheme="majorEastAsia" w:hAnsiTheme="majorEastAsia" w:eastAsiaTheme="majorEastAsia" w:cstheme="major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 w:hRule="atLeast"/>
          <w:jc w:val="center"/>
        </w:trPr>
        <w:tc>
          <w:tcPr>
            <w:tcW w:w="7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8</w:t>
            </w:r>
          </w:p>
        </w:tc>
        <w:tc>
          <w:tcPr>
            <w:tcW w:w="26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投标保证金</w:t>
            </w:r>
          </w:p>
        </w:tc>
        <w:tc>
          <w:tcPr>
            <w:tcW w:w="578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cs="宋体"/>
                <w:kern w:val="0"/>
                <w:sz w:val="24"/>
              </w:rPr>
            </w:pPr>
            <w:r>
              <w:rPr>
                <w:rFonts w:hint="eastAsia" w:ascii="宋体" w:hAnsi="宋体" w:cs="宋体"/>
                <w:kern w:val="0"/>
                <w:sz w:val="24"/>
              </w:rPr>
              <w:t>1、投标保证金的形式：现金，在递交投标文件的同时递交。</w:t>
            </w:r>
          </w:p>
          <w:p>
            <w:pPr>
              <w:snapToGrid w:val="0"/>
              <w:spacing w:line="360" w:lineRule="auto"/>
              <w:rPr>
                <w:rFonts w:hint="eastAsia" w:ascii="宋体" w:hAnsi="宋体" w:cs="宋体"/>
                <w:kern w:val="0"/>
                <w:sz w:val="24"/>
              </w:rPr>
            </w:pPr>
            <w:r>
              <w:rPr>
                <w:rFonts w:hint="eastAsia" w:ascii="宋体" w:hAnsi="宋体" w:cs="宋体"/>
                <w:kern w:val="0"/>
                <w:sz w:val="24"/>
              </w:rPr>
              <w:t>2、投标保证金金额：</w:t>
            </w:r>
            <w:r>
              <w:rPr>
                <w:rFonts w:hint="eastAsia" w:ascii="宋体" w:hAnsi="宋体" w:cs="宋体"/>
                <w:kern w:val="0"/>
                <w:sz w:val="24"/>
                <w:lang w:val="en-US" w:eastAsia="zh-CN"/>
              </w:rPr>
              <w:t>6000</w:t>
            </w:r>
            <w:r>
              <w:rPr>
                <w:rFonts w:hint="eastAsia" w:ascii="宋体" w:hAnsi="宋体" w:cs="宋体"/>
                <w:kern w:val="0"/>
                <w:sz w:val="24"/>
              </w:rPr>
              <w:t>元整；</w:t>
            </w:r>
          </w:p>
          <w:p>
            <w:pPr>
              <w:snapToGrid w:val="0"/>
              <w:spacing w:line="360" w:lineRule="auto"/>
              <w:rPr>
                <w:rFonts w:hint="eastAsia" w:ascii="宋体" w:hAnsi="宋体" w:cs="宋体"/>
                <w:kern w:val="0"/>
                <w:sz w:val="24"/>
              </w:rPr>
            </w:pPr>
            <w:r>
              <w:rPr>
                <w:rFonts w:hint="eastAsia" w:ascii="宋体" w:hAnsi="宋体" w:cs="宋体"/>
                <w:kern w:val="0"/>
                <w:sz w:val="24"/>
              </w:rPr>
              <w:t>3、投标保证金缴纳截止时间：</w:t>
            </w:r>
            <w:r>
              <w:rPr>
                <w:rFonts w:hint="eastAsia" w:asciiTheme="majorEastAsia" w:hAnsiTheme="majorEastAsia" w:eastAsiaTheme="majorEastAsia" w:cstheme="majorEastAsia"/>
                <w:sz w:val="24"/>
              </w:rPr>
              <w:t>北京时间20</w:t>
            </w:r>
            <w:r>
              <w:rPr>
                <w:rFonts w:hint="eastAsia" w:ascii="宋体" w:hAnsi="宋体" w:cs="Arial"/>
                <w:sz w:val="24"/>
              </w:rPr>
              <w:t>19</w:t>
            </w:r>
            <w:r>
              <w:rPr>
                <w:rFonts w:hint="eastAsia" w:ascii="宋体" w:hAnsi="宋体" w:cs="宋体"/>
                <w:sz w:val="24"/>
              </w:rPr>
              <w:t>年</w:t>
            </w:r>
            <w:r>
              <w:rPr>
                <w:rFonts w:hint="eastAsia" w:ascii="宋体" w:hAnsi="宋体" w:cs="Arial"/>
                <w:sz w:val="24"/>
                <w:lang w:val="en-US" w:eastAsia="zh-CN"/>
              </w:rPr>
              <w:t>09</w:t>
            </w:r>
            <w:r>
              <w:rPr>
                <w:rFonts w:hint="eastAsia" w:ascii="宋体" w:hAnsi="宋体" w:cs="Arial"/>
                <w:sz w:val="24"/>
              </w:rPr>
              <w:t>月</w:t>
            </w:r>
            <w:r>
              <w:rPr>
                <w:rFonts w:hint="eastAsia" w:ascii="宋体" w:hAnsi="宋体" w:cs="Arial"/>
                <w:sz w:val="24"/>
                <w:lang w:val="en-US" w:eastAsia="zh-CN"/>
              </w:rPr>
              <w:t>16</w:t>
            </w:r>
            <w:r>
              <w:rPr>
                <w:rFonts w:hint="eastAsia" w:ascii="宋体" w:hAnsi="宋体" w:cs="Arial"/>
                <w:sz w:val="24"/>
              </w:rPr>
              <w:t>日</w:t>
            </w:r>
            <w:r>
              <w:rPr>
                <w:rFonts w:hint="eastAsia" w:ascii="宋体" w:hAnsi="宋体" w:cs="Arial"/>
                <w:sz w:val="24"/>
                <w:lang w:val="en-US" w:eastAsia="zh-CN"/>
              </w:rPr>
              <w:t>09</w:t>
            </w:r>
            <w:r>
              <w:rPr>
                <w:rFonts w:hint="eastAsia" w:ascii="宋体" w:hAnsi="宋体" w:cs="宋体"/>
                <w:sz w:val="24"/>
              </w:rPr>
              <w:t>:</w:t>
            </w:r>
            <w:r>
              <w:rPr>
                <w:rFonts w:hint="eastAsia" w:ascii="宋体" w:hAnsi="宋体" w:cs="宋体"/>
                <w:sz w:val="24"/>
                <w:lang w:val="en-US" w:eastAsia="zh-CN"/>
              </w:rPr>
              <w:t>00</w:t>
            </w:r>
          </w:p>
          <w:p>
            <w:pPr>
              <w:snapToGrid w:val="0"/>
              <w:spacing w:line="360" w:lineRule="auto"/>
              <w:rPr>
                <w:rFonts w:asciiTheme="majorEastAsia" w:hAnsiTheme="majorEastAsia" w:eastAsiaTheme="majorEastAsia" w:cstheme="majorEastAsia"/>
                <w:sz w:val="24"/>
              </w:rPr>
            </w:pPr>
            <w:r>
              <w:rPr>
                <w:rFonts w:hint="eastAsia" w:ascii="宋体" w:hAnsi="宋体" w:cs="宋体"/>
                <w:kern w:val="0"/>
                <w:sz w:val="24"/>
              </w:rPr>
              <w:t>4、投标保证金的有效期：同投标有效期。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7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9</w:t>
            </w:r>
          </w:p>
        </w:tc>
        <w:tc>
          <w:tcPr>
            <w:tcW w:w="26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履约保证金</w:t>
            </w:r>
          </w:p>
        </w:tc>
        <w:tc>
          <w:tcPr>
            <w:tcW w:w="5780" w:type="dxa"/>
            <w:tcBorders>
              <w:top w:val="single" w:color="auto" w:sz="4" w:space="0"/>
              <w:left w:val="single" w:color="auto" w:sz="4" w:space="0"/>
              <w:bottom w:val="single" w:color="auto" w:sz="4" w:space="0"/>
              <w:right w:val="single" w:color="auto" w:sz="4" w:space="0"/>
            </w:tcBorders>
            <w:vAlign w:val="center"/>
          </w:tcPr>
          <w:p>
            <w:pPr>
              <w:pStyle w:val="12"/>
              <w:spacing w:line="360" w:lineRule="auto"/>
              <w:ind w:left="0" w:leftChars="0"/>
              <w:jc w:val="both"/>
              <w:rPr>
                <w:rFonts w:asciiTheme="majorEastAsia" w:hAnsiTheme="majorEastAsia" w:eastAsiaTheme="majorEastAsia" w:cstheme="majorEastAsia"/>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10</w:t>
            </w:r>
          </w:p>
        </w:tc>
        <w:tc>
          <w:tcPr>
            <w:tcW w:w="261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实质性条款</w:t>
            </w:r>
          </w:p>
        </w:tc>
        <w:tc>
          <w:tcPr>
            <w:tcW w:w="5780" w:type="dxa"/>
            <w:tcBorders>
              <w:top w:val="single" w:color="auto" w:sz="4" w:space="0"/>
              <w:left w:val="single" w:color="auto" w:sz="4" w:space="0"/>
              <w:bottom w:val="single" w:color="auto" w:sz="4" w:space="0"/>
              <w:right w:val="single" w:color="auto" w:sz="4" w:space="0"/>
            </w:tcBorders>
            <w:vAlign w:val="center"/>
          </w:tcPr>
          <w:p>
            <w:pPr>
              <w:pStyle w:val="12"/>
              <w:spacing w:line="360" w:lineRule="auto"/>
              <w:ind w:left="0" w:leftChars="0"/>
              <w:jc w:val="both"/>
              <w:rPr>
                <w:rFonts w:ascii="宋体" w:hAnsi="宋体" w:eastAsia="宋体" w:cs="宋体"/>
                <w:sz w:val="24"/>
                <w:szCs w:val="24"/>
              </w:rPr>
            </w:pPr>
            <w:r>
              <w:rPr>
                <w:rFonts w:hint="eastAsia" w:ascii="宋体" w:hAnsi="宋体" w:eastAsia="宋体" w:cs="宋体"/>
                <w:sz w:val="24"/>
                <w:szCs w:val="24"/>
              </w:rPr>
              <w:t>带“▲”的条款是实质性条款，投标文件须作出实质性响应，否则作无效投标处理。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11</w:t>
            </w:r>
          </w:p>
        </w:tc>
        <w:tc>
          <w:tcPr>
            <w:tcW w:w="261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ascii="宋体" w:hAnsi="宋体"/>
                <w:bCs/>
                <w:szCs w:val="21"/>
              </w:rPr>
            </w:pPr>
            <w:r>
              <w:rPr>
                <w:rFonts w:hint="eastAsia" w:ascii="宋体" w:hAnsi="宋体"/>
                <w:bCs/>
                <w:szCs w:val="21"/>
              </w:rPr>
              <w:t>开标顺序</w:t>
            </w:r>
          </w:p>
        </w:tc>
        <w:tc>
          <w:tcPr>
            <w:tcW w:w="578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both"/>
              <w:rPr>
                <w:rFonts w:ascii="宋体" w:hAnsi="宋体"/>
                <w:b/>
                <w:sz w:val="24"/>
              </w:rPr>
            </w:pPr>
            <w:r>
              <w:rPr>
                <w:rFonts w:hint="eastAsia" w:ascii="宋体" w:hAnsi="宋体"/>
                <w:b/>
                <w:sz w:val="24"/>
              </w:rPr>
              <w:t>先开资格证明文件和商务与技术文件，待资格证明文件和商务与技术文件评审结果公布后，再开报价文件。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Theme="majorEastAsia" w:hAnsiTheme="majorEastAsia" w:eastAsiaTheme="majorEastAsia" w:cstheme="majorEastAsia"/>
                <w:sz w:val="24"/>
                <w:lang w:val="en-US" w:eastAsia="zh-CN"/>
              </w:rPr>
            </w:pPr>
            <w:r>
              <w:rPr>
                <w:rFonts w:hint="eastAsia" w:asciiTheme="majorEastAsia" w:hAnsiTheme="majorEastAsia" w:eastAsiaTheme="majorEastAsia" w:cstheme="majorEastAsia"/>
                <w:sz w:val="24"/>
                <w:lang w:val="en-US" w:eastAsia="zh-CN"/>
              </w:rPr>
              <w:t>12</w:t>
            </w:r>
          </w:p>
        </w:tc>
        <w:tc>
          <w:tcPr>
            <w:tcW w:w="261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解释权</w:t>
            </w:r>
          </w:p>
        </w:tc>
        <w:tc>
          <w:tcPr>
            <w:tcW w:w="578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both"/>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本招标文件解释权属于采购人和</w:t>
            </w:r>
            <w:r>
              <w:rPr>
                <w:rFonts w:hint="eastAsia" w:cs="Arial" w:asciiTheme="minorEastAsia" w:hAnsiTheme="minorEastAsia" w:eastAsiaTheme="minorEastAsia"/>
                <w:sz w:val="24"/>
              </w:rPr>
              <w:t>采购代理机构</w:t>
            </w:r>
          </w:p>
        </w:tc>
      </w:tr>
    </w:tbl>
    <w:p>
      <w:pPr>
        <w:pStyle w:val="11"/>
        <w:snapToGrid w:val="0"/>
        <w:spacing w:before="120" w:after="120" w:line="360" w:lineRule="auto"/>
        <w:rPr>
          <w:rFonts w:asciiTheme="minorEastAsia" w:hAnsiTheme="minorEastAsia" w:eastAsiaTheme="minorEastAsia"/>
          <w:b/>
          <w:sz w:val="24"/>
        </w:rPr>
      </w:pPr>
      <w:r>
        <w:rPr>
          <w:rFonts w:hint="eastAsia" w:asciiTheme="minorEastAsia" w:hAnsiTheme="minorEastAsia" w:eastAsiaTheme="minorEastAsia"/>
          <w:b/>
          <w:sz w:val="24"/>
        </w:rPr>
        <w:t>一 、总  则</w:t>
      </w:r>
    </w:p>
    <w:p>
      <w:pPr>
        <w:snapToGrid w:val="0"/>
        <w:spacing w:line="360" w:lineRule="auto"/>
        <w:ind w:firstLine="472" w:firstLineChars="196"/>
        <w:jc w:val="left"/>
        <w:outlineLvl w:val="1"/>
        <w:rPr>
          <w:rFonts w:asciiTheme="minorEastAsia" w:hAnsiTheme="minorEastAsia" w:eastAsiaTheme="minorEastAsia"/>
          <w:b/>
          <w:sz w:val="24"/>
        </w:rPr>
      </w:pPr>
      <w:r>
        <w:rPr>
          <w:rFonts w:hint="eastAsia" w:asciiTheme="minorEastAsia" w:hAnsiTheme="minorEastAsia" w:eastAsiaTheme="minorEastAsia"/>
          <w:b/>
          <w:sz w:val="24"/>
        </w:rPr>
        <w:t>（一）</w:t>
      </w:r>
      <w:r>
        <w:rPr>
          <w:rFonts w:asciiTheme="minorEastAsia" w:hAnsiTheme="minorEastAsia" w:eastAsiaTheme="minorEastAsia"/>
          <w:b/>
          <w:sz w:val="24"/>
        </w:rPr>
        <w:t xml:space="preserve"> 适用范围</w:t>
      </w:r>
    </w:p>
    <w:p>
      <w:pPr>
        <w:snapToGrid w:val="0"/>
        <w:spacing w:line="360" w:lineRule="auto"/>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本招标文件适用于</w:t>
      </w:r>
      <w:r>
        <w:rPr>
          <w:rFonts w:hint="eastAsia" w:asciiTheme="minorEastAsia" w:hAnsiTheme="minorEastAsia" w:eastAsiaTheme="minorEastAsia"/>
          <w:bCs/>
          <w:sz w:val="24"/>
        </w:rPr>
        <w:t>本次</w:t>
      </w:r>
      <w:r>
        <w:rPr>
          <w:rFonts w:hint="eastAsia" w:asciiTheme="minorEastAsia" w:hAnsiTheme="minorEastAsia" w:eastAsiaTheme="minorEastAsia"/>
          <w:sz w:val="24"/>
        </w:rPr>
        <w:t>项目的招标、投标、评标、定标、验收、合同履约、付款等行为（法律、法规另有规定的，从其规定）。</w:t>
      </w:r>
    </w:p>
    <w:p>
      <w:pPr>
        <w:snapToGrid w:val="0"/>
        <w:spacing w:before="156" w:beforeLines="50" w:line="360" w:lineRule="auto"/>
        <w:ind w:firstLine="354" w:firstLineChars="147"/>
        <w:jc w:val="left"/>
        <w:outlineLvl w:val="1"/>
        <w:rPr>
          <w:rFonts w:asciiTheme="minorEastAsia" w:hAnsiTheme="minorEastAsia" w:eastAsiaTheme="minorEastAsia"/>
          <w:b/>
          <w:sz w:val="24"/>
        </w:rPr>
      </w:pPr>
      <w:r>
        <w:rPr>
          <w:rFonts w:hint="eastAsia" w:asciiTheme="minorEastAsia" w:hAnsiTheme="minorEastAsia" w:eastAsiaTheme="minorEastAsia"/>
          <w:b/>
          <w:sz w:val="24"/>
        </w:rPr>
        <w:t>（二）定义</w:t>
      </w:r>
    </w:p>
    <w:p>
      <w:pPr>
        <w:pStyle w:val="5"/>
        <w:keepNext w:val="0"/>
        <w:keepLines w:val="0"/>
        <w:tabs>
          <w:tab w:val="left" w:pos="0"/>
          <w:tab w:val="left" w:pos="851"/>
        </w:tabs>
        <w:autoSpaceDE w:val="0"/>
        <w:autoSpaceDN w:val="0"/>
        <w:adjustRightInd w:val="0"/>
        <w:snapToGrid w:val="0"/>
        <w:spacing w:before="0" w:after="0"/>
        <w:ind w:firstLine="566" w:firstLineChars="236"/>
        <w:jc w:val="left"/>
        <w:rPr>
          <w:rFonts w:asciiTheme="minorEastAsia" w:hAnsiTheme="minorEastAsia" w:eastAsiaTheme="minorEastAsia"/>
          <w:b w:val="0"/>
          <w:bCs w:val="0"/>
          <w:sz w:val="24"/>
          <w:szCs w:val="24"/>
        </w:rPr>
      </w:pPr>
      <w:r>
        <w:rPr>
          <w:rFonts w:hint="eastAsia" w:asciiTheme="minorEastAsia" w:hAnsiTheme="minorEastAsia" w:eastAsiaTheme="minorEastAsia"/>
          <w:b w:val="0"/>
          <w:sz w:val="24"/>
          <w:szCs w:val="24"/>
        </w:rPr>
        <w:t>1、</w:t>
      </w:r>
      <w:r>
        <w:rPr>
          <w:rFonts w:hint="eastAsia" w:ascii="宋体" w:hAnsi="宋体"/>
          <w:b w:val="0"/>
          <w:bCs w:val="0"/>
          <w:sz w:val="24"/>
          <w:szCs w:val="24"/>
          <w:lang w:val="zh-CN"/>
        </w:rPr>
        <w:t>“采购组织机构”指采购人委托组织招标的采购代理机构。</w:t>
      </w:r>
    </w:p>
    <w:p>
      <w:pPr>
        <w:snapToGrid w:val="0"/>
        <w:spacing w:line="360" w:lineRule="auto"/>
        <w:ind w:firstLine="566" w:firstLineChars="236"/>
        <w:rPr>
          <w:rFonts w:asciiTheme="minorEastAsia" w:hAnsiTheme="minorEastAsia" w:eastAsiaTheme="minorEastAsia"/>
          <w:sz w:val="24"/>
        </w:rPr>
      </w:pPr>
      <w:r>
        <w:rPr>
          <w:rFonts w:hint="eastAsia" w:asciiTheme="minorEastAsia" w:hAnsiTheme="minorEastAsia" w:eastAsiaTheme="minorEastAsia"/>
          <w:sz w:val="24"/>
        </w:rPr>
        <w:t>2、采购人：是指委托采购代理机构采购本次项目的国家机关、事业单位和团体组织。</w:t>
      </w:r>
    </w:p>
    <w:p>
      <w:pPr>
        <w:snapToGrid w:val="0"/>
        <w:spacing w:line="360" w:lineRule="auto"/>
        <w:ind w:left="424" w:leftChars="202" w:firstLine="141" w:firstLineChars="59"/>
        <w:jc w:val="left"/>
        <w:rPr>
          <w:rFonts w:asciiTheme="minorEastAsia" w:hAnsiTheme="minorEastAsia" w:eastAsiaTheme="minorEastAsia"/>
          <w:sz w:val="24"/>
        </w:rPr>
      </w:pPr>
      <w:r>
        <w:rPr>
          <w:rFonts w:hint="eastAsia" w:asciiTheme="minorEastAsia" w:hAnsiTheme="minorEastAsia" w:eastAsiaTheme="minorEastAsia"/>
          <w:sz w:val="24"/>
        </w:rPr>
        <w:t>3、</w:t>
      </w:r>
      <w:r>
        <w:rPr>
          <w:rFonts w:asciiTheme="minorEastAsia" w:hAnsiTheme="minorEastAsia" w:eastAsiaTheme="minorEastAsia"/>
          <w:sz w:val="24"/>
        </w:rPr>
        <w:t>投标人</w:t>
      </w:r>
      <w:r>
        <w:rPr>
          <w:rFonts w:hint="eastAsia" w:asciiTheme="minorEastAsia" w:hAnsiTheme="minorEastAsia" w:eastAsiaTheme="minorEastAsia"/>
          <w:sz w:val="24"/>
        </w:rPr>
        <w:t>：是</w:t>
      </w:r>
      <w:r>
        <w:rPr>
          <w:rFonts w:asciiTheme="minorEastAsia" w:hAnsiTheme="minorEastAsia" w:eastAsiaTheme="minorEastAsia"/>
          <w:sz w:val="24"/>
        </w:rPr>
        <w:t>指向</w:t>
      </w:r>
      <w:r>
        <w:rPr>
          <w:rFonts w:hint="eastAsia" w:asciiTheme="minorEastAsia" w:hAnsiTheme="minorEastAsia" w:eastAsiaTheme="minorEastAsia"/>
          <w:sz w:val="24"/>
        </w:rPr>
        <w:t>采购</w:t>
      </w:r>
      <w:r>
        <w:rPr>
          <w:rFonts w:hint="eastAsia" w:ascii="宋体" w:hAnsi="宋体"/>
          <w:sz w:val="24"/>
          <w:lang w:val="zh-CN"/>
        </w:rPr>
        <w:t>组织</w:t>
      </w:r>
      <w:r>
        <w:rPr>
          <w:rFonts w:hint="eastAsia" w:asciiTheme="minorEastAsia" w:hAnsiTheme="minorEastAsia" w:eastAsiaTheme="minorEastAsia"/>
          <w:sz w:val="24"/>
        </w:rPr>
        <w:t>机构</w:t>
      </w:r>
      <w:r>
        <w:rPr>
          <w:rFonts w:asciiTheme="minorEastAsia" w:hAnsiTheme="minorEastAsia" w:eastAsiaTheme="minorEastAsia"/>
          <w:sz w:val="24"/>
        </w:rPr>
        <w:t>提交投标文件的单位或个人。</w:t>
      </w:r>
    </w:p>
    <w:p>
      <w:pPr>
        <w:snapToGrid w:val="0"/>
        <w:spacing w:line="360" w:lineRule="auto"/>
        <w:ind w:left="424" w:leftChars="202" w:firstLine="143"/>
        <w:jc w:val="left"/>
        <w:rPr>
          <w:rFonts w:asciiTheme="minorEastAsia" w:hAnsiTheme="minorEastAsia" w:eastAsiaTheme="minorEastAsia"/>
          <w:sz w:val="24"/>
        </w:rPr>
      </w:pPr>
      <w:r>
        <w:rPr>
          <w:rFonts w:hint="eastAsia" w:asciiTheme="minorEastAsia" w:hAnsiTheme="minorEastAsia" w:eastAsiaTheme="minorEastAsia"/>
          <w:sz w:val="24"/>
        </w:rPr>
        <w:t>4、</w:t>
      </w:r>
      <w:r>
        <w:rPr>
          <w:rFonts w:asciiTheme="minorEastAsia" w:hAnsiTheme="minorEastAsia" w:eastAsiaTheme="minorEastAsia"/>
          <w:sz w:val="24"/>
        </w:rPr>
        <w:t>货物</w:t>
      </w:r>
      <w:r>
        <w:rPr>
          <w:rFonts w:hint="eastAsia" w:asciiTheme="minorEastAsia" w:hAnsiTheme="minorEastAsia" w:eastAsiaTheme="minorEastAsia"/>
          <w:sz w:val="24"/>
        </w:rPr>
        <w:t>：</w:t>
      </w:r>
      <w:r>
        <w:rPr>
          <w:rFonts w:asciiTheme="minorEastAsia" w:hAnsiTheme="minorEastAsia" w:eastAsiaTheme="minorEastAsia"/>
          <w:sz w:val="24"/>
        </w:rPr>
        <w:t>是指各种形态和种类的物品，包括原材料、燃料、设备、产品等。</w:t>
      </w:r>
    </w:p>
    <w:p>
      <w:pPr>
        <w:snapToGrid w:val="0"/>
        <w:spacing w:line="360" w:lineRule="auto"/>
        <w:ind w:firstLine="566" w:firstLineChars="236"/>
        <w:jc w:val="left"/>
        <w:rPr>
          <w:rFonts w:asciiTheme="minorEastAsia" w:hAnsiTheme="minorEastAsia" w:eastAsiaTheme="minorEastAsia"/>
          <w:b/>
          <w:sz w:val="24"/>
        </w:rPr>
      </w:pPr>
      <w:r>
        <w:rPr>
          <w:rFonts w:hint="eastAsia" w:asciiTheme="minorEastAsia" w:hAnsiTheme="minorEastAsia" w:eastAsiaTheme="minorEastAsia"/>
          <w:sz w:val="24"/>
        </w:rPr>
        <w:t>5、</w:t>
      </w:r>
      <w:r>
        <w:rPr>
          <w:rFonts w:asciiTheme="minorEastAsia" w:hAnsiTheme="minorEastAsia" w:eastAsiaTheme="minorEastAsia"/>
          <w:sz w:val="24"/>
        </w:rPr>
        <w:t>服务</w:t>
      </w:r>
      <w:r>
        <w:rPr>
          <w:rFonts w:hint="eastAsia" w:asciiTheme="minorEastAsia" w:hAnsiTheme="minorEastAsia" w:eastAsiaTheme="minorEastAsia"/>
          <w:sz w:val="24"/>
        </w:rPr>
        <w:t>：</w:t>
      </w:r>
      <w:r>
        <w:rPr>
          <w:rFonts w:asciiTheme="minorEastAsia" w:hAnsiTheme="minorEastAsia" w:eastAsiaTheme="minorEastAsia"/>
          <w:sz w:val="24"/>
        </w:rPr>
        <w:t>是指除货物和工程以外的政府采购对象，包括各类专业服务、信息网络开发服务、金融保险服务、运输服务，以及维修与维护服务等。</w:t>
      </w:r>
    </w:p>
    <w:p>
      <w:pPr>
        <w:snapToGrid w:val="0"/>
        <w:spacing w:line="360" w:lineRule="auto"/>
        <w:ind w:firstLine="566" w:firstLineChars="236"/>
        <w:jc w:val="left"/>
        <w:rPr>
          <w:rFonts w:asciiTheme="minorEastAsia" w:hAnsiTheme="minorEastAsia" w:eastAsiaTheme="minorEastAsia"/>
          <w:sz w:val="24"/>
        </w:rPr>
      </w:pPr>
      <w:r>
        <w:rPr>
          <w:rFonts w:hint="eastAsia" w:asciiTheme="minorEastAsia" w:hAnsiTheme="minorEastAsia" w:eastAsiaTheme="minorEastAsia"/>
          <w:sz w:val="24"/>
        </w:rPr>
        <w:t>6、</w:t>
      </w:r>
      <w:r>
        <w:rPr>
          <w:rFonts w:asciiTheme="minorEastAsia" w:hAnsiTheme="minorEastAsia" w:eastAsiaTheme="minorEastAsia"/>
          <w:sz w:val="24"/>
        </w:rPr>
        <w:t>“书面形式”包括信函、传真等。</w:t>
      </w:r>
    </w:p>
    <w:p>
      <w:pPr>
        <w:snapToGrid w:val="0"/>
        <w:spacing w:line="360" w:lineRule="auto"/>
        <w:ind w:firstLine="566" w:firstLineChars="236"/>
        <w:jc w:val="left"/>
        <w:rPr>
          <w:rFonts w:asciiTheme="minorEastAsia" w:hAnsiTheme="minorEastAsia" w:eastAsiaTheme="minorEastAsia"/>
          <w:sz w:val="24"/>
        </w:rPr>
      </w:pPr>
      <w:r>
        <w:rPr>
          <w:rFonts w:hint="eastAsia" w:asciiTheme="minorEastAsia" w:hAnsiTheme="minorEastAsia" w:eastAsiaTheme="minorEastAsia"/>
          <w:sz w:val="24"/>
        </w:rPr>
        <w:t>7、</w:t>
      </w:r>
      <w:r>
        <w:rPr>
          <w:rFonts w:asciiTheme="minorEastAsia" w:hAnsiTheme="minorEastAsia" w:eastAsiaTheme="minorEastAsia"/>
          <w:sz w:val="24"/>
        </w:rPr>
        <w:t>“▲”系指实质性要求条款。</w:t>
      </w:r>
    </w:p>
    <w:p>
      <w:pPr>
        <w:snapToGrid w:val="0"/>
        <w:spacing w:before="156" w:beforeLines="50" w:line="360" w:lineRule="auto"/>
        <w:ind w:firstLine="472" w:firstLineChars="196"/>
        <w:jc w:val="left"/>
        <w:outlineLvl w:val="1"/>
        <w:rPr>
          <w:rFonts w:asciiTheme="minorEastAsia" w:hAnsiTheme="minorEastAsia" w:eastAsiaTheme="minorEastAsia"/>
          <w:b/>
          <w:sz w:val="24"/>
        </w:rPr>
      </w:pPr>
      <w:r>
        <w:rPr>
          <w:rFonts w:hint="eastAsia" w:asciiTheme="minorEastAsia" w:hAnsiTheme="minorEastAsia" w:eastAsiaTheme="minorEastAsia"/>
          <w:b/>
          <w:sz w:val="24"/>
        </w:rPr>
        <w:t>（三）投标费用</w:t>
      </w:r>
    </w:p>
    <w:p>
      <w:pPr>
        <w:snapToGrid w:val="0"/>
        <w:spacing w:line="360" w:lineRule="auto"/>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不论投标结果如何，投标人均应自行承担所有与投标有关的全部费用（招标文件有相关规定除外）。</w:t>
      </w:r>
    </w:p>
    <w:p>
      <w:pPr>
        <w:autoSpaceDE w:val="0"/>
        <w:autoSpaceDN w:val="0"/>
        <w:adjustRightInd w:val="0"/>
        <w:spacing w:line="360" w:lineRule="auto"/>
        <w:ind w:firstLine="480"/>
        <w:rPr>
          <w:rFonts w:asciiTheme="minorEastAsia" w:hAnsiTheme="minorEastAsia" w:eastAsiaTheme="minorEastAsia"/>
          <w:sz w:val="24"/>
        </w:rPr>
      </w:pPr>
      <w:r>
        <w:rPr>
          <w:rFonts w:hint="eastAsia" w:ascii="宋体" w:hAnsi="宋体"/>
          <w:sz w:val="24"/>
        </w:rPr>
        <w:t>本次招标代理费用计人民币</w:t>
      </w:r>
      <w:r>
        <w:rPr>
          <w:rFonts w:hint="eastAsia" w:ascii="宋体" w:hAnsi="宋体"/>
          <w:sz w:val="24"/>
          <w:u w:val="single"/>
          <w:lang w:val="en-US" w:eastAsia="zh-CN"/>
        </w:rPr>
        <w:t>9000</w:t>
      </w:r>
      <w:r>
        <w:rPr>
          <w:rFonts w:hint="eastAsia" w:ascii="宋体" w:hAnsi="宋体"/>
          <w:sz w:val="24"/>
        </w:rPr>
        <w:t>元，由供应商在领取中标通知书时一次性付清。</w:t>
      </w:r>
    </w:p>
    <w:p>
      <w:pPr>
        <w:pStyle w:val="11"/>
        <w:snapToGrid w:val="0"/>
        <w:spacing w:line="360" w:lineRule="auto"/>
        <w:ind w:left="2" w:leftChars="1" w:firstLine="482" w:firstLineChars="200"/>
        <w:rPr>
          <w:rFonts w:hAnsi="宋体"/>
          <w:b/>
          <w:sz w:val="24"/>
        </w:rPr>
      </w:pPr>
      <w:r>
        <w:rPr>
          <w:rFonts w:hint="eastAsia" w:hAnsi="宋体"/>
          <w:b/>
          <w:sz w:val="24"/>
        </w:rPr>
        <w:t>（四）特别说明</w:t>
      </w:r>
    </w:p>
    <w:p>
      <w:pPr>
        <w:pStyle w:val="11"/>
        <w:snapToGrid w:val="0"/>
        <w:spacing w:line="360" w:lineRule="auto"/>
        <w:ind w:left="2" w:leftChars="1" w:firstLine="480" w:firstLineChars="200"/>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投标人投标所使用的资格、信誉、荣誉、业绩与企业认证必须为本法人所拥有。投标人投标所使用的采购项目实施人员必须为本法人员工（</w:t>
      </w:r>
      <w:r>
        <w:rPr>
          <w:rFonts w:hint="eastAsia" w:asciiTheme="minorEastAsia" w:hAnsiTheme="minorEastAsia" w:eastAsiaTheme="minorEastAsia"/>
          <w:sz w:val="24"/>
        </w:rPr>
        <w:t>指</w:t>
      </w:r>
      <w:r>
        <w:rPr>
          <w:rFonts w:asciiTheme="minorEastAsia" w:hAnsiTheme="minorEastAsia" w:eastAsiaTheme="minorEastAsia"/>
          <w:sz w:val="24"/>
        </w:rPr>
        <w:t>本法人或控股公司正式员工）。</w:t>
      </w:r>
    </w:p>
    <w:p>
      <w:pPr>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2、投标供应商所投产品除招标文件中明确规定要求“提供官网截图或相应检测报告的证明材料”以外，所有技术参数描述均以投标文件为准。投标供应商对所投产品技术参数的真实性承担法律责任。项目招标结束后、质疑期限内，如有质疑供应商认为中标供应商所投产品、投标文件技术参数与招标需求存在重大偏离、错误、甚至造假的情况，应提供具体有效的证明材料。</w:t>
      </w:r>
      <w:r>
        <w:rPr>
          <w:rFonts w:hint="eastAsia" w:asciiTheme="minorEastAsia" w:hAnsiTheme="minorEastAsia" w:eastAsiaTheme="minorEastAsia" w:cstheme="minorBidi"/>
          <w:sz w:val="24"/>
        </w:rPr>
        <w:tab/>
      </w:r>
    </w:p>
    <w:p>
      <w:pPr>
        <w:pStyle w:val="36"/>
        <w:snapToGrid w:val="0"/>
        <w:spacing w:line="360" w:lineRule="auto"/>
        <w:ind w:firstLineChars="0"/>
        <w:rPr>
          <w:rFonts w:asciiTheme="minorEastAsia" w:hAnsiTheme="minorEastAsia" w:eastAsiaTheme="minorEastAsia" w:cstheme="minorBidi"/>
          <w:sz w:val="24"/>
          <w:szCs w:val="24"/>
        </w:rPr>
      </w:pPr>
      <w:r>
        <w:rPr>
          <w:rFonts w:hint="eastAsia" w:asciiTheme="minorEastAsia" w:hAnsiTheme="minorEastAsia" w:eastAsiaTheme="minorEastAsia" w:cstheme="minorBidi"/>
          <w:sz w:val="24"/>
          <w:szCs w:val="24"/>
        </w:rPr>
        <w:t>3、</w:t>
      </w:r>
      <w:r>
        <w:rPr>
          <w:rFonts w:asciiTheme="minorEastAsia" w:hAnsiTheme="minorEastAsia" w:eastAsiaTheme="minorEastAsia" w:cstheme="minorBidi"/>
          <w:sz w:val="24"/>
          <w:szCs w:val="24"/>
        </w:rPr>
        <w:t>投标人在投标活动中提供任何虚假材料,其投标无效，并报监管部门查处；中标后发现的,根据《中华人民共和国政府采购法》第七十七条第一款第一项之规定</w:t>
      </w:r>
      <w:r>
        <w:rPr>
          <w:rFonts w:hint="eastAsia" w:asciiTheme="minorEastAsia" w:hAnsiTheme="minorEastAsia" w:eastAsiaTheme="minorEastAsia" w:cstheme="minorBidi"/>
          <w:sz w:val="24"/>
          <w:szCs w:val="24"/>
        </w:rPr>
        <w:t>，</w:t>
      </w:r>
      <w:r>
        <w:rPr>
          <w:rFonts w:asciiTheme="minorEastAsia" w:hAnsiTheme="minorEastAsia" w:eastAsiaTheme="minorEastAsia" w:cstheme="minorBidi"/>
          <w:sz w:val="24"/>
          <w:szCs w:val="24"/>
        </w:rPr>
        <w:t>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r>
        <w:rPr>
          <w:rFonts w:hint="eastAsia" w:asciiTheme="minorEastAsia" w:hAnsiTheme="minorEastAsia" w:eastAsiaTheme="minorEastAsia" w:cstheme="minorBidi"/>
          <w:sz w:val="24"/>
          <w:szCs w:val="24"/>
        </w:rPr>
        <w:t>。</w:t>
      </w:r>
    </w:p>
    <w:p>
      <w:pPr>
        <w:pStyle w:val="5"/>
        <w:keepNext w:val="0"/>
        <w:keepLines w:val="0"/>
        <w:tabs>
          <w:tab w:val="left" w:pos="851"/>
        </w:tabs>
        <w:autoSpaceDE w:val="0"/>
        <w:autoSpaceDN w:val="0"/>
        <w:adjustRightInd w:val="0"/>
        <w:snapToGrid w:val="0"/>
        <w:spacing w:before="0" w:after="0" w:line="360" w:lineRule="auto"/>
        <w:ind w:firstLine="480" w:firstLineChars="200"/>
        <w:rPr>
          <w:rFonts w:asciiTheme="minorEastAsia" w:hAnsiTheme="minorEastAsia" w:eastAsiaTheme="minorEastAsia"/>
          <w:b w:val="0"/>
          <w:bCs w:val="0"/>
          <w:sz w:val="24"/>
          <w:szCs w:val="24"/>
        </w:rPr>
      </w:pPr>
      <w:r>
        <w:rPr>
          <w:rFonts w:hint="eastAsia" w:asciiTheme="minorEastAsia" w:hAnsiTheme="minorEastAsia" w:eastAsiaTheme="minorEastAsia"/>
          <w:b w:val="0"/>
          <w:bCs w:val="0"/>
          <w:sz w:val="24"/>
          <w:szCs w:val="24"/>
        </w:rPr>
        <w:t>4、投标人不得相互串通投标报价，不得妨碍其他投标人的公平竞争，不得损害采购人或其他投标人的合法权益，投标人不得以向采购人、评标委员会成员行贿或者采取其他不正当手段谋取中标。</w:t>
      </w:r>
    </w:p>
    <w:p>
      <w:pPr>
        <w:pStyle w:val="5"/>
        <w:keepNext w:val="0"/>
        <w:keepLines w:val="0"/>
        <w:tabs>
          <w:tab w:val="left" w:pos="851"/>
        </w:tabs>
        <w:autoSpaceDE w:val="0"/>
        <w:autoSpaceDN w:val="0"/>
        <w:adjustRightInd w:val="0"/>
        <w:snapToGrid w:val="0"/>
        <w:spacing w:before="0" w:after="0" w:line="360" w:lineRule="auto"/>
        <w:ind w:firstLine="480" w:firstLineChars="200"/>
        <w:rPr>
          <w:rFonts w:asciiTheme="minorEastAsia" w:hAnsiTheme="minorEastAsia" w:eastAsiaTheme="minorEastAsia"/>
          <w:b w:val="0"/>
          <w:bCs w:val="0"/>
          <w:sz w:val="24"/>
          <w:szCs w:val="24"/>
        </w:rPr>
      </w:pPr>
      <w:r>
        <w:rPr>
          <w:rFonts w:hint="eastAsia" w:asciiTheme="minorEastAsia" w:hAnsiTheme="minorEastAsia" w:eastAsiaTheme="minorEastAsia"/>
          <w:b w:val="0"/>
          <w:bCs w:val="0"/>
          <w:sz w:val="24"/>
          <w:szCs w:val="24"/>
        </w:rPr>
        <w:t>5、为采购项目提供整体设计、规范编制或者项目管理、监理、检测等服务的供应商，不得再参加该采购项目的其他采购活动。</w:t>
      </w:r>
    </w:p>
    <w:p>
      <w:pPr>
        <w:pStyle w:val="5"/>
        <w:keepNext w:val="0"/>
        <w:keepLines w:val="0"/>
        <w:tabs>
          <w:tab w:val="left" w:pos="851"/>
        </w:tabs>
        <w:autoSpaceDE w:val="0"/>
        <w:autoSpaceDN w:val="0"/>
        <w:adjustRightInd w:val="0"/>
        <w:snapToGrid w:val="0"/>
        <w:spacing w:before="0" w:after="0" w:line="360" w:lineRule="auto"/>
        <w:ind w:firstLine="480" w:firstLineChars="200"/>
        <w:rPr>
          <w:rFonts w:asciiTheme="minorEastAsia" w:hAnsiTheme="minorEastAsia" w:eastAsiaTheme="minorEastAsia"/>
          <w:b w:val="0"/>
          <w:bCs w:val="0"/>
          <w:sz w:val="24"/>
          <w:szCs w:val="24"/>
        </w:rPr>
      </w:pPr>
      <w:r>
        <w:rPr>
          <w:rFonts w:hint="eastAsia" w:asciiTheme="minorEastAsia" w:hAnsiTheme="minorEastAsia" w:eastAsiaTheme="minorEastAsia"/>
          <w:b w:val="0"/>
          <w:bCs w:val="0"/>
          <w:sz w:val="24"/>
          <w:szCs w:val="24"/>
        </w:rPr>
        <w:t>6、投标文件格式中的表格式样可以根据项目差别做适当调整,但应当保持表格样式基本形态不变。</w:t>
      </w:r>
    </w:p>
    <w:p>
      <w:pPr>
        <w:pStyle w:val="5"/>
        <w:keepNext w:val="0"/>
        <w:keepLines w:val="0"/>
        <w:tabs>
          <w:tab w:val="left" w:pos="851"/>
        </w:tabs>
        <w:autoSpaceDE w:val="0"/>
        <w:autoSpaceDN w:val="0"/>
        <w:adjustRightInd w:val="0"/>
        <w:snapToGrid w:val="0"/>
        <w:spacing w:before="0" w:after="0" w:line="360" w:lineRule="auto"/>
        <w:ind w:firstLine="480" w:firstLineChars="200"/>
        <w:rPr>
          <w:rFonts w:asciiTheme="minorEastAsia" w:hAnsiTheme="minorEastAsia" w:eastAsiaTheme="minorEastAsia"/>
          <w:b w:val="0"/>
          <w:bCs w:val="0"/>
          <w:sz w:val="24"/>
          <w:szCs w:val="24"/>
        </w:rPr>
      </w:pPr>
      <w:r>
        <w:rPr>
          <w:rFonts w:hint="eastAsia" w:asciiTheme="minorEastAsia" w:hAnsiTheme="minorEastAsia" w:eastAsiaTheme="minorEastAsia"/>
          <w:b w:val="0"/>
          <w:bCs w:val="0"/>
          <w:sz w:val="24"/>
          <w:szCs w:val="24"/>
        </w:rPr>
        <w:t>7、单位负责人为同一人或者存在直接控股、管理关系的不同供应商，不得参加同一合同项下的政府采购活动。</w:t>
      </w:r>
    </w:p>
    <w:p>
      <w:pPr>
        <w:pStyle w:val="5"/>
        <w:keepNext w:val="0"/>
        <w:keepLines w:val="0"/>
        <w:tabs>
          <w:tab w:val="left" w:pos="851"/>
        </w:tabs>
        <w:autoSpaceDE w:val="0"/>
        <w:autoSpaceDN w:val="0"/>
        <w:adjustRightInd w:val="0"/>
        <w:snapToGrid w:val="0"/>
        <w:spacing w:before="0" w:after="0" w:line="360" w:lineRule="auto"/>
        <w:ind w:firstLine="480" w:firstLineChars="200"/>
        <w:rPr>
          <w:rFonts w:asciiTheme="minorEastAsia" w:hAnsiTheme="minorEastAsia" w:eastAsiaTheme="minorEastAsia"/>
          <w:b w:val="0"/>
          <w:bCs w:val="0"/>
          <w:sz w:val="24"/>
          <w:szCs w:val="24"/>
        </w:rPr>
      </w:pPr>
      <w:r>
        <w:rPr>
          <w:rFonts w:hint="eastAsia" w:asciiTheme="minorEastAsia" w:hAnsiTheme="minorEastAsia" w:eastAsiaTheme="minorEastAsia"/>
          <w:b w:val="0"/>
          <w:bCs w:val="0"/>
          <w:sz w:val="24"/>
          <w:szCs w:val="24"/>
        </w:rPr>
        <w:t>8、本项目不允许分包。</w:t>
      </w:r>
    </w:p>
    <w:p>
      <w:pPr>
        <w:tabs>
          <w:tab w:val="left" w:pos="720"/>
          <w:tab w:val="left" w:pos="1260"/>
          <w:tab w:val="left" w:pos="2160"/>
          <w:tab w:val="left" w:pos="2880"/>
          <w:tab w:val="left" w:pos="3600"/>
          <w:tab w:val="left" w:pos="4320"/>
          <w:tab w:val="left" w:pos="5040"/>
          <w:tab w:val="left" w:pos="5760"/>
        </w:tabs>
        <w:autoSpaceDE w:val="0"/>
        <w:autoSpaceDN w:val="0"/>
        <w:adjustRightInd w:val="0"/>
        <w:spacing w:line="360" w:lineRule="auto"/>
        <w:ind w:right="1800"/>
        <w:jc w:val="left"/>
        <w:rPr>
          <w:rFonts w:asciiTheme="minorEastAsia" w:hAnsiTheme="minorEastAsia" w:eastAsiaTheme="minorEastAsia"/>
          <w:b/>
          <w:kern w:val="0"/>
          <w:sz w:val="24"/>
        </w:rPr>
      </w:pPr>
      <w:r>
        <w:rPr>
          <w:rFonts w:hint="eastAsia" w:asciiTheme="minorEastAsia" w:hAnsiTheme="minorEastAsia" w:eastAsiaTheme="minorEastAsia"/>
          <w:b/>
          <w:kern w:val="0"/>
          <w:sz w:val="24"/>
        </w:rPr>
        <w:t>二、招标文件</w:t>
      </w:r>
    </w:p>
    <w:p>
      <w:pPr>
        <w:autoSpaceDE w:val="0"/>
        <w:autoSpaceDN w:val="0"/>
        <w:adjustRightInd w:val="0"/>
        <w:spacing w:line="360" w:lineRule="auto"/>
        <w:rPr>
          <w:rFonts w:asciiTheme="minorEastAsia" w:hAnsiTheme="minorEastAsia" w:eastAsiaTheme="minorEastAsia"/>
          <w:kern w:val="0"/>
          <w:sz w:val="24"/>
        </w:rPr>
      </w:pPr>
      <w:r>
        <w:rPr>
          <w:rFonts w:hint="eastAsia" w:asciiTheme="minorEastAsia" w:hAnsiTheme="minorEastAsia" w:eastAsiaTheme="minorEastAsia"/>
          <w:kern w:val="0"/>
          <w:sz w:val="24"/>
        </w:rPr>
        <w:t xml:space="preserve">   （一）招标文件由招标文件总目录所列内容组成。</w:t>
      </w:r>
    </w:p>
    <w:p>
      <w:pPr>
        <w:autoSpaceDE w:val="0"/>
        <w:autoSpaceDN w:val="0"/>
        <w:adjustRightInd w:val="0"/>
        <w:spacing w:line="360" w:lineRule="auto"/>
        <w:ind w:firstLine="360" w:firstLineChars="150"/>
        <w:rPr>
          <w:rFonts w:asciiTheme="minorEastAsia" w:hAnsiTheme="minorEastAsia" w:eastAsiaTheme="minorEastAsia"/>
          <w:kern w:val="0"/>
          <w:sz w:val="24"/>
        </w:rPr>
      </w:pPr>
      <w:r>
        <w:rPr>
          <w:rFonts w:hint="eastAsia" w:asciiTheme="minorEastAsia" w:hAnsiTheme="minorEastAsia" w:eastAsiaTheme="minorEastAsia"/>
          <w:kern w:val="0"/>
          <w:sz w:val="24"/>
        </w:rPr>
        <w:t>（二）招标文件的澄清或修改</w:t>
      </w:r>
    </w:p>
    <w:p>
      <w:pPr>
        <w:autoSpaceDE w:val="0"/>
        <w:autoSpaceDN w:val="0"/>
        <w:adjustRightInd w:val="0"/>
        <w:spacing w:line="360" w:lineRule="auto"/>
        <w:ind w:firstLine="420" w:firstLineChars="175"/>
        <w:rPr>
          <w:rFonts w:asciiTheme="minorEastAsia" w:hAnsiTheme="minorEastAsia" w:eastAsiaTheme="minorEastAsia"/>
          <w:kern w:val="0"/>
          <w:sz w:val="24"/>
        </w:rPr>
      </w:pPr>
      <w:r>
        <w:rPr>
          <w:rFonts w:hint="eastAsia" w:asciiTheme="minorEastAsia" w:hAnsiTheme="minorEastAsia" w:eastAsiaTheme="minorEastAsia"/>
          <w:kern w:val="0"/>
          <w:sz w:val="24"/>
        </w:rPr>
        <w:t xml:space="preserve">1、采购组织机构可视采购具体情况对已发出的招标文件进行必要的澄清或者修改。澄清或者修改的内容可能影响投标文件编制的，采购人或者采购组织机构应当在投标截止时间至少15日前，在原公告发布媒体上发布澄清公告，澄清或者修改的内容为招标文件的组成部分；不足15日的，采购人或者采购组织机构应当顺延提交投标文件的截止时间。 </w:t>
      </w:r>
    </w:p>
    <w:p>
      <w:pPr>
        <w:autoSpaceDE w:val="0"/>
        <w:autoSpaceDN w:val="0"/>
        <w:adjustRightInd w:val="0"/>
        <w:spacing w:line="360" w:lineRule="auto"/>
        <w:ind w:firstLine="480"/>
        <w:rPr>
          <w:rFonts w:asciiTheme="minorEastAsia" w:hAnsiTheme="minorEastAsia" w:eastAsiaTheme="minorEastAsia"/>
          <w:kern w:val="0"/>
          <w:sz w:val="24"/>
        </w:rPr>
      </w:pPr>
      <w:r>
        <w:rPr>
          <w:rFonts w:hint="eastAsia" w:asciiTheme="minorEastAsia" w:hAnsiTheme="minorEastAsia" w:eastAsiaTheme="minorEastAsia"/>
          <w:kern w:val="0"/>
          <w:sz w:val="24"/>
        </w:rPr>
        <w:t>2、</w:t>
      </w:r>
      <w:r>
        <w:rPr>
          <w:rFonts w:asciiTheme="minorEastAsia" w:hAnsiTheme="minorEastAsia" w:eastAsiaTheme="minorEastAsia"/>
          <w:kern w:val="0"/>
          <w:sz w:val="24"/>
        </w:rPr>
        <w:t>投标人在规定的时间内未对招标文件提出疑问、质疑或要求澄清的，将视其为无异议。对招标文件中描述有歧义或前后不一致的地方，评标委员会有权进行评判，但对同一条款的评判应适用于每个投标人</w:t>
      </w:r>
      <w:r>
        <w:rPr>
          <w:rFonts w:hint="eastAsia" w:asciiTheme="minorEastAsia" w:hAnsiTheme="minorEastAsia" w:eastAsiaTheme="minorEastAsia"/>
          <w:kern w:val="0"/>
          <w:sz w:val="24"/>
        </w:rPr>
        <w:t>。</w:t>
      </w:r>
    </w:p>
    <w:p>
      <w:pPr>
        <w:tabs>
          <w:tab w:val="left" w:pos="1418"/>
        </w:tabs>
        <w:autoSpaceDE w:val="0"/>
        <w:autoSpaceDN w:val="0"/>
        <w:adjustRightInd w:val="0"/>
        <w:spacing w:line="360" w:lineRule="auto"/>
        <w:rPr>
          <w:rFonts w:asciiTheme="minorEastAsia" w:hAnsiTheme="minorEastAsia" w:eastAsiaTheme="minorEastAsia"/>
          <w:b/>
          <w:kern w:val="0"/>
          <w:sz w:val="24"/>
        </w:rPr>
      </w:pPr>
      <w:r>
        <w:rPr>
          <w:rFonts w:hint="eastAsia" w:asciiTheme="minorEastAsia" w:hAnsiTheme="minorEastAsia" w:eastAsiaTheme="minorEastAsia"/>
          <w:b/>
          <w:kern w:val="0"/>
          <w:sz w:val="24"/>
        </w:rPr>
        <w:t xml:space="preserve"> 三、投标文件</w:t>
      </w:r>
    </w:p>
    <w:p>
      <w:pPr>
        <w:autoSpaceDE w:val="0"/>
        <w:autoSpaceDN w:val="0"/>
        <w:adjustRightInd w:val="0"/>
        <w:spacing w:line="360" w:lineRule="auto"/>
        <w:ind w:firstLine="482" w:firstLineChars="200"/>
        <w:rPr>
          <w:rFonts w:ascii="宋体"/>
          <w:b/>
          <w:sz w:val="24"/>
          <w:lang w:val="zh-CN"/>
        </w:rPr>
      </w:pPr>
      <w:r>
        <w:rPr>
          <w:rFonts w:hint="eastAsia" w:ascii="宋体"/>
          <w:b/>
          <w:sz w:val="24"/>
          <w:lang w:val="zh-CN"/>
        </w:rPr>
        <w:t>（一）投标文件的组成</w:t>
      </w:r>
    </w:p>
    <w:p>
      <w:pPr>
        <w:snapToGrid w:val="0"/>
        <w:spacing w:line="360" w:lineRule="auto"/>
        <w:ind w:firstLine="482" w:firstLineChars="200"/>
        <w:rPr>
          <w:rFonts w:ascii="宋体" w:hAnsi="宋体" w:cs="宋体"/>
          <w:b/>
          <w:sz w:val="24"/>
          <w:u w:val="single"/>
        </w:rPr>
      </w:pPr>
      <w:r>
        <w:rPr>
          <w:rFonts w:hint="eastAsia" w:ascii="宋体" w:hAnsi="宋体"/>
          <w:b/>
          <w:sz w:val="24"/>
        </w:rPr>
        <w:t>注：投标文件由资格证明文件、商务与技术文件、报价文件组成。</w:t>
      </w:r>
    </w:p>
    <w:p>
      <w:pPr>
        <w:snapToGrid w:val="0"/>
        <w:spacing w:line="360" w:lineRule="auto"/>
        <w:ind w:firstLine="482" w:firstLineChars="200"/>
        <w:rPr>
          <w:rFonts w:ascii="宋体" w:hAnsi="宋体"/>
          <w:b/>
          <w:sz w:val="24"/>
        </w:rPr>
      </w:pPr>
      <w:r>
        <w:rPr>
          <w:rFonts w:hint="eastAsia" w:ascii="黑体" w:eastAsia="黑体"/>
          <w:b/>
          <w:sz w:val="24"/>
        </w:rPr>
        <w:t>▲</w:t>
      </w:r>
      <w:r>
        <w:rPr>
          <w:rFonts w:hint="eastAsia" w:ascii="宋体" w:hAnsi="宋体"/>
          <w:b/>
          <w:sz w:val="24"/>
        </w:rPr>
        <w:t>1、资格证明文件的组成：</w:t>
      </w:r>
    </w:p>
    <w:p>
      <w:pPr>
        <w:widowControl/>
        <w:spacing w:line="360" w:lineRule="auto"/>
        <w:ind w:right="60" w:firstLine="480" w:firstLineChars="200"/>
        <w:jc w:val="left"/>
        <w:outlineLvl w:val="0"/>
        <w:rPr>
          <w:rFonts w:ascii="宋体" w:hAnsi="宋体" w:cs="宋体"/>
          <w:sz w:val="24"/>
        </w:rPr>
      </w:pPr>
      <w:r>
        <w:rPr>
          <w:rFonts w:hint="eastAsia" w:ascii="宋体" w:hAnsi="宋体" w:cs="宋体"/>
          <w:sz w:val="24"/>
          <w:lang w:eastAsia="zh-CN"/>
        </w:rPr>
        <w:t>（</w:t>
      </w:r>
      <w:r>
        <w:rPr>
          <w:rFonts w:hint="eastAsia" w:ascii="宋体" w:hAnsi="宋体" w:cs="宋体"/>
          <w:sz w:val="24"/>
        </w:rPr>
        <w:t>1</w:t>
      </w:r>
      <w:r>
        <w:rPr>
          <w:rFonts w:hint="eastAsia" w:ascii="宋体" w:hAnsi="宋体" w:cs="宋体"/>
          <w:sz w:val="24"/>
          <w:lang w:eastAsia="zh-CN"/>
        </w:rPr>
        <w:t>）</w:t>
      </w:r>
      <w:r>
        <w:rPr>
          <w:rFonts w:hint="eastAsia" w:ascii="宋体" w:hAnsi="宋体" w:cs="宋体"/>
          <w:sz w:val="24"/>
        </w:rPr>
        <w:t>、投标声明书（附件2）；</w:t>
      </w:r>
    </w:p>
    <w:p>
      <w:pPr>
        <w:widowControl/>
        <w:spacing w:line="360" w:lineRule="auto"/>
        <w:ind w:right="60" w:firstLine="480" w:firstLineChars="200"/>
        <w:jc w:val="left"/>
        <w:outlineLvl w:val="0"/>
        <w:rPr>
          <w:rFonts w:ascii="宋体" w:hAnsi="宋体" w:cs="宋体"/>
          <w:sz w:val="24"/>
        </w:rPr>
      </w:pPr>
      <w:r>
        <w:rPr>
          <w:rFonts w:hint="eastAsia" w:ascii="宋体" w:hAnsi="宋体" w:cs="宋体"/>
          <w:sz w:val="24"/>
          <w:lang w:eastAsia="zh-CN"/>
        </w:rPr>
        <w:t>（</w:t>
      </w:r>
      <w:r>
        <w:rPr>
          <w:rFonts w:hint="eastAsia" w:ascii="宋体" w:hAnsi="宋体" w:cs="宋体"/>
          <w:sz w:val="24"/>
        </w:rPr>
        <w:t>2</w:t>
      </w:r>
      <w:r>
        <w:rPr>
          <w:rFonts w:hint="eastAsia" w:ascii="宋体" w:hAnsi="宋体" w:cs="宋体"/>
          <w:sz w:val="24"/>
          <w:lang w:eastAsia="zh-CN"/>
        </w:rPr>
        <w:t>）</w:t>
      </w:r>
      <w:r>
        <w:rPr>
          <w:rFonts w:hint="eastAsia" w:ascii="宋体" w:hAnsi="宋体" w:cs="宋体"/>
          <w:sz w:val="24"/>
        </w:rPr>
        <w:t>、授权委托书（法定代表人亲自办理投标事宜的，则无需提交)（附件3）；</w:t>
      </w:r>
    </w:p>
    <w:p>
      <w:pPr>
        <w:widowControl/>
        <w:spacing w:line="360" w:lineRule="auto"/>
        <w:ind w:right="60" w:firstLine="472" w:firstLineChars="197"/>
        <w:jc w:val="left"/>
        <w:outlineLvl w:val="0"/>
        <w:rPr>
          <w:rFonts w:ascii="宋体" w:hAnsi="宋体" w:cs="宋体"/>
          <w:sz w:val="24"/>
        </w:rPr>
      </w:pPr>
      <w:r>
        <w:rPr>
          <w:rFonts w:hint="eastAsia" w:ascii="宋体" w:hAnsi="宋体" w:cs="宋体"/>
          <w:sz w:val="24"/>
          <w:lang w:eastAsia="zh-CN"/>
        </w:rPr>
        <w:t>（</w:t>
      </w:r>
      <w:r>
        <w:rPr>
          <w:rFonts w:hint="eastAsia" w:ascii="宋体" w:hAnsi="宋体" w:cs="宋体"/>
          <w:sz w:val="24"/>
        </w:rPr>
        <w:t>3</w:t>
      </w:r>
      <w:r>
        <w:rPr>
          <w:rFonts w:hint="eastAsia" w:ascii="宋体" w:hAnsi="宋体" w:cs="宋体"/>
          <w:sz w:val="24"/>
          <w:lang w:eastAsia="zh-CN"/>
        </w:rPr>
        <w:t>）</w:t>
      </w:r>
      <w:r>
        <w:rPr>
          <w:rFonts w:hint="eastAsia" w:ascii="宋体" w:hAnsi="宋体" w:cs="宋体"/>
          <w:sz w:val="24"/>
        </w:rPr>
        <w:t>、提供有效的营业执照复印件；如事业单位参加投标的，则提供有效的《事业单位法人证书》复印件；</w:t>
      </w:r>
    </w:p>
    <w:p>
      <w:pPr>
        <w:widowControl/>
        <w:spacing w:line="360" w:lineRule="auto"/>
        <w:ind w:right="60" w:firstLine="472" w:firstLineChars="197"/>
        <w:jc w:val="left"/>
        <w:outlineLvl w:val="0"/>
        <w:rPr>
          <w:rFonts w:ascii="宋体" w:hAnsi="宋体" w:cs="宋体"/>
          <w:sz w:val="24"/>
        </w:rPr>
      </w:pPr>
      <w:r>
        <w:rPr>
          <w:rFonts w:hint="eastAsia" w:ascii="宋体" w:hAnsi="宋体" w:cs="宋体"/>
          <w:kern w:val="21"/>
          <w:sz w:val="24"/>
          <w:lang w:eastAsia="zh-CN"/>
        </w:rPr>
        <w:t>（</w:t>
      </w:r>
      <w:r>
        <w:rPr>
          <w:rFonts w:hint="eastAsia" w:ascii="宋体" w:hAnsi="宋体" w:cs="宋体"/>
          <w:kern w:val="21"/>
          <w:sz w:val="24"/>
        </w:rPr>
        <w:t>4</w:t>
      </w:r>
      <w:r>
        <w:rPr>
          <w:rFonts w:hint="eastAsia" w:ascii="宋体" w:hAnsi="宋体" w:cs="宋体"/>
          <w:kern w:val="21"/>
          <w:sz w:val="24"/>
          <w:lang w:eastAsia="zh-CN"/>
        </w:rPr>
        <w:t>）</w:t>
      </w:r>
      <w:r>
        <w:rPr>
          <w:rFonts w:hint="eastAsia" w:ascii="宋体" w:hAnsi="宋体" w:cs="宋体"/>
          <w:kern w:val="21"/>
          <w:sz w:val="24"/>
        </w:rPr>
        <w:t>、</w:t>
      </w:r>
      <w:r>
        <w:rPr>
          <w:rFonts w:hint="eastAsia" w:ascii="宋体" w:hAnsi="宋体" w:cs="宋体"/>
          <w:kern w:val="21"/>
          <w:sz w:val="24"/>
          <w:lang w:val="zh-CN"/>
        </w:rPr>
        <w:t>提供最近年度的</w:t>
      </w:r>
      <w:r>
        <w:rPr>
          <w:rFonts w:hint="eastAsia" w:ascii="宋体" w:hAnsi="宋体" w:cs="宋体"/>
          <w:sz w:val="24"/>
        </w:rPr>
        <w:t>资产负债表、利润表，或者银行出具的资信证明；</w:t>
      </w:r>
    </w:p>
    <w:p>
      <w:pPr>
        <w:pStyle w:val="11"/>
        <w:spacing w:line="360" w:lineRule="auto"/>
        <w:ind w:firstLine="475" w:firstLineChars="198"/>
        <w:rPr>
          <w:rFonts w:hAnsi="宋体" w:cs="宋体"/>
          <w:sz w:val="24"/>
        </w:rPr>
      </w:pPr>
      <w:r>
        <w:rPr>
          <w:rFonts w:hint="eastAsia" w:hAnsi="宋体" w:cs="宋体"/>
          <w:kern w:val="21"/>
          <w:sz w:val="24"/>
          <w:lang w:eastAsia="zh-CN"/>
        </w:rPr>
        <w:t>（</w:t>
      </w:r>
      <w:r>
        <w:rPr>
          <w:rFonts w:hint="eastAsia" w:hAnsi="宋体" w:cs="宋体"/>
          <w:kern w:val="21"/>
          <w:sz w:val="24"/>
        </w:rPr>
        <w:t>5</w:t>
      </w:r>
      <w:r>
        <w:rPr>
          <w:rFonts w:hint="eastAsia" w:hAnsi="宋体" w:cs="宋体"/>
          <w:kern w:val="21"/>
          <w:sz w:val="24"/>
          <w:lang w:eastAsia="zh-CN"/>
        </w:rPr>
        <w:t>）</w:t>
      </w:r>
      <w:r>
        <w:rPr>
          <w:rFonts w:hint="eastAsia" w:hAnsi="宋体" w:cs="宋体"/>
          <w:kern w:val="21"/>
          <w:sz w:val="24"/>
        </w:rPr>
        <w:t>、</w:t>
      </w:r>
      <w:r>
        <w:rPr>
          <w:rFonts w:hint="eastAsia" w:hAnsi="宋体" w:cs="宋体"/>
          <w:kern w:val="21"/>
          <w:sz w:val="24"/>
          <w:lang w:val="zh-CN"/>
        </w:rPr>
        <w:t>提供</w:t>
      </w:r>
      <w:r>
        <w:rPr>
          <w:rFonts w:hint="eastAsia" w:hAnsi="宋体" w:cs="宋体"/>
          <w:sz w:val="24"/>
        </w:rPr>
        <w:t>投标截止时间前六个月内（至少提供其中一个月）缴纳社会保障资金凭据（提供专用收据或社会保险缴纳清单或社保部门出具的社保证明）和缴纳税收凭证（依法免税的，提供相应证明资料证明依法免税）；</w:t>
      </w:r>
    </w:p>
    <w:p>
      <w:pPr>
        <w:snapToGrid w:val="0"/>
        <w:spacing w:line="360" w:lineRule="auto"/>
        <w:ind w:firstLine="480" w:firstLineChars="200"/>
        <w:rPr>
          <w:rFonts w:ascii="宋体" w:hAnsi="宋体" w:cs="宋体"/>
          <w:b/>
          <w:sz w:val="24"/>
        </w:rPr>
      </w:pPr>
      <w:r>
        <w:rPr>
          <w:rFonts w:hint="eastAsia" w:ascii="宋体" w:hAnsi="宋体" w:cs="宋体"/>
          <w:sz w:val="24"/>
          <w:lang w:eastAsia="zh-CN"/>
        </w:rPr>
        <w:t>（</w:t>
      </w:r>
      <w:r>
        <w:rPr>
          <w:rFonts w:hint="eastAsia" w:ascii="宋体" w:hAnsi="宋体" w:cs="宋体"/>
          <w:sz w:val="24"/>
        </w:rPr>
        <w:t>6</w:t>
      </w:r>
      <w:r>
        <w:rPr>
          <w:rFonts w:hint="eastAsia" w:ascii="宋体" w:hAnsi="宋体" w:cs="宋体"/>
          <w:sz w:val="24"/>
          <w:lang w:eastAsia="zh-CN"/>
        </w:rPr>
        <w:t>）</w:t>
      </w:r>
      <w:r>
        <w:rPr>
          <w:rFonts w:hint="eastAsia" w:ascii="宋体" w:hAnsi="宋体" w:cs="宋体"/>
          <w:sz w:val="24"/>
        </w:rPr>
        <w:t>、提供采购公告中符合供应商特定条件的有效资质证书复印件</w:t>
      </w:r>
      <w:r>
        <w:rPr>
          <w:rFonts w:hint="eastAsia" w:ascii="宋体" w:hAnsi="宋体" w:cs="宋体"/>
          <w:b/>
          <w:bCs/>
          <w:sz w:val="24"/>
        </w:rPr>
        <w:t>（投标供应商特定条件中有要求的必须提供），</w:t>
      </w:r>
      <w:r>
        <w:rPr>
          <w:rFonts w:hint="eastAsia" w:ascii="宋体" w:hAnsi="宋体" w:cs="宋体"/>
          <w:sz w:val="24"/>
        </w:rPr>
        <w:t>以及需要说明的其他资料；</w:t>
      </w:r>
    </w:p>
    <w:p>
      <w:pPr>
        <w:snapToGrid w:val="0"/>
        <w:spacing w:line="360" w:lineRule="auto"/>
        <w:ind w:firstLine="482" w:firstLineChars="200"/>
        <w:rPr>
          <w:rFonts w:ascii="宋体" w:hAnsi="宋体"/>
          <w:b/>
          <w:sz w:val="24"/>
        </w:rPr>
      </w:pPr>
      <w:r>
        <w:rPr>
          <w:rFonts w:hint="eastAsia" w:ascii="宋体" w:hAnsi="宋体"/>
          <w:b/>
          <w:sz w:val="24"/>
        </w:rPr>
        <w:t>2、商务与技术文件的组成：</w:t>
      </w:r>
    </w:p>
    <w:p>
      <w:pPr>
        <w:pStyle w:val="8"/>
        <w:widowControl/>
        <w:adjustRightInd w:val="0"/>
        <w:snapToGrid w:val="0"/>
        <w:spacing w:line="360" w:lineRule="auto"/>
        <w:ind w:firstLine="480" w:firstLineChars="200"/>
        <w:rPr>
          <w:rFonts w:hint="eastAsia" w:ascii="宋体" w:hAnsi="宋体"/>
          <w:sz w:val="24"/>
          <w:lang w:eastAsia="zh-CN"/>
        </w:rPr>
      </w:pPr>
      <w:r>
        <w:rPr>
          <w:rFonts w:hint="eastAsia" w:ascii="宋体" w:hAnsi="宋体"/>
          <w:sz w:val="24"/>
        </w:rPr>
        <w:t>（1）投标人情况介绍（人员与技术力量、企业规模、经营业绩等，格式自拟）</w:t>
      </w:r>
      <w:r>
        <w:rPr>
          <w:rFonts w:hint="eastAsia" w:ascii="宋体" w:hAnsi="宋体"/>
          <w:sz w:val="24"/>
          <w:lang w:eastAsia="zh-CN"/>
        </w:rPr>
        <w:t>；</w:t>
      </w:r>
    </w:p>
    <w:p>
      <w:pPr>
        <w:pStyle w:val="8"/>
        <w:widowControl/>
        <w:adjustRightInd w:val="0"/>
        <w:snapToGrid w:val="0"/>
        <w:spacing w:line="360" w:lineRule="auto"/>
        <w:ind w:firstLine="480" w:firstLineChars="200"/>
        <w:rPr>
          <w:rFonts w:ascii="宋体" w:hAnsi="宋体"/>
          <w:sz w:val="24"/>
          <w:lang w:eastAsia="zh-CN"/>
        </w:rPr>
      </w:pPr>
      <w:r>
        <w:rPr>
          <w:rFonts w:hint="eastAsia" w:ascii="宋体" w:hAnsi="宋体"/>
          <w:sz w:val="24"/>
        </w:rPr>
        <w:t>（2）</w:t>
      </w:r>
      <w:r>
        <w:rPr>
          <w:rFonts w:hint="eastAsia" w:hAnsi="宋体"/>
          <w:sz w:val="24"/>
        </w:rPr>
        <w:t>类似项目业绩一览表（如有，见附件</w:t>
      </w:r>
      <w:r>
        <w:rPr>
          <w:rFonts w:hint="eastAsia" w:hAnsi="宋体"/>
          <w:sz w:val="24"/>
          <w:lang w:val="en-US" w:eastAsia="zh-CN"/>
        </w:rPr>
        <w:t>5</w:t>
      </w:r>
      <w:r>
        <w:rPr>
          <w:rFonts w:hint="eastAsia" w:hAnsi="宋体"/>
          <w:sz w:val="24"/>
        </w:rPr>
        <w:t>）</w:t>
      </w:r>
      <w:r>
        <w:rPr>
          <w:rFonts w:hint="eastAsia" w:hAnsi="宋体"/>
          <w:sz w:val="24"/>
          <w:lang w:eastAsia="zh-CN"/>
        </w:rPr>
        <w:t>；</w:t>
      </w:r>
    </w:p>
    <w:p>
      <w:pPr>
        <w:spacing w:line="360" w:lineRule="auto"/>
        <w:ind w:firstLine="480" w:firstLineChars="200"/>
        <w:rPr>
          <w:rFonts w:ascii="宋体" w:hAnsi="宋体"/>
          <w:sz w:val="24"/>
        </w:rPr>
      </w:pPr>
      <w:r>
        <w:rPr>
          <w:rFonts w:hint="eastAsia" w:ascii="宋体" w:hAnsi="宋体"/>
          <w:sz w:val="24"/>
        </w:rPr>
        <w:t>（3）商务响应表（见附件</w:t>
      </w:r>
      <w:r>
        <w:rPr>
          <w:rFonts w:hint="eastAsia" w:ascii="宋体" w:hAnsi="宋体"/>
          <w:sz w:val="24"/>
          <w:lang w:val="en-US" w:eastAsia="zh-CN"/>
        </w:rPr>
        <w:t>6</w:t>
      </w:r>
      <w:r>
        <w:rPr>
          <w:rFonts w:hint="eastAsia" w:ascii="宋体" w:hAnsi="宋体"/>
          <w:sz w:val="24"/>
        </w:rPr>
        <w:t>）；</w:t>
      </w:r>
    </w:p>
    <w:p>
      <w:pPr>
        <w:spacing w:line="360" w:lineRule="auto"/>
        <w:ind w:firstLine="480" w:firstLineChars="200"/>
        <w:rPr>
          <w:rFonts w:hint="eastAsia" w:ascii="宋体" w:hAnsi="宋体"/>
          <w:sz w:val="24"/>
        </w:rPr>
      </w:pPr>
      <w:r>
        <w:rPr>
          <w:rFonts w:hint="eastAsia" w:ascii="宋体" w:hAnsi="宋体"/>
          <w:sz w:val="24"/>
        </w:rPr>
        <w:t>（4）项目</w:t>
      </w:r>
      <w:r>
        <w:rPr>
          <w:rFonts w:hint="eastAsia" w:ascii="宋体" w:hAnsi="宋体"/>
          <w:sz w:val="24"/>
          <w:lang w:eastAsia="zh-CN"/>
        </w:rPr>
        <w:t>供货</w:t>
      </w:r>
      <w:r>
        <w:rPr>
          <w:rFonts w:hint="eastAsia" w:ascii="宋体" w:hAnsi="宋体"/>
          <w:sz w:val="24"/>
        </w:rPr>
        <w:t>方案及人员配置的详细阐述；</w:t>
      </w:r>
    </w:p>
    <w:p>
      <w:pPr>
        <w:spacing w:line="360" w:lineRule="auto"/>
        <w:ind w:firstLine="480" w:firstLineChars="200"/>
        <w:rPr>
          <w:rFonts w:hint="eastAsia" w:ascii="宋体" w:hAnsi="宋体"/>
          <w:sz w:val="24"/>
        </w:rPr>
      </w:pPr>
      <w:r>
        <w:rPr>
          <w:rFonts w:hint="eastAsia" w:ascii="宋体" w:hAnsi="宋体"/>
          <w:sz w:val="24"/>
        </w:rPr>
        <w:t>（5）备品备件及专用工具；</w:t>
      </w:r>
    </w:p>
    <w:p>
      <w:pPr>
        <w:spacing w:line="360" w:lineRule="auto"/>
        <w:ind w:firstLine="480" w:firstLineChars="200"/>
        <w:rPr>
          <w:rFonts w:hint="eastAsia" w:ascii="宋体" w:hAnsi="宋体" w:eastAsia="宋体"/>
          <w:sz w:val="24"/>
          <w:lang w:eastAsia="zh-CN"/>
        </w:rPr>
      </w:pPr>
      <w:r>
        <w:rPr>
          <w:rFonts w:hint="eastAsia" w:ascii="宋体" w:hAnsi="宋体"/>
          <w:sz w:val="24"/>
        </w:rPr>
        <w:t>（6）生产设备及工艺、产品深化设计及产品包装运输安装协调能力</w:t>
      </w:r>
      <w:r>
        <w:rPr>
          <w:rFonts w:hint="eastAsia" w:ascii="宋体" w:hAnsi="宋体"/>
          <w:sz w:val="24"/>
          <w:lang w:eastAsia="zh-CN"/>
        </w:rPr>
        <w:t>；</w:t>
      </w:r>
    </w:p>
    <w:p>
      <w:pPr>
        <w:spacing w:line="360" w:lineRule="auto"/>
        <w:ind w:firstLine="480" w:firstLineChars="200"/>
        <w:rPr>
          <w:rFonts w:hint="eastAsia" w:ascii="宋体" w:hAnsi="宋体"/>
          <w:sz w:val="24"/>
        </w:rPr>
      </w:pPr>
      <w:r>
        <w:rPr>
          <w:rFonts w:hint="eastAsia" w:ascii="宋体" w:hAnsi="宋体"/>
          <w:sz w:val="24"/>
        </w:rPr>
        <w:t>（</w:t>
      </w:r>
      <w:r>
        <w:rPr>
          <w:rFonts w:hint="eastAsia" w:ascii="宋体" w:hAnsi="宋体"/>
          <w:sz w:val="24"/>
          <w:lang w:eastAsia="zh-CN"/>
        </w:rPr>
        <w:t>7</w:t>
      </w:r>
      <w:r>
        <w:rPr>
          <w:rFonts w:hint="eastAsia" w:ascii="宋体" w:hAnsi="宋体"/>
          <w:sz w:val="24"/>
        </w:rPr>
        <w:t>）人员配置</w:t>
      </w:r>
      <w:r>
        <w:rPr>
          <w:rFonts w:hint="eastAsia" w:ascii="宋体" w:hAnsi="宋体"/>
          <w:sz w:val="24"/>
          <w:lang w:eastAsia="zh-CN"/>
        </w:rPr>
        <w:t>一览表</w:t>
      </w:r>
      <w:r>
        <w:rPr>
          <w:rFonts w:hint="eastAsia" w:ascii="宋体" w:hAnsi="宋体"/>
          <w:sz w:val="24"/>
        </w:rPr>
        <w:t>（附件</w:t>
      </w:r>
      <w:r>
        <w:rPr>
          <w:rFonts w:hint="eastAsia" w:ascii="宋体" w:hAnsi="宋体"/>
          <w:sz w:val="24"/>
          <w:lang w:val="en-US" w:eastAsia="zh-CN"/>
        </w:rPr>
        <w:t>7</w:t>
      </w:r>
      <w:r>
        <w:rPr>
          <w:rFonts w:hint="eastAsia" w:ascii="宋体" w:hAnsi="宋体"/>
          <w:sz w:val="24"/>
        </w:rPr>
        <w:t>）；</w:t>
      </w:r>
    </w:p>
    <w:p>
      <w:pPr>
        <w:pStyle w:val="8"/>
        <w:widowControl/>
        <w:adjustRightInd w:val="0"/>
        <w:snapToGrid w:val="0"/>
        <w:spacing w:line="360" w:lineRule="auto"/>
        <w:ind w:firstLine="480" w:firstLineChars="200"/>
        <w:rPr>
          <w:rFonts w:hint="eastAsia" w:ascii="宋体" w:hAnsi="宋体" w:eastAsia="宋体"/>
          <w:sz w:val="24"/>
          <w:lang w:eastAsia="zh-CN"/>
        </w:rPr>
      </w:pPr>
      <w:r>
        <w:rPr>
          <w:rFonts w:hint="eastAsia" w:ascii="宋体" w:hAnsi="宋体"/>
          <w:sz w:val="24"/>
        </w:rPr>
        <w:t>（</w:t>
      </w:r>
      <w:r>
        <w:rPr>
          <w:rFonts w:hint="eastAsia" w:ascii="宋体" w:hAnsi="宋体"/>
          <w:sz w:val="24"/>
          <w:lang w:eastAsia="zh-CN"/>
        </w:rPr>
        <w:t>8</w:t>
      </w:r>
      <w:r>
        <w:rPr>
          <w:rFonts w:hint="eastAsia" w:ascii="宋体" w:hAnsi="宋体"/>
          <w:sz w:val="24"/>
        </w:rPr>
        <w:t>）</w:t>
      </w:r>
      <w:r>
        <w:rPr>
          <w:rFonts w:hint="eastAsia" w:hAnsi="宋体" w:cs="宋体"/>
          <w:sz w:val="24"/>
          <w:lang w:val="zh-CN"/>
        </w:rPr>
        <w:t>技术响应表</w:t>
      </w:r>
      <w:r>
        <w:rPr>
          <w:rFonts w:hint="eastAsia" w:hAnsi="宋体"/>
          <w:sz w:val="24"/>
        </w:rPr>
        <w:t>（见附件</w:t>
      </w:r>
      <w:r>
        <w:rPr>
          <w:rFonts w:hint="eastAsia" w:hAnsi="宋体"/>
          <w:sz w:val="24"/>
          <w:lang w:val="en-US" w:eastAsia="zh-CN"/>
        </w:rPr>
        <w:t>8</w:t>
      </w:r>
      <w:r>
        <w:rPr>
          <w:rFonts w:hint="eastAsia" w:hAnsi="宋体"/>
          <w:sz w:val="24"/>
        </w:rPr>
        <w:t>）</w:t>
      </w:r>
      <w:r>
        <w:rPr>
          <w:rFonts w:hint="eastAsia" w:hAnsi="宋体"/>
          <w:sz w:val="24"/>
          <w:lang w:eastAsia="zh-CN"/>
        </w:rPr>
        <w:t>；</w:t>
      </w:r>
    </w:p>
    <w:p>
      <w:pPr>
        <w:pStyle w:val="8"/>
        <w:widowControl/>
        <w:adjustRightInd w:val="0"/>
        <w:snapToGrid w:val="0"/>
        <w:spacing w:line="360" w:lineRule="auto"/>
        <w:ind w:firstLine="480" w:firstLineChars="200"/>
        <w:rPr>
          <w:rFonts w:ascii="宋体" w:hAnsi="宋体"/>
          <w:sz w:val="24"/>
          <w:lang w:eastAsia="zh-CN"/>
        </w:rPr>
      </w:pPr>
      <w:r>
        <w:rPr>
          <w:rFonts w:hint="eastAsia" w:ascii="宋体" w:hAnsi="宋体"/>
          <w:sz w:val="24"/>
        </w:rPr>
        <w:t>（</w:t>
      </w:r>
      <w:r>
        <w:rPr>
          <w:rFonts w:hint="eastAsia" w:ascii="宋体" w:hAnsi="宋体"/>
          <w:sz w:val="24"/>
          <w:lang w:eastAsia="zh-CN"/>
        </w:rPr>
        <w:t>9</w:t>
      </w:r>
      <w:r>
        <w:rPr>
          <w:rFonts w:hint="eastAsia" w:ascii="宋体" w:hAnsi="宋体"/>
          <w:sz w:val="24"/>
        </w:rPr>
        <w:t>）</w:t>
      </w:r>
      <w:r>
        <w:rPr>
          <w:rFonts w:hint="eastAsia" w:hAnsi="宋体"/>
          <w:sz w:val="24"/>
        </w:rPr>
        <w:t>针对本项目的售后服务措施及承诺</w:t>
      </w:r>
      <w:r>
        <w:rPr>
          <w:rFonts w:hint="eastAsia" w:hAnsi="宋体"/>
          <w:sz w:val="24"/>
          <w:lang w:eastAsia="zh-CN"/>
        </w:rPr>
        <w:t>；</w:t>
      </w:r>
    </w:p>
    <w:p>
      <w:pPr>
        <w:pStyle w:val="11"/>
        <w:spacing w:line="360" w:lineRule="auto"/>
        <w:ind w:firstLine="480" w:firstLineChars="200"/>
        <w:rPr>
          <w:rFonts w:hint="eastAsia" w:hAnsi="宋体"/>
          <w:sz w:val="24"/>
          <w:lang w:eastAsia="zh-CN"/>
        </w:rPr>
      </w:pPr>
      <w:r>
        <w:rPr>
          <w:rFonts w:hint="eastAsia" w:hAnsi="宋体"/>
          <w:sz w:val="24"/>
        </w:rPr>
        <w:t>（</w:t>
      </w:r>
      <w:r>
        <w:rPr>
          <w:rFonts w:hint="eastAsia" w:hAnsi="宋体"/>
          <w:sz w:val="24"/>
          <w:lang w:eastAsia="zh-CN"/>
        </w:rPr>
        <w:t>10</w:t>
      </w:r>
      <w:r>
        <w:rPr>
          <w:rFonts w:hint="eastAsia" w:hAnsi="宋体"/>
          <w:sz w:val="24"/>
        </w:rPr>
        <w:t>）</w:t>
      </w:r>
      <w:r>
        <w:rPr>
          <w:rFonts w:hint="eastAsia" w:ascii="黑体" w:hAnsi="宋体" w:eastAsia="黑体"/>
          <w:b/>
          <w:sz w:val="24"/>
          <w:szCs w:val="24"/>
        </w:rPr>
        <w:t>证书及业绩材料（提供与原件一致的复印件，复印件要求加盖单位公章，提供原件备查。如不按要求提供，相应类项不予评分。）</w:t>
      </w:r>
    </w:p>
    <w:p>
      <w:pPr>
        <w:pStyle w:val="11"/>
        <w:spacing w:line="360" w:lineRule="auto"/>
        <w:ind w:firstLine="480" w:firstLineChars="200"/>
        <w:rPr>
          <w:rFonts w:hint="eastAsia" w:hAnsi="宋体"/>
          <w:sz w:val="24"/>
          <w:szCs w:val="24"/>
          <w:lang w:eastAsia="zh-CN"/>
        </w:rPr>
      </w:pPr>
      <w:r>
        <w:rPr>
          <w:rFonts w:hint="eastAsia" w:hAnsi="宋体" w:cs="宋体"/>
          <w:sz w:val="24"/>
        </w:rPr>
        <w:t>相关业绩</w:t>
      </w:r>
      <w:r>
        <w:rPr>
          <w:rFonts w:hint="eastAsia" w:hAnsi="宋体" w:cs="宋体"/>
          <w:sz w:val="24"/>
          <w:lang w:eastAsia="zh-CN"/>
        </w:rPr>
        <w:t>：</w:t>
      </w:r>
      <w:r>
        <w:rPr>
          <w:rFonts w:hint="eastAsia" w:hAnsi="宋体"/>
          <w:sz w:val="24"/>
          <w:szCs w:val="24"/>
        </w:rPr>
        <w:t>投标人于201</w:t>
      </w:r>
      <w:r>
        <w:rPr>
          <w:rFonts w:hint="eastAsia" w:hAnsi="宋体"/>
          <w:sz w:val="24"/>
          <w:szCs w:val="24"/>
          <w:lang w:val="en-US" w:eastAsia="zh-CN"/>
        </w:rPr>
        <w:t>7</w:t>
      </w:r>
      <w:r>
        <w:rPr>
          <w:rFonts w:hint="eastAsia" w:hAnsi="宋体"/>
          <w:sz w:val="24"/>
          <w:szCs w:val="24"/>
        </w:rPr>
        <w:t>年1月1日起至</w:t>
      </w:r>
      <w:r>
        <w:rPr>
          <w:rFonts w:hint="eastAsia" w:hAnsi="宋体"/>
          <w:sz w:val="24"/>
          <w:szCs w:val="24"/>
          <w:lang w:eastAsia="zh-CN"/>
        </w:rPr>
        <w:t>今</w:t>
      </w:r>
      <w:r>
        <w:rPr>
          <w:rFonts w:hint="eastAsia" w:hAnsi="宋体"/>
          <w:sz w:val="24"/>
          <w:szCs w:val="24"/>
        </w:rPr>
        <w:t>完成</w:t>
      </w:r>
      <w:r>
        <w:rPr>
          <w:rFonts w:hint="eastAsia" w:hAnsi="宋体"/>
          <w:sz w:val="24"/>
          <w:szCs w:val="24"/>
          <w:lang w:eastAsia="zh-CN"/>
        </w:rPr>
        <w:t>过</w:t>
      </w:r>
      <w:r>
        <w:rPr>
          <w:rFonts w:hint="eastAsia" w:hAnsi="宋体"/>
          <w:sz w:val="24"/>
          <w:szCs w:val="24"/>
          <w:lang w:val="en-US" w:eastAsia="zh-CN"/>
        </w:rPr>
        <w:t>幼儿家具</w:t>
      </w:r>
      <w:r>
        <w:rPr>
          <w:rFonts w:hint="eastAsia" w:hAnsi="宋体"/>
          <w:sz w:val="24"/>
          <w:szCs w:val="24"/>
        </w:rPr>
        <w:t>项目业绩</w:t>
      </w:r>
      <w:r>
        <w:rPr>
          <w:rFonts w:hint="eastAsia" w:hAnsi="宋体"/>
          <w:sz w:val="24"/>
          <w:szCs w:val="24"/>
          <w:lang w:eastAsia="zh-CN"/>
        </w:rPr>
        <w:t>的，提供供货合同及中标通知书。</w:t>
      </w:r>
    </w:p>
    <w:p>
      <w:pPr>
        <w:snapToGrid w:val="0"/>
        <w:spacing w:line="360" w:lineRule="auto"/>
        <w:ind w:firstLine="480" w:firstLineChars="200"/>
        <w:rPr>
          <w:rFonts w:hint="eastAsia" w:hAnsi="宋体"/>
          <w:sz w:val="24"/>
        </w:rPr>
      </w:pPr>
      <w:r>
        <w:rPr>
          <w:rFonts w:hint="eastAsia" w:hAnsi="宋体"/>
          <w:sz w:val="24"/>
        </w:rPr>
        <w:t>（</w:t>
      </w:r>
      <w:r>
        <w:rPr>
          <w:rFonts w:hint="eastAsia" w:hAnsi="宋体"/>
          <w:sz w:val="24"/>
          <w:lang w:val="en-US" w:eastAsia="zh-CN"/>
        </w:rPr>
        <w:t>11</w:t>
      </w:r>
      <w:r>
        <w:rPr>
          <w:rFonts w:hAnsi="宋体"/>
          <w:sz w:val="24"/>
        </w:rPr>
        <w:t>）</w:t>
      </w:r>
      <w:r>
        <w:rPr>
          <w:rFonts w:hint="eastAsia" w:hAnsi="宋体"/>
          <w:sz w:val="24"/>
        </w:rPr>
        <w:t>投标人认为需要提供的其他资料（包括可能影响投标人商务与技术文件评分的各类证明材料）。</w:t>
      </w:r>
    </w:p>
    <w:p>
      <w:pPr>
        <w:pStyle w:val="11"/>
        <w:spacing w:line="360" w:lineRule="auto"/>
        <w:ind w:firstLine="482" w:firstLineChars="200"/>
        <w:rPr>
          <w:rFonts w:hint="eastAsia" w:ascii="黑体" w:hAnsi="宋体" w:eastAsia="黑体"/>
          <w:b/>
          <w:sz w:val="24"/>
          <w:szCs w:val="24"/>
          <w:lang w:eastAsia="zh-CN"/>
        </w:rPr>
      </w:pPr>
      <w:r>
        <w:rPr>
          <w:rFonts w:hint="eastAsia" w:ascii="黑体" w:hAnsi="宋体" w:eastAsia="黑体"/>
          <w:b/>
          <w:sz w:val="24"/>
          <w:szCs w:val="24"/>
        </w:rPr>
        <w:t>（</w:t>
      </w:r>
      <w:r>
        <w:rPr>
          <w:rFonts w:hint="eastAsia" w:ascii="黑体" w:hAnsi="宋体" w:eastAsia="黑体"/>
          <w:b/>
          <w:sz w:val="24"/>
          <w:szCs w:val="24"/>
          <w:lang w:val="en-US" w:eastAsia="zh-CN"/>
        </w:rPr>
        <w:t>12</w:t>
      </w:r>
      <w:r>
        <w:rPr>
          <w:rFonts w:hint="eastAsia" w:ascii="黑体" w:hAnsi="宋体" w:eastAsia="黑体"/>
          <w:b/>
          <w:sz w:val="24"/>
          <w:szCs w:val="24"/>
        </w:rPr>
        <w:t>）产品样品（提供以下样品各1个）：</w:t>
      </w:r>
    </w:p>
    <w:p>
      <w:pPr>
        <w:pStyle w:val="11"/>
        <w:spacing w:line="360" w:lineRule="auto"/>
        <w:ind w:firstLine="482" w:firstLineChars="200"/>
        <w:rPr>
          <w:rFonts w:hint="eastAsia" w:ascii="黑体" w:hAnsi="宋体" w:eastAsia="黑体"/>
          <w:b/>
          <w:sz w:val="24"/>
          <w:szCs w:val="24"/>
          <w:lang w:eastAsia="zh-CN"/>
        </w:rPr>
      </w:pPr>
      <w:r>
        <w:rPr>
          <w:rFonts w:hint="eastAsia" w:ascii="黑体" w:hAnsi="宋体" w:eastAsia="黑体"/>
          <w:b/>
          <w:sz w:val="24"/>
          <w:szCs w:val="24"/>
        </w:rPr>
        <w:t>1）</w:t>
      </w:r>
      <w:r>
        <w:rPr>
          <w:rFonts w:hint="eastAsia" w:ascii="黑体" w:hAnsi="宋体" w:eastAsia="黑体"/>
          <w:b/>
          <w:sz w:val="24"/>
          <w:szCs w:val="24"/>
          <w:lang w:eastAsia="zh-CN"/>
        </w:rPr>
        <w:t>童话王国实木6人桌面；</w:t>
      </w:r>
    </w:p>
    <w:p>
      <w:pPr>
        <w:pStyle w:val="11"/>
        <w:spacing w:line="360" w:lineRule="auto"/>
        <w:ind w:firstLine="482" w:firstLineChars="200"/>
        <w:rPr>
          <w:rFonts w:hint="eastAsia" w:ascii="黑体" w:hAnsi="宋体" w:eastAsia="黑体"/>
          <w:b/>
          <w:sz w:val="24"/>
          <w:szCs w:val="24"/>
          <w:lang w:eastAsia="zh-CN"/>
        </w:rPr>
      </w:pPr>
      <w:r>
        <w:rPr>
          <w:rFonts w:hint="eastAsia" w:ascii="黑体" w:hAnsi="宋体" w:eastAsia="黑体"/>
          <w:b/>
          <w:sz w:val="24"/>
          <w:szCs w:val="24"/>
        </w:rPr>
        <w:t>2）</w:t>
      </w:r>
      <w:r>
        <w:rPr>
          <w:rFonts w:hint="eastAsia" w:ascii="黑体" w:hAnsi="宋体" w:eastAsia="黑体"/>
          <w:b/>
          <w:sz w:val="24"/>
          <w:szCs w:val="24"/>
          <w:lang w:eastAsia="zh-CN"/>
        </w:rPr>
        <w:t>童话王国幼教椅27CM；</w:t>
      </w:r>
    </w:p>
    <w:p>
      <w:pPr>
        <w:pStyle w:val="11"/>
        <w:spacing w:line="360" w:lineRule="auto"/>
        <w:ind w:firstLine="482" w:firstLineChars="200"/>
        <w:rPr>
          <w:rFonts w:hint="eastAsia" w:ascii="黑体" w:hAnsi="宋体" w:eastAsia="黑体"/>
          <w:b/>
          <w:sz w:val="24"/>
          <w:szCs w:val="24"/>
          <w:lang w:eastAsia="zh-CN"/>
        </w:rPr>
      </w:pPr>
      <w:r>
        <w:rPr>
          <w:rFonts w:hint="eastAsia" w:ascii="黑体" w:hAnsi="宋体" w:eastAsia="黑体"/>
          <w:b/>
          <w:sz w:val="24"/>
          <w:szCs w:val="24"/>
        </w:rPr>
        <w:t>3）</w:t>
      </w:r>
      <w:r>
        <w:rPr>
          <w:rFonts w:hint="eastAsia" w:ascii="黑体" w:hAnsi="宋体" w:eastAsia="黑体"/>
          <w:b/>
          <w:sz w:val="24"/>
          <w:szCs w:val="24"/>
          <w:lang w:eastAsia="zh-CN"/>
        </w:rPr>
        <w:t>雅典花园五格中空柜-枫木纹；</w:t>
      </w:r>
    </w:p>
    <w:p>
      <w:pPr>
        <w:pStyle w:val="11"/>
        <w:spacing w:line="360" w:lineRule="auto"/>
        <w:ind w:firstLine="482" w:firstLineChars="200"/>
        <w:rPr>
          <w:rFonts w:hint="eastAsia" w:ascii="黑体" w:hAnsi="宋体" w:eastAsia="黑体"/>
          <w:b/>
          <w:sz w:val="24"/>
          <w:szCs w:val="24"/>
          <w:lang w:eastAsia="zh-CN"/>
        </w:rPr>
      </w:pPr>
      <w:r>
        <w:rPr>
          <w:rFonts w:hint="eastAsia" w:ascii="黑体" w:hAnsi="宋体" w:eastAsia="黑体"/>
          <w:b/>
          <w:sz w:val="24"/>
          <w:szCs w:val="24"/>
          <w:lang w:val="en-US" w:eastAsia="zh-CN"/>
        </w:rPr>
        <w:t>4）</w:t>
      </w:r>
      <w:r>
        <w:rPr>
          <w:rFonts w:hint="eastAsia" w:ascii="黑体" w:hAnsi="宋体" w:eastAsia="黑体"/>
          <w:b/>
          <w:sz w:val="24"/>
          <w:szCs w:val="24"/>
          <w:lang w:eastAsia="zh-CN"/>
        </w:rPr>
        <w:t>户外碳化积木三块（随机）；</w:t>
      </w:r>
    </w:p>
    <w:p>
      <w:pPr>
        <w:snapToGrid w:val="0"/>
        <w:spacing w:line="360" w:lineRule="auto"/>
        <w:ind w:firstLine="482" w:firstLineChars="200"/>
        <w:rPr>
          <w:rFonts w:hint="eastAsia" w:ascii="Times New Roman" w:hAnsi="宋体" w:cs="Times New Roman"/>
          <w:sz w:val="24"/>
          <w:lang w:val="en-US" w:eastAsia="zh-CN"/>
        </w:rPr>
      </w:pPr>
      <w:r>
        <w:rPr>
          <w:rFonts w:hint="eastAsia" w:ascii="黑体" w:hAnsi="宋体" w:eastAsia="黑体"/>
          <w:b/>
          <w:sz w:val="24"/>
          <w:szCs w:val="24"/>
          <w:lang w:val="en-US" w:eastAsia="zh-CN"/>
        </w:rPr>
        <w:t>5）室外攀岩钢丝绳索1米（带铝扣）、户外组合幼教玩具镀锌钢</w:t>
      </w:r>
      <w:r>
        <w:rPr>
          <w:rFonts w:hint="eastAsia" w:ascii="Times New Roman" w:hAnsi="宋体" w:cs="Times New Roman"/>
          <w:sz w:val="24"/>
          <w:lang w:val="en-US" w:eastAsia="zh-CN"/>
        </w:rPr>
        <w:t>管直径6.0cm长度1m。</w:t>
      </w:r>
    </w:p>
    <w:p>
      <w:pPr>
        <w:snapToGrid w:val="0"/>
        <w:spacing w:line="360" w:lineRule="auto"/>
        <w:ind w:firstLine="480" w:firstLineChars="200"/>
        <w:rPr>
          <w:rFonts w:hint="eastAsia" w:ascii="Times New Roman" w:hAnsi="宋体" w:cs="Times New Roman"/>
          <w:b/>
          <w:bCs/>
          <w:sz w:val="24"/>
        </w:rPr>
      </w:pPr>
      <w:r>
        <w:rPr>
          <w:rFonts w:hint="eastAsia" w:ascii="Times New Roman" w:hAnsi="宋体" w:cs="Times New Roman"/>
          <w:sz w:val="24"/>
        </w:rPr>
        <w:t>注：1）投标产品样品单独提供，无需密封，</w:t>
      </w:r>
      <w:r>
        <w:rPr>
          <w:rFonts w:hint="eastAsia" w:ascii="Times New Roman" w:hAnsi="宋体" w:cs="Times New Roman"/>
          <w:b/>
          <w:bCs/>
          <w:sz w:val="24"/>
          <w:lang w:eastAsia="zh-CN"/>
        </w:rPr>
        <w:t>样品上</w:t>
      </w:r>
      <w:r>
        <w:rPr>
          <w:rFonts w:hint="eastAsia" w:ascii="Times New Roman" w:hAnsi="宋体" w:cs="Times New Roman"/>
          <w:b/>
          <w:bCs/>
          <w:sz w:val="24"/>
        </w:rPr>
        <w:t>不得出现能体现该投标单位的任何标识、标签（暗标），否则作无效标处理；</w:t>
      </w:r>
    </w:p>
    <w:p>
      <w:pPr>
        <w:snapToGrid w:val="0"/>
        <w:spacing w:line="360" w:lineRule="auto"/>
        <w:ind w:firstLine="480" w:firstLineChars="200"/>
        <w:rPr>
          <w:rFonts w:hint="eastAsia" w:hAnsi="宋体"/>
          <w:sz w:val="24"/>
        </w:rPr>
      </w:pPr>
      <w:r>
        <w:rPr>
          <w:rFonts w:hint="eastAsia" w:hAnsi="宋体"/>
          <w:sz w:val="24"/>
        </w:rPr>
        <w:t>2）投标人在投标时必须按上述要求提供投标产品样品，否则作无效标处理；</w:t>
      </w:r>
    </w:p>
    <w:p>
      <w:pPr>
        <w:snapToGrid w:val="0"/>
        <w:spacing w:line="360" w:lineRule="auto"/>
        <w:ind w:firstLine="480" w:firstLineChars="200"/>
        <w:rPr>
          <w:rFonts w:hint="eastAsia" w:hAnsi="宋体"/>
          <w:sz w:val="24"/>
        </w:rPr>
      </w:pPr>
      <w:r>
        <w:rPr>
          <w:rFonts w:hint="eastAsia" w:hAnsi="宋体"/>
          <w:sz w:val="24"/>
        </w:rPr>
        <w:t>3）样品随投标文件一起递交，中标供应商的样品不予退回，由采购人保管；</w:t>
      </w:r>
    </w:p>
    <w:p>
      <w:pPr>
        <w:snapToGrid w:val="0"/>
        <w:spacing w:line="360" w:lineRule="auto"/>
        <w:ind w:firstLine="480" w:firstLineChars="200"/>
        <w:rPr>
          <w:b/>
          <w:sz w:val="28"/>
        </w:rPr>
      </w:pPr>
      <w:r>
        <w:rPr>
          <w:rFonts w:hint="eastAsia" w:hAnsi="宋体"/>
          <w:sz w:val="24"/>
        </w:rPr>
        <w:t>4）样品将作为今后货物验收的依据之一。</w:t>
      </w:r>
    </w:p>
    <w:p>
      <w:pPr>
        <w:snapToGrid w:val="0"/>
        <w:spacing w:line="360" w:lineRule="auto"/>
        <w:ind w:firstLine="482" w:firstLineChars="200"/>
        <w:rPr>
          <w:rFonts w:hint="eastAsia" w:ascii="宋体" w:hAnsi="宋体"/>
          <w:b/>
          <w:sz w:val="24"/>
        </w:rPr>
      </w:pPr>
      <w:r>
        <w:rPr>
          <w:rFonts w:hint="eastAsia" w:ascii="宋体" w:hAnsi="宋体"/>
          <w:b/>
          <w:sz w:val="24"/>
        </w:rPr>
        <w:t>3、报价文件的组成：</w:t>
      </w:r>
    </w:p>
    <w:p>
      <w:pPr>
        <w:snapToGrid w:val="0"/>
        <w:spacing w:line="360" w:lineRule="auto"/>
        <w:ind w:firstLine="480" w:firstLineChars="200"/>
        <w:rPr>
          <w:rFonts w:hint="eastAsia" w:hAnsi="宋体"/>
          <w:sz w:val="24"/>
        </w:rPr>
      </w:pPr>
      <w:r>
        <w:rPr>
          <w:rFonts w:hint="eastAsia" w:hAnsi="宋体"/>
          <w:sz w:val="24"/>
          <w:lang w:val="en-US" w:eastAsia="zh-CN"/>
        </w:rPr>
        <w:t>（1）</w:t>
      </w:r>
      <w:r>
        <w:rPr>
          <w:rFonts w:hint="eastAsia" w:hAnsi="宋体"/>
          <w:sz w:val="24"/>
        </w:rPr>
        <w:t>开标一览表（附件1</w:t>
      </w:r>
      <w:r>
        <w:rPr>
          <w:rFonts w:hint="eastAsia" w:hAnsi="宋体"/>
          <w:sz w:val="24"/>
          <w:lang w:val="en-US" w:eastAsia="zh-CN"/>
        </w:rPr>
        <w:t>1</w:t>
      </w:r>
      <w:r>
        <w:rPr>
          <w:rFonts w:hint="eastAsia" w:hAnsi="宋体"/>
          <w:sz w:val="24"/>
        </w:rPr>
        <w:t>）；</w:t>
      </w:r>
    </w:p>
    <w:p>
      <w:pPr>
        <w:snapToGrid w:val="0"/>
        <w:spacing w:line="360" w:lineRule="auto"/>
        <w:ind w:firstLine="480" w:firstLineChars="200"/>
        <w:rPr>
          <w:rFonts w:hint="eastAsia" w:hAnsi="宋体"/>
          <w:sz w:val="24"/>
        </w:rPr>
      </w:pPr>
      <w:r>
        <w:rPr>
          <w:rFonts w:hint="eastAsia" w:hAnsi="宋体"/>
          <w:sz w:val="24"/>
          <w:lang w:val="en-US" w:eastAsia="zh-CN"/>
        </w:rPr>
        <w:t>（2）</w:t>
      </w:r>
      <w:r>
        <w:rPr>
          <w:rFonts w:hint="eastAsia" w:hAnsi="宋体"/>
          <w:sz w:val="24"/>
          <w:lang w:eastAsia="zh-CN"/>
        </w:rPr>
        <w:t>报价明细表（附件</w:t>
      </w:r>
      <w:r>
        <w:rPr>
          <w:rFonts w:hint="eastAsia" w:hAnsi="宋体"/>
          <w:sz w:val="24"/>
          <w:lang w:val="en-US" w:eastAsia="zh-CN"/>
        </w:rPr>
        <w:t>12</w:t>
      </w:r>
      <w:r>
        <w:rPr>
          <w:rFonts w:hint="eastAsia" w:hAnsi="宋体"/>
          <w:sz w:val="24"/>
          <w:lang w:eastAsia="zh-CN"/>
        </w:rPr>
        <w:t>）</w:t>
      </w:r>
    </w:p>
    <w:p>
      <w:pPr>
        <w:snapToGrid w:val="0"/>
        <w:spacing w:line="360" w:lineRule="auto"/>
        <w:ind w:firstLine="480" w:firstLineChars="200"/>
        <w:rPr>
          <w:rFonts w:hint="eastAsia" w:hAnsi="宋体"/>
          <w:sz w:val="24"/>
        </w:rPr>
      </w:pPr>
      <w:r>
        <w:rPr>
          <w:rFonts w:hint="eastAsia" w:hAnsi="宋体"/>
          <w:sz w:val="24"/>
          <w:lang w:val="en-US" w:eastAsia="zh-CN"/>
        </w:rPr>
        <w:t>（3）</w:t>
      </w:r>
      <w:r>
        <w:rPr>
          <w:rFonts w:hint="eastAsia" w:hAnsi="宋体"/>
          <w:sz w:val="24"/>
        </w:rPr>
        <w:t>投标人认为其他需要说明的内容；</w:t>
      </w:r>
    </w:p>
    <w:p>
      <w:pPr>
        <w:spacing w:line="360" w:lineRule="auto"/>
        <w:ind w:firstLine="482" w:firstLineChars="200"/>
        <w:rPr>
          <w:rFonts w:ascii="宋体" w:hAnsi="宋体" w:cs="宋体"/>
          <w:b/>
          <w:kern w:val="0"/>
          <w:sz w:val="24"/>
        </w:rPr>
      </w:pPr>
      <w:r>
        <w:rPr>
          <w:rFonts w:hint="eastAsia" w:ascii="宋体"/>
          <w:b/>
          <w:sz w:val="24"/>
          <w:lang w:val="zh-CN"/>
        </w:rPr>
        <w:t>（三）投标报价</w:t>
      </w:r>
    </w:p>
    <w:p>
      <w:pPr>
        <w:autoSpaceDE w:val="0"/>
        <w:autoSpaceDN w:val="0"/>
        <w:adjustRightInd w:val="0"/>
        <w:spacing w:line="360" w:lineRule="auto"/>
        <w:ind w:firstLine="480"/>
        <w:rPr>
          <w:rFonts w:ascii="宋体"/>
          <w:sz w:val="24"/>
          <w:lang w:val="zh-CN"/>
        </w:rPr>
      </w:pPr>
      <w:r>
        <w:rPr>
          <w:rFonts w:hint="eastAsia" w:ascii="宋体" w:hAnsi="宋体" w:cs="宋体"/>
          <w:kern w:val="0"/>
          <w:sz w:val="24"/>
          <w:lang w:val="zh-CN"/>
        </w:rPr>
        <w:t>1</w:t>
      </w:r>
      <w:r>
        <w:rPr>
          <w:rFonts w:hint="eastAsia" w:ascii="宋体" w:hAnsi="宋体" w:cs="宋体"/>
          <w:kern w:val="0"/>
          <w:sz w:val="24"/>
        </w:rPr>
        <w:t>.</w:t>
      </w:r>
      <w:r>
        <w:rPr>
          <w:rFonts w:hint="eastAsia" w:ascii="宋体" w:hAnsi="宋体" w:cs="宋体"/>
          <w:kern w:val="0"/>
          <w:sz w:val="24"/>
          <w:lang w:val="zh-CN"/>
        </w:rPr>
        <w:t>投标报价应按招标文件中相关附表《</w:t>
      </w:r>
      <w:r>
        <w:rPr>
          <w:rFonts w:hint="eastAsia" w:ascii="宋体" w:hAnsi="宋体"/>
          <w:sz w:val="24"/>
        </w:rPr>
        <w:t>开标一览表</w:t>
      </w:r>
      <w:r>
        <w:rPr>
          <w:rFonts w:hint="eastAsia" w:ascii="宋体" w:hAnsi="宋体" w:cs="宋体"/>
          <w:kern w:val="0"/>
          <w:sz w:val="24"/>
          <w:lang w:val="zh-CN"/>
        </w:rPr>
        <w:t>》、《</w:t>
      </w:r>
      <w:r>
        <w:rPr>
          <w:rFonts w:hint="eastAsia" w:ascii="宋体" w:hAnsi="宋体"/>
          <w:sz w:val="24"/>
        </w:rPr>
        <w:t>投标报价明细表</w:t>
      </w:r>
      <w:r>
        <w:rPr>
          <w:rFonts w:hint="eastAsia" w:ascii="宋体" w:hAnsi="宋体" w:cs="宋体"/>
          <w:kern w:val="0"/>
          <w:sz w:val="24"/>
          <w:lang w:val="zh-CN"/>
        </w:rPr>
        <w:t>》格式填写。</w:t>
      </w:r>
    </w:p>
    <w:p>
      <w:pPr>
        <w:autoSpaceDE w:val="0"/>
        <w:autoSpaceDN w:val="0"/>
        <w:adjustRightInd w:val="0"/>
        <w:spacing w:line="440" w:lineRule="exact"/>
        <w:ind w:firstLine="482" w:firstLineChars="200"/>
        <w:rPr>
          <w:rFonts w:hint="eastAsia" w:ascii="宋体"/>
          <w:sz w:val="24"/>
          <w:u w:val="single"/>
          <w:lang w:val="zh-CN"/>
        </w:rPr>
      </w:pPr>
      <w:r>
        <w:rPr>
          <w:rFonts w:hint="eastAsia" w:ascii="黑体" w:eastAsia="黑体"/>
          <w:b/>
          <w:sz w:val="24"/>
        </w:rPr>
        <w:t>▲</w:t>
      </w:r>
      <w:r>
        <w:rPr>
          <w:rFonts w:hint="eastAsia" w:ascii="宋体"/>
          <w:sz w:val="24"/>
          <w:lang w:val="zh-CN"/>
        </w:rPr>
        <w:t>2</w:t>
      </w:r>
      <w:r>
        <w:rPr>
          <w:rFonts w:hint="eastAsia" w:ascii="宋体"/>
          <w:sz w:val="24"/>
        </w:rPr>
        <w:t>.</w:t>
      </w:r>
      <w:r>
        <w:rPr>
          <w:rFonts w:hint="eastAsia" w:ascii="宋体"/>
          <w:sz w:val="24"/>
          <w:u w:val="single"/>
          <w:lang w:val="zh-CN"/>
        </w:rPr>
        <w:t>投标报价是包括涉及本项目全部工作实施所发生的全部费用，</w:t>
      </w:r>
      <w:r>
        <w:rPr>
          <w:rFonts w:hint="eastAsia" w:ascii="宋体" w:hAnsi="宋体"/>
          <w:b/>
          <w:sz w:val="24"/>
          <w:u w:val="single"/>
        </w:rPr>
        <w:t>供应商的报价（合价）应包括因承包本次采购项目所需的货物价款、劳务、质检（自检）、运输、装卸、安装调试、缺陷修复、验收、管理、风险、保险、税费、质保、培训及不可预见费用等一切费用</w:t>
      </w:r>
      <w:r>
        <w:rPr>
          <w:rFonts w:hint="eastAsia" w:ascii="宋体" w:hAnsi="宋体"/>
          <w:b/>
          <w:bCs/>
          <w:sz w:val="24"/>
          <w:u w:val="single"/>
        </w:rPr>
        <w:t>。</w:t>
      </w:r>
      <w:r>
        <w:rPr>
          <w:rFonts w:hint="eastAsia" w:ascii="宋体"/>
          <w:sz w:val="24"/>
          <w:u w:val="single"/>
          <w:lang w:val="zh-CN"/>
        </w:rPr>
        <w:t>全部费用已包含在开标一览表的投标总报价中。</w:t>
      </w:r>
    </w:p>
    <w:p>
      <w:pPr>
        <w:autoSpaceDE w:val="0"/>
        <w:autoSpaceDN w:val="0"/>
        <w:adjustRightInd w:val="0"/>
        <w:spacing w:line="360" w:lineRule="auto"/>
        <w:ind w:firstLine="236" w:firstLineChars="98"/>
        <w:rPr>
          <w:rFonts w:ascii="宋体"/>
          <w:sz w:val="24"/>
          <w:lang w:val="zh-CN"/>
        </w:rPr>
      </w:pPr>
      <w:r>
        <w:rPr>
          <w:rFonts w:hint="eastAsia" w:ascii="黑体" w:eastAsia="黑体"/>
          <w:b/>
          <w:sz w:val="24"/>
        </w:rPr>
        <w:t>▲</w:t>
      </w:r>
      <w:r>
        <w:rPr>
          <w:rFonts w:hint="eastAsia" w:ascii="宋体"/>
          <w:sz w:val="24"/>
          <w:lang w:val="zh-CN"/>
        </w:rPr>
        <w:t>3</w:t>
      </w:r>
      <w:r>
        <w:rPr>
          <w:rFonts w:hint="eastAsia" w:ascii="宋体"/>
          <w:sz w:val="24"/>
        </w:rPr>
        <w:t>.</w:t>
      </w:r>
      <w:r>
        <w:rPr>
          <w:rFonts w:hint="eastAsia" w:ascii="宋体"/>
          <w:sz w:val="24"/>
          <w:lang w:val="zh-CN"/>
        </w:rPr>
        <w:t>投标文件只允许有一个报价，有选择的报价将不予接受。</w:t>
      </w:r>
    </w:p>
    <w:p>
      <w:pPr>
        <w:autoSpaceDE w:val="0"/>
        <w:autoSpaceDN w:val="0"/>
        <w:adjustRightInd w:val="0"/>
        <w:spacing w:line="360" w:lineRule="auto"/>
        <w:ind w:firstLine="236" w:firstLineChars="98"/>
        <w:rPr>
          <w:rFonts w:hint="eastAsia" w:ascii="宋体"/>
          <w:sz w:val="24"/>
          <w:lang w:val="zh-CN"/>
        </w:rPr>
      </w:pPr>
      <w:r>
        <w:rPr>
          <w:rFonts w:hint="eastAsia" w:ascii="黑体" w:eastAsia="黑体"/>
          <w:b/>
          <w:sz w:val="24"/>
        </w:rPr>
        <w:t>▲</w:t>
      </w:r>
      <w:r>
        <w:rPr>
          <w:rFonts w:hint="eastAsia" w:ascii="宋体"/>
          <w:sz w:val="24"/>
          <w:lang w:val="zh-CN"/>
        </w:rPr>
        <w:t>4</w:t>
      </w:r>
      <w:r>
        <w:rPr>
          <w:rFonts w:hint="eastAsia" w:ascii="宋体"/>
          <w:sz w:val="24"/>
        </w:rPr>
        <w:t>.</w:t>
      </w:r>
      <w:r>
        <w:rPr>
          <w:rFonts w:hint="eastAsia" w:ascii="宋体"/>
          <w:sz w:val="24"/>
          <w:lang w:val="zh-CN"/>
        </w:rPr>
        <w:t>本项目设有最高限价，</w:t>
      </w:r>
      <w:r>
        <w:rPr>
          <w:rFonts w:hint="eastAsia" w:ascii="宋体" w:hAnsi="宋体" w:cs="宋体"/>
          <w:bCs/>
          <w:sz w:val="24"/>
        </w:rPr>
        <w:t>最高限价见前附表</w:t>
      </w:r>
      <w:r>
        <w:rPr>
          <w:rFonts w:hint="eastAsia" w:ascii="宋体" w:hAnsi="宋体" w:cs="宋体"/>
          <w:sz w:val="24"/>
          <w:lang w:val="zh-CN"/>
        </w:rPr>
        <w:t>。</w:t>
      </w:r>
      <w:r>
        <w:rPr>
          <w:rFonts w:hint="eastAsia" w:ascii="宋体"/>
          <w:sz w:val="24"/>
          <w:lang w:val="zh-CN"/>
        </w:rPr>
        <w:t>若投标报价超过最高限价的，其投标文件作无效标处理。</w:t>
      </w:r>
    </w:p>
    <w:p>
      <w:pPr>
        <w:tabs>
          <w:tab w:val="left" w:pos="574"/>
        </w:tabs>
        <w:wordWrap w:val="0"/>
        <w:adjustRightInd w:val="0"/>
        <w:spacing w:line="288" w:lineRule="auto"/>
        <w:ind w:firstLine="480" w:firstLineChars="200"/>
        <w:textAlignment w:val="baseline"/>
        <w:rPr>
          <w:rFonts w:hint="eastAsia"/>
          <w:kern w:val="0"/>
          <w:sz w:val="24"/>
        </w:rPr>
      </w:pPr>
      <w:r>
        <w:rPr>
          <w:rFonts w:hint="eastAsia" w:ascii="宋体" w:hAnsi="宋体"/>
          <w:kern w:val="0"/>
          <w:sz w:val="24"/>
        </w:rPr>
        <w:t>5.</w:t>
      </w:r>
      <w:r>
        <w:rPr>
          <w:rFonts w:hint="eastAsia"/>
          <w:kern w:val="0"/>
          <w:sz w:val="24"/>
        </w:rPr>
        <w:t>投标报价明细表</w:t>
      </w:r>
      <w:r>
        <w:rPr>
          <w:rFonts w:hint="eastAsia" w:ascii="宋体" w:hAnsi="宋体"/>
          <w:kern w:val="0"/>
          <w:sz w:val="24"/>
        </w:rPr>
        <w:t>及开标一览表</w:t>
      </w:r>
      <w:r>
        <w:rPr>
          <w:rFonts w:hint="eastAsia"/>
          <w:kern w:val="0"/>
          <w:sz w:val="24"/>
        </w:rPr>
        <w:t>中每单项必须填写单价和合价</w:t>
      </w:r>
      <w:r>
        <w:rPr>
          <w:kern w:val="0"/>
          <w:sz w:val="24"/>
        </w:rPr>
        <w:t>,</w:t>
      </w:r>
      <w:r>
        <w:rPr>
          <w:rFonts w:hint="eastAsia"/>
          <w:kern w:val="0"/>
          <w:sz w:val="24"/>
        </w:rPr>
        <w:t xml:space="preserve"> 其它属于招标内容范围内而未列入设备材料清单子目内的，视为己包含或分配到设备材料清单的其他单价或合价之中。</w:t>
      </w:r>
    </w:p>
    <w:p>
      <w:pPr>
        <w:tabs>
          <w:tab w:val="left" w:pos="574"/>
        </w:tabs>
        <w:wordWrap w:val="0"/>
        <w:adjustRightInd w:val="0"/>
        <w:spacing w:line="288" w:lineRule="auto"/>
        <w:ind w:firstLine="482" w:firstLineChars="200"/>
        <w:textAlignment w:val="baseline"/>
        <w:rPr>
          <w:rFonts w:ascii="黑体" w:hAnsi="黑体" w:eastAsia="黑体"/>
          <w:b/>
          <w:kern w:val="0"/>
          <w:sz w:val="24"/>
        </w:rPr>
      </w:pPr>
      <w:r>
        <w:rPr>
          <w:rFonts w:hint="eastAsia" w:ascii="黑体" w:hAnsi="黑体" w:eastAsia="黑体"/>
          <w:b/>
          <w:kern w:val="0"/>
          <w:sz w:val="24"/>
        </w:rPr>
        <w:t>6投标人所有优惠条件和优惠费用不得降低和影响本采购项目质量。</w:t>
      </w:r>
    </w:p>
    <w:p>
      <w:pPr>
        <w:numPr>
          <w:ilvl w:val="1"/>
          <w:numId w:val="0"/>
        </w:numPr>
        <w:tabs>
          <w:tab w:val="left" w:pos="574"/>
        </w:tabs>
        <w:wordWrap w:val="0"/>
        <w:adjustRightInd w:val="0"/>
        <w:spacing w:line="360" w:lineRule="auto"/>
        <w:ind w:firstLine="482" w:firstLineChars="200"/>
        <w:textAlignment w:val="baseline"/>
        <w:rPr>
          <w:rFonts w:hint="eastAsia" w:ascii="黑体" w:hAnsi="黑体" w:eastAsia="黑体"/>
          <w:b/>
          <w:kern w:val="0"/>
          <w:sz w:val="24"/>
        </w:rPr>
      </w:pPr>
      <w:r>
        <w:rPr>
          <w:rFonts w:hint="eastAsia" w:ascii="黑体" w:hAnsi="黑体" w:eastAsia="黑体"/>
          <w:b/>
          <w:kern w:val="0"/>
          <w:sz w:val="24"/>
        </w:rPr>
        <w:t>7.附件中除空白部分由投标人自报外，其余内容作为投标报价的共同基础，如投标人擅自更改将引起废标。</w:t>
      </w:r>
    </w:p>
    <w:p>
      <w:pPr>
        <w:tabs>
          <w:tab w:val="left" w:pos="574"/>
        </w:tabs>
        <w:wordWrap w:val="0"/>
        <w:adjustRightInd w:val="0"/>
        <w:spacing w:line="288" w:lineRule="auto"/>
        <w:ind w:firstLine="482" w:firstLineChars="200"/>
        <w:textAlignment w:val="baseline"/>
        <w:rPr>
          <w:rFonts w:hint="eastAsia" w:ascii="黑体" w:hAnsi="黑体" w:eastAsia="黑体"/>
          <w:b/>
          <w:color w:val="0000FF"/>
          <w:kern w:val="0"/>
          <w:sz w:val="24"/>
        </w:rPr>
      </w:pPr>
      <w:r>
        <w:rPr>
          <w:rFonts w:hint="eastAsia" w:ascii="黑体" w:hAnsi="黑体" w:eastAsia="黑体"/>
          <w:b/>
          <w:color w:val="auto"/>
          <w:kern w:val="0"/>
          <w:sz w:val="24"/>
        </w:rPr>
        <w:t>8.服务期要求</w:t>
      </w:r>
      <w:r>
        <w:rPr>
          <w:rFonts w:hint="eastAsia" w:ascii="黑体" w:hAnsi="黑体" w:eastAsia="黑体"/>
          <w:b/>
          <w:color w:val="auto"/>
          <w:kern w:val="0"/>
          <w:sz w:val="24"/>
        </w:rPr>
        <w:t>：</w:t>
      </w:r>
      <w:r>
        <w:rPr>
          <w:rFonts w:hint="eastAsia" w:asciiTheme="majorEastAsia" w:hAnsiTheme="majorEastAsia" w:eastAsiaTheme="majorEastAsia" w:cstheme="majorEastAsia"/>
          <w:color w:val="auto"/>
          <w:sz w:val="24"/>
        </w:rPr>
        <w:t>在</w:t>
      </w:r>
      <w:r>
        <w:rPr>
          <w:rFonts w:hint="eastAsia" w:asciiTheme="majorEastAsia" w:hAnsiTheme="majorEastAsia" w:eastAsiaTheme="majorEastAsia" w:cstheme="majorEastAsia"/>
          <w:color w:val="auto"/>
          <w:sz w:val="24"/>
          <w:lang w:val="en-US" w:eastAsia="zh-CN"/>
        </w:rPr>
        <w:t>2019年10月03日</w:t>
      </w:r>
      <w:r>
        <w:rPr>
          <w:rFonts w:hint="eastAsia" w:asciiTheme="majorEastAsia" w:hAnsiTheme="majorEastAsia" w:eastAsiaTheme="majorEastAsia" w:cstheme="majorEastAsia"/>
          <w:sz w:val="24"/>
          <w:lang w:val="en-US" w:eastAsia="zh-CN"/>
        </w:rPr>
        <w:t>前</w:t>
      </w:r>
      <w:r>
        <w:rPr>
          <w:rFonts w:hint="eastAsia" w:asciiTheme="majorEastAsia" w:hAnsiTheme="majorEastAsia" w:eastAsiaTheme="majorEastAsia" w:cstheme="majorEastAsia"/>
          <w:sz w:val="24"/>
        </w:rPr>
        <w:t>完成产品的供货、安装、调试</w:t>
      </w:r>
      <w:r>
        <w:rPr>
          <w:rFonts w:hint="eastAsia" w:asciiTheme="majorEastAsia" w:hAnsiTheme="majorEastAsia" w:eastAsiaTheme="majorEastAsia" w:cstheme="majorEastAsia"/>
          <w:sz w:val="24"/>
          <w:lang w:eastAsia="zh-CN"/>
        </w:rPr>
        <w:t>等</w:t>
      </w:r>
      <w:r>
        <w:rPr>
          <w:rFonts w:hint="eastAsia" w:asciiTheme="majorEastAsia" w:hAnsiTheme="majorEastAsia" w:eastAsiaTheme="majorEastAsia" w:cstheme="majorEastAsia"/>
          <w:sz w:val="24"/>
        </w:rPr>
        <w:t>。</w:t>
      </w:r>
    </w:p>
    <w:p>
      <w:pPr>
        <w:numPr>
          <w:ilvl w:val="0"/>
          <w:numId w:val="5"/>
        </w:numPr>
        <w:spacing w:line="360" w:lineRule="auto"/>
        <w:rPr>
          <w:rFonts w:asciiTheme="minorEastAsia" w:hAnsiTheme="minorEastAsia" w:eastAsiaTheme="minorEastAsia"/>
          <w:b/>
          <w:bCs/>
          <w:kern w:val="0"/>
          <w:sz w:val="24"/>
        </w:rPr>
      </w:pPr>
      <w:r>
        <w:rPr>
          <w:rFonts w:hint="eastAsia" w:asciiTheme="minorEastAsia" w:hAnsiTheme="minorEastAsia" w:eastAsiaTheme="minorEastAsia"/>
          <w:b/>
          <w:bCs/>
          <w:kern w:val="0"/>
          <w:sz w:val="24"/>
        </w:rPr>
        <w:t>投标文件的</w:t>
      </w:r>
      <w:r>
        <w:rPr>
          <w:rFonts w:hint="eastAsia" w:asciiTheme="minorEastAsia" w:hAnsiTheme="minorEastAsia"/>
          <w:b/>
          <w:bCs/>
          <w:kern w:val="0"/>
          <w:sz w:val="24"/>
        </w:rPr>
        <w:t>制作、封装及</w:t>
      </w:r>
      <w:r>
        <w:rPr>
          <w:rFonts w:hint="eastAsia" w:asciiTheme="minorEastAsia" w:hAnsiTheme="minorEastAsia" w:eastAsiaTheme="minorEastAsia"/>
          <w:b/>
          <w:bCs/>
          <w:kern w:val="0"/>
          <w:sz w:val="24"/>
        </w:rPr>
        <w:t>递交要求</w:t>
      </w:r>
    </w:p>
    <w:p>
      <w:pPr>
        <w:autoSpaceDE w:val="0"/>
        <w:autoSpaceDN w:val="0"/>
        <w:adjustRightInd w:val="0"/>
        <w:spacing w:line="360" w:lineRule="auto"/>
        <w:ind w:firstLine="480"/>
        <w:rPr>
          <w:rFonts w:asciiTheme="minorEastAsia" w:hAnsiTheme="minorEastAsia" w:eastAsiaTheme="minorEastAsia"/>
          <w:b/>
          <w:bCs/>
          <w:sz w:val="24"/>
        </w:rPr>
      </w:pPr>
      <w:r>
        <w:rPr>
          <w:rFonts w:hint="eastAsia" w:asciiTheme="minorEastAsia" w:hAnsiTheme="minorEastAsia"/>
          <w:b/>
          <w:bCs/>
          <w:sz w:val="24"/>
        </w:rPr>
        <w:t>1、投标文件的制作要求</w:t>
      </w:r>
    </w:p>
    <w:p>
      <w:pPr>
        <w:autoSpaceDE w:val="0"/>
        <w:autoSpaceDN w:val="0"/>
        <w:adjustRightInd w:val="0"/>
        <w:spacing w:line="360" w:lineRule="auto"/>
        <w:ind w:firstLine="480"/>
        <w:rPr>
          <w:rFonts w:asciiTheme="minorEastAsia" w:hAnsiTheme="minorEastAsia" w:eastAsiaTheme="minorEastAsia"/>
          <w:kern w:val="0"/>
          <w:sz w:val="24"/>
        </w:rPr>
      </w:pPr>
      <w:r>
        <w:rPr>
          <w:rFonts w:hint="eastAsia" w:asciiTheme="minorEastAsia" w:hAnsiTheme="minorEastAsia"/>
          <w:sz w:val="24"/>
        </w:rPr>
        <w:t>（1）</w:t>
      </w:r>
      <w:r>
        <w:rPr>
          <w:rFonts w:hint="eastAsia" w:asciiTheme="minorEastAsia" w:hAnsiTheme="minorEastAsia" w:eastAsiaTheme="minorEastAsia"/>
          <w:sz w:val="24"/>
        </w:rPr>
        <w:t>投标人</w:t>
      </w:r>
      <w:r>
        <w:rPr>
          <w:rFonts w:hint="eastAsia" w:asciiTheme="minorEastAsia" w:hAnsiTheme="minorEastAsia"/>
          <w:sz w:val="24"/>
        </w:rPr>
        <w:t>应</w:t>
      </w:r>
      <w:r>
        <w:rPr>
          <w:rFonts w:hint="eastAsia" w:asciiTheme="minorEastAsia" w:hAnsiTheme="minorEastAsia" w:eastAsiaTheme="minorEastAsia"/>
          <w:sz w:val="24"/>
        </w:rPr>
        <w:t>按照</w:t>
      </w:r>
      <w:r>
        <w:rPr>
          <w:rFonts w:hint="eastAsia" w:asciiTheme="minorEastAsia" w:hAnsiTheme="minorEastAsia"/>
          <w:sz w:val="24"/>
        </w:rPr>
        <w:t>投标文件组成内容</w:t>
      </w:r>
      <w:r>
        <w:rPr>
          <w:rFonts w:hint="eastAsia" w:asciiTheme="minorEastAsia" w:hAnsiTheme="minorEastAsia" w:eastAsiaTheme="minorEastAsia"/>
          <w:sz w:val="24"/>
        </w:rPr>
        <w:t>及项目招标需求制作投标文件，</w:t>
      </w:r>
      <w:r>
        <w:rPr>
          <w:rFonts w:hint="eastAsia" w:asciiTheme="minorEastAsia" w:hAnsiTheme="minorEastAsia" w:eastAsiaTheme="minorEastAsia"/>
          <w:kern w:val="0"/>
          <w:sz w:val="24"/>
        </w:rPr>
        <w:t>不按招标文件要求制作投标文件的将视情</w:t>
      </w:r>
      <w:r>
        <w:rPr>
          <w:rFonts w:hint="eastAsia" w:asciiTheme="minorEastAsia" w:hAnsiTheme="minorEastAsia"/>
          <w:kern w:val="0"/>
          <w:sz w:val="24"/>
        </w:rPr>
        <w:t>处理（拒收、扣分等），由此产生的责任由投标人自行承担。</w:t>
      </w:r>
    </w:p>
    <w:p>
      <w:pPr>
        <w:autoSpaceDE w:val="0"/>
        <w:autoSpaceDN w:val="0"/>
        <w:adjustRightInd w:val="0"/>
        <w:spacing w:line="360" w:lineRule="auto"/>
        <w:ind w:firstLine="480" w:firstLineChars="200"/>
        <w:rPr>
          <w:rFonts w:asciiTheme="minorEastAsia" w:hAnsiTheme="minorEastAsia" w:eastAsiaTheme="minorEastAsia"/>
          <w:kern w:val="0"/>
          <w:sz w:val="24"/>
          <w:lang w:val="zh-CN"/>
        </w:rPr>
      </w:pPr>
      <w:r>
        <w:rPr>
          <w:rFonts w:hint="eastAsia" w:ascii="宋体" w:hAnsi="宋体"/>
          <w:sz w:val="24"/>
        </w:rPr>
        <w:t>（2）投标人应对所提供的全部资料的真实性承担法律责任，</w:t>
      </w:r>
      <w:r>
        <w:rPr>
          <w:rFonts w:hint="eastAsia" w:asciiTheme="minorEastAsia" w:hAnsiTheme="minorEastAsia"/>
          <w:kern w:val="0"/>
          <w:sz w:val="24"/>
          <w:lang w:val="zh-CN"/>
        </w:rPr>
        <w:t>投标文件</w:t>
      </w:r>
      <w:r>
        <w:rPr>
          <w:rFonts w:hint="eastAsia" w:asciiTheme="minorEastAsia" w:hAnsiTheme="minorEastAsia" w:eastAsiaTheme="minorEastAsia"/>
          <w:kern w:val="0"/>
          <w:sz w:val="24"/>
          <w:lang w:val="zh-CN"/>
        </w:rPr>
        <w:t>内</w:t>
      </w:r>
      <w:r>
        <w:rPr>
          <w:rFonts w:hint="eastAsia" w:asciiTheme="minorEastAsia" w:hAnsiTheme="minorEastAsia"/>
          <w:kern w:val="0"/>
          <w:sz w:val="24"/>
          <w:lang w:val="zh-CN"/>
        </w:rPr>
        <w:t>容中</w:t>
      </w:r>
      <w:r>
        <w:rPr>
          <w:rFonts w:hint="eastAsia" w:asciiTheme="minorEastAsia" w:hAnsiTheme="minorEastAsia" w:eastAsiaTheme="minorEastAsia"/>
          <w:kern w:val="0"/>
          <w:sz w:val="24"/>
          <w:lang w:val="zh-CN"/>
        </w:rPr>
        <w:t>有要求盖章或签字的地方，必须加盖投标人的公章以及法定代表人或全权代表盖章或签字。</w:t>
      </w:r>
    </w:p>
    <w:p>
      <w:pPr>
        <w:snapToGrid w:val="0"/>
        <w:spacing w:line="360" w:lineRule="auto"/>
        <w:ind w:firstLine="480" w:firstLineChars="200"/>
        <w:jc w:val="left"/>
        <w:rPr>
          <w:rFonts w:asciiTheme="minorEastAsia" w:hAnsiTheme="minorEastAsia" w:eastAsiaTheme="minorEastAsia"/>
          <w:sz w:val="24"/>
        </w:rPr>
      </w:pPr>
      <w:r>
        <w:rPr>
          <w:rFonts w:hint="eastAsia" w:asciiTheme="minorEastAsia" w:hAnsiTheme="minorEastAsia"/>
          <w:kern w:val="0"/>
          <w:sz w:val="24"/>
          <w:lang w:val="zh-CN"/>
        </w:rPr>
        <w:t>（</w:t>
      </w:r>
      <w:r>
        <w:rPr>
          <w:rFonts w:hint="eastAsia" w:asciiTheme="minorEastAsia" w:hAnsiTheme="minorEastAsia"/>
          <w:kern w:val="0"/>
          <w:sz w:val="24"/>
        </w:rPr>
        <w:t>3</w:t>
      </w:r>
      <w:r>
        <w:rPr>
          <w:rFonts w:hint="eastAsia" w:asciiTheme="minorEastAsia" w:hAnsiTheme="minorEastAsia"/>
          <w:kern w:val="0"/>
          <w:sz w:val="24"/>
          <w:lang w:val="zh-CN"/>
        </w:rPr>
        <w:t>）</w:t>
      </w:r>
      <w:r>
        <w:rPr>
          <w:rFonts w:asciiTheme="minorEastAsia" w:hAnsiTheme="minorEastAsia" w:eastAsiaTheme="minorEastAsia"/>
          <w:sz w:val="24"/>
        </w:rPr>
        <w:t>投标文件以及投标人与</w:t>
      </w:r>
      <w:r>
        <w:rPr>
          <w:rFonts w:hint="eastAsia" w:asciiTheme="minorEastAsia" w:hAnsiTheme="minorEastAsia" w:eastAsiaTheme="minorEastAsia"/>
          <w:sz w:val="24"/>
        </w:rPr>
        <w:t>采购组织机构</w:t>
      </w:r>
      <w:r>
        <w:rPr>
          <w:rFonts w:asciiTheme="minorEastAsia" w:hAnsiTheme="minorEastAsia" w:eastAsiaTheme="minorEastAsia"/>
          <w:sz w:val="24"/>
        </w:rPr>
        <w:t>就有关投标事宜的所有来往函电，均应以中文汉语书写。除</w:t>
      </w:r>
      <w:r>
        <w:rPr>
          <w:rFonts w:hint="eastAsia" w:asciiTheme="minorEastAsia" w:hAnsiTheme="minorEastAsia" w:eastAsiaTheme="minorEastAsia"/>
          <w:sz w:val="24"/>
        </w:rPr>
        <w:t>签字</w:t>
      </w:r>
      <w:r>
        <w:rPr>
          <w:rFonts w:asciiTheme="minorEastAsia" w:hAnsiTheme="minorEastAsia" w:eastAsiaTheme="minorEastAsia"/>
          <w:sz w:val="24"/>
        </w:rPr>
        <w:t>、盖章、专用名称等特殊情形外，以中文汉语以外的文字表述的投标文件视同未提供。</w:t>
      </w:r>
    </w:p>
    <w:p>
      <w:pPr>
        <w:snapToGrid w:val="0"/>
        <w:spacing w:line="360" w:lineRule="auto"/>
        <w:ind w:firstLine="480" w:firstLineChars="200"/>
        <w:jc w:val="left"/>
        <w:rPr>
          <w:rFonts w:asciiTheme="minorEastAsia" w:hAnsiTheme="minorEastAsia" w:eastAsiaTheme="minorEastAsia"/>
          <w:sz w:val="24"/>
        </w:rPr>
      </w:pPr>
      <w:r>
        <w:rPr>
          <w:rFonts w:hint="eastAsia" w:asciiTheme="minorEastAsia" w:hAnsiTheme="minorEastAsia"/>
          <w:sz w:val="24"/>
        </w:rPr>
        <w:t>（4）</w:t>
      </w:r>
      <w:r>
        <w:rPr>
          <w:rFonts w:asciiTheme="minorEastAsia" w:hAnsiTheme="minorEastAsia" w:eastAsiaTheme="minorEastAsia"/>
          <w:sz w:val="24"/>
        </w:rPr>
        <w:t>投标计量单位，招标文件已有明确规定的，使用招标文件规定的计量单位；招标文件没有规定的，应采用中华人民共和国法定计量单位（货币单位：人民币元）。</w:t>
      </w:r>
    </w:p>
    <w:p>
      <w:pPr>
        <w:autoSpaceDE w:val="0"/>
        <w:autoSpaceDN w:val="0"/>
        <w:adjustRightInd w:val="0"/>
        <w:spacing w:line="360" w:lineRule="auto"/>
        <w:ind w:firstLine="480"/>
        <w:rPr>
          <w:rFonts w:asciiTheme="minorEastAsia" w:hAnsiTheme="minorEastAsia" w:eastAsiaTheme="minorEastAsia"/>
          <w:sz w:val="24"/>
        </w:rPr>
      </w:pPr>
      <w:r>
        <w:rPr>
          <w:rFonts w:hint="eastAsia" w:asciiTheme="minorEastAsia" w:hAnsiTheme="minorEastAsia"/>
          <w:sz w:val="24"/>
        </w:rPr>
        <w:t>（5）</w:t>
      </w:r>
      <w:r>
        <w:rPr>
          <w:rFonts w:asciiTheme="minorEastAsia" w:hAnsiTheme="minorEastAsia" w:eastAsiaTheme="minorEastAsia"/>
          <w:sz w:val="24"/>
        </w:rPr>
        <w:t>若投标人不按招标文件的要求提供资格审查材料，其风险由投标人自行承担。</w:t>
      </w:r>
    </w:p>
    <w:p>
      <w:pPr>
        <w:autoSpaceDE w:val="0"/>
        <w:autoSpaceDN w:val="0"/>
        <w:adjustRightInd w:val="0"/>
        <w:spacing w:line="360" w:lineRule="auto"/>
        <w:ind w:firstLine="480"/>
        <w:rPr>
          <w:rFonts w:asciiTheme="minorEastAsia" w:hAnsiTheme="minorEastAsia" w:eastAsiaTheme="minorEastAsia"/>
          <w:sz w:val="24"/>
        </w:rPr>
      </w:pPr>
      <w:r>
        <w:rPr>
          <w:rFonts w:hint="eastAsia" w:asciiTheme="minorEastAsia" w:hAnsiTheme="minorEastAsia"/>
          <w:kern w:val="0"/>
          <w:sz w:val="24"/>
        </w:rPr>
        <w:t>（6）</w:t>
      </w:r>
      <w:r>
        <w:rPr>
          <w:rFonts w:hint="eastAsia" w:asciiTheme="minorEastAsia" w:hAnsiTheme="minorEastAsia" w:eastAsiaTheme="minorEastAsia"/>
          <w:sz w:val="24"/>
        </w:rPr>
        <w:t>与本次投标无关的内容请不要制作在内，确保投标文件有针对性、简洁明了，同时节约纸张；投标文件建议以A4纸大小双面打印并装订。</w:t>
      </w:r>
    </w:p>
    <w:p>
      <w:pPr>
        <w:autoSpaceDE w:val="0"/>
        <w:autoSpaceDN w:val="0"/>
        <w:adjustRightInd w:val="0"/>
        <w:spacing w:line="360" w:lineRule="auto"/>
        <w:ind w:firstLine="480"/>
        <w:rPr>
          <w:rFonts w:asciiTheme="minorEastAsia" w:hAnsiTheme="minorEastAsia"/>
          <w:b/>
          <w:bCs/>
          <w:sz w:val="24"/>
        </w:rPr>
      </w:pPr>
      <w:r>
        <w:rPr>
          <w:rFonts w:hint="eastAsia" w:asciiTheme="minorEastAsia" w:hAnsiTheme="minorEastAsia"/>
          <w:b/>
          <w:bCs/>
          <w:sz w:val="24"/>
        </w:rPr>
        <w:t>2、投标文件的封装要求</w:t>
      </w:r>
    </w:p>
    <w:p>
      <w:pPr>
        <w:autoSpaceDE w:val="0"/>
        <w:autoSpaceDN w:val="0"/>
        <w:adjustRightInd w:val="0"/>
        <w:spacing w:line="360" w:lineRule="auto"/>
        <w:ind w:firstLine="475" w:firstLineChars="198"/>
        <w:rPr>
          <w:rFonts w:asciiTheme="minorEastAsia" w:hAnsiTheme="minorEastAsia"/>
          <w:sz w:val="24"/>
        </w:rPr>
      </w:pPr>
      <w:r>
        <w:rPr>
          <w:rFonts w:hint="eastAsia" w:asciiTheme="minorEastAsia" w:hAnsiTheme="minorEastAsia" w:eastAsiaTheme="minorEastAsia"/>
          <w:sz w:val="24"/>
        </w:rPr>
        <w:t>（1）投标文件份数：</w:t>
      </w:r>
      <w:r>
        <w:rPr>
          <w:rFonts w:hint="eastAsia" w:ascii="宋体" w:hAnsi="宋体"/>
          <w:bCs/>
          <w:sz w:val="24"/>
          <w:lang w:val="zh-CN"/>
        </w:rPr>
        <w:t>资格证明文件、商务与技术文件、报价文件必须分别编制并分开单独装订成册：</w:t>
      </w:r>
      <w:r>
        <w:rPr>
          <w:rFonts w:hint="eastAsia" w:ascii="宋体"/>
          <w:bCs/>
          <w:sz w:val="24"/>
          <w:lang w:val="zh-CN"/>
        </w:rPr>
        <w:t>资格证明文件共2</w:t>
      </w:r>
      <w:r>
        <w:rPr>
          <w:rFonts w:hint="eastAsia" w:ascii="宋体" w:hAnsi="宋体"/>
          <w:bCs/>
          <w:sz w:val="24"/>
          <w:lang w:val="zh-CN"/>
        </w:rPr>
        <w:t>份</w:t>
      </w:r>
      <w:r>
        <w:rPr>
          <w:rFonts w:hint="eastAsia" w:ascii="宋体"/>
          <w:bCs/>
          <w:sz w:val="24"/>
          <w:lang w:val="zh-CN"/>
        </w:rPr>
        <w:t>（正本副本，封装成一袋）</w:t>
      </w:r>
      <w:r>
        <w:rPr>
          <w:rFonts w:hint="eastAsia" w:ascii="宋体" w:hAnsi="宋体"/>
          <w:bCs/>
          <w:sz w:val="24"/>
          <w:lang w:val="zh-CN"/>
        </w:rPr>
        <w:t>，商务与技术文件共5份</w:t>
      </w:r>
      <w:r>
        <w:rPr>
          <w:rFonts w:hint="eastAsia" w:ascii="宋体"/>
          <w:bCs/>
          <w:sz w:val="24"/>
          <w:lang w:val="zh-CN"/>
        </w:rPr>
        <w:t>（正本副本，封装成一袋）</w:t>
      </w:r>
      <w:r>
        <w:rPr>
          <w:rFonts w:hint="eastAsia" w:ascii="宋体" w:hAnsi="宋体"/>
          <w:bCs/>
          <w:sz w:val="24"/>
          <w:lang w:val="zh-CN"/>
        </w:rPr>
        <w:t>，报价文件共5份</w:t>
      </w:r>
      <w:r>
        <w:rPr>
          <w:rFonts w:hint="eastAsia" w:ascii="宋体"/>
          <w:bCs/>
          <w:sz w:val="24"/>
          <w:lang w:val="zh-CN"/>
        </w:rPr>
        <w:t>（正本副本，封装成一袋）</w:t>
      </w:r>
      <w:r>
        <w:rPr>
          <w:rFonts w:hint="eastAsia" w:ascii="宋体" w:hAnsi="宋体"/>
          <w:bCs/>
          <w:sz w:val="24"/>
          <w:lang w:val="zh-CN"/>
        </w:rPr>
        <w:t>。投标文件的正本封面必须注明“正本”字样，副本可以采用正本的复印件。</w:t>
      </w:r>
      <w:r>
        <w:rPr>
          <w:rFonts w:hint="eastAsia" w:asciiTheme="minorEastAsia" w:hAnsiTheme="minorEastAsia" w:eastAsiaTheme="minorEastAsia"/>
          <w:sz w:val="24"/>
        </w:rPr>
        <w:t>除报价文件外其余一律不准出现数字报价。</w:t>
      </w:r>
    </w:p>
    <w:p>
      <w:pPr>
        <w:autoSpaceDE w:val="0"/>
        <w:autoSpaceDN w:val="0"/>
        <w:adjustRightIn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（2）所有投标资料按投标文件的组成所列内容及顺序装订成册，</w:t>
      </w:r>
      <w:r>
        <w:rPr>
          <w:rFonts w:hint="eastAsia" w:asciiTheme="minorEastAsia" w:hAnsiTheme="minorEastAsia" w:eastAsiaTheme="minorEastAsia"/>
          <w:sz w:val="24"/>
          <w:lang w:val="zh-CN"/>
        </w:rPr>
        <w:t>并逐页连续标注页码。因投标文件内容不完整、编排混乱导致投标文件被误读、漏读或者查找不到相关内容的责任由投标人自行承担。</w:t>
      </w:r>
    </w:p>
    <w:p>
      <w:pPr>
        <w:autoSpaceDE w:val="0"/>
        <w:autoSpaceDN w:val="0"/>
        <w:adjustRightInd w:val="0"/>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（3）请在密封袋的封口处应有投标单位公章或投标全权代表签字。封皮上写明项目编号、标段、招标项目名称、投标人名称，并注明“投标文件名称（资格证明文件、</w:t>
      </w:r>
      <w:r>
        <w:rPr>
          <w:rFonts w:hint="eastAsia" w:ascii="宋体" w:hAnsi="宋体"/>
          <w:bCs/>
          <w:sz w:val="24"/>
          <w:lang w:val="zh-CN"/>
        </w:rPr>
        <w:t>商务与技术文件</w:t>
      </w:r>
      <w:r>
        <w:rPr>
          <w:rFonts w:hint="eastAsia" w:asciiTheme="minorEastAsia" w:hAnsiTheme="minorEastAsia" w:eastAsiaTheme="minorEastAsia"/>
          <w:kern w:val="0"/>
          <w:sz w:val="24"/>
        </w:rPr>
        <w:t>和报价文件）”、“开标时启封”字样，未按上述要求密封及加写标记，采购组织机构对投标文件的误投和提前启封不负责任。</w:t>
      </w:r>
    </w:p>
    <w:p>
      <w:pPr>
        <w:autoSpaceDE w:val="0"/>
        <w:autoSpaceDN w:val="0"/>
        <w:adjustRightInd w:val="0"/>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（4）项目如分标段，各标段投标文件必须分开编制，并按上述份数要求单独密封包装。</w:t>
      </w:r>
    </w:p>
    <w:p>
      <w:pPr>
        <w:autoSpaceDE w:val="0"/>
        <w:autoSpaceDN w:val="0"/>
        <w:adjustRightInd w:val="0"/>
        <w:spacing w:line="360" w:lineRule="auto"/>
        <w:ind w:firstLine="480" w:firstLineChars="200"/>
        <w:rPr>
          <w:rFonts w:asciiTheme="minorEastAsia" w:hAnsiTheme="minorEastAsia" w:eastAsiaTheme="minorEastAsia"/>
          <w:kern w:val="0"/>
          <w:sz w:val="24"/>
          <w:lang w:val="zh-CN"/>
        </w:rPr>
      </w:pPr>
      <w:r>
        <w:rPr>
          <w:rFonts w:hint="eastAsia" w:asciiTheme="minorEastAsia" w:hAnsiTheme="minorEastAsia" w:eastAsiaTheme="minorEastAsia"/>
          <w:kern w:val="0"/>
          <w:sz w:val="24"/>
        </w:rPr>
        <w:t>（5）</w:t>
      </w:r>
      <w:r>
        <w:rPr>
          <w:rFonts w:hint="eastAsia" w:asciiTheme="minorEastAsia" w:hAnsiTheme="minorEastAsia" w:eastAsiaTheme="minorEastAsia"/>
          <w:kern w:val="0"/>
          <w:sz w:val="24"/>
          <w:lang w:val="zh-CN"/>
        </w:rPr>
        <w:t>因密封不严、标记不明而造成失密、拒收、过早启封等情况，采购组织机构概不负责。</w:t>
      </w:r>
    </w:p>
    <w:p>
      <w:pPr>
        <w:autoSpaceDE w:val="0"/>
        <w:autoSpaceDN w:val="0"/>
        <w:adjustRightInd w:val="0"/>
        <w:spacing w:line="360" w:lineRule="auto"/>
        <w:ind w:firstLine="480"/>
        <w:rPr>
          <w:rFonts w:asciiTheme="minorEastAsia" w:hAnsiTheme="minorEastAsia" w:eastAsiaTheme="minorEastAsia"/>
          <w:sz w:val="24"/>
        </w:rPr>
      </w:pPr>
      <w:r>
        <w:rPr>
          <w:rFonts w:hint="eastAsia" w:asciiTheme="minorEastAsia" w:hAnsiTheme="minorEastAsia" w:eastAsiaTheme="minorEastAsia"/>
          <w:kern w:val="0"/>
          <w:sz w:val="24"/>
        </w:rPr>
        <w:t>3、</w:t>
      </w:r>
      <w:r>
        <w:rPr>
          <w:rFonts w:hint="eastAsia" w:asciiTheme="minorEastAsia" w:hAnsiTheme="minorEastAsia"/>
          <w:sz w:val="24"/>
        </w:rPr>
        <w:t>投标文件的递交要求</w:t>
      </w:r>
    </w:p>
    <w:p>
      <w:pPr>
        <w:tabs>
          <w:tab w:val="left" w:pos="1418"/>
        </w:tabs>
        <w:autoSpaceDE w:val="0"/>
        <w:autoSpaceDN w:val="0"/>
        <w:adjustRightInd w:val="0"/>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（1）投标文件必须在规定时间前派人送达指定的投标地点。投标文件在截止时间后提交，采购组织机构将拒绝接收。</w:t>
      </w:r>
    </w:p>
    <w:p>
      <w:pPr>
        <w:tabs>
          <w:tab w:val="left" w:pos="1418"/>
        </w:tabs>
        <w:autoSpaceDE w:val="0"/>
        <w:autoSpaceDN w:val="0"/>
        <w:adjustRightInd w:val="0"/>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（2）如有特殊情况，采购组织机构延长截止时间和开标时间，采购组织机构和投标人的权利和义务将受到新的截止时间和开标时间的约束。</w:t>
      </w:r>
    </w:p>
    <w:p>
      <w:pPr>
        <w:tabs>
          <w:tab w:val="left" w:pos="1898"/>
        </w:tabs>
        <w:autoSpaceDE w:val="0"/>
        <w:autoSpaceDN w:val="0"/>
        <w:adjustRightInd w:val="0"/>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4、投标文件的补充、修改和撤回。</w:t>
      </w:r>
    </w:p>
    <w:p>
      <w:pPr>
        <w:tabs>
          <w:tab w:val="left" w:pos="960"/>
          <w:tab w:val="left" w:pos="1418"/>
        </w:tabs>
        <w:autoSpaceDE w:val="0"/>
        <w:autoSpaceDN w:val="0"/>
        <w:adjustRightInd w:val="0"/>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（1）投标人如需对上交的投标文件进行补充、修改或撤回的，必须在投标</w:t>
      </w:r>
    </w:p>
    <w:p>
      <w:pPr>
        <w:tabs>
          <w:tab w:val="left" w:pos="720"/>
          <w:tab w:val="left" w:pos="1260"/>
          <w:tab w:val="left" w:pos="2160"/>
          <w:tab w:val="left" w:pos="2880"/>
          <w:tab w:val="left" w:pos="3600"/>
          <w:tab w:val="left" w:pos="4320"/>
          <w:tab w:val="left" w:pos="5040"/>
          <w:tab w:val="left" w:pos="5760"/>
        </w:tabs>
        <w:autoSpaceDE w:val="0"/>
        <w:autoSpaceDN w:val="0"/>
        <w:adjustRightInd w:val="0"/>
        <w:spacing w:line="360" w:lineRule="auto"/>
        <w:ind w:right="25"/>
        <w:jc w:val="left"/>
        <w:rPr>
          <w:rFonts w:asciiTheme="minorEastAsia" w:hAnsiTheme="minorEastAsia" w:eastAsiaTheme="minorEastAsia"/>
          <w:kern w:val="0"/>
          <w:sz w:val="24"/>
        </w:rPr>
      </w:pPr>
      <w:r>
        <w:rPr>
          <w:rFonts w:hint="eastAsia" w:asciiTheme="minorEastAsia" w:hAnsiTheme="minorEastAsia" w:eastAsiaTheme="minorEastAsia"/>
          <w:kern w:val="0"/>
          <w:sz w:val="24"/>
        </w:rPr>
        <w:t>截止时间</w:t>
      </w:r>
      <w:r>
        <w:rPr>
          <w:rFonts w:hint="eastAsia" w:ascii="宋体"/>
          <w:kern w:val="0"/>
          <w:sz w:val="24"/>
        </w:rPr>
        <w:t>以前将书面的修改文件或撤消通知送达采购组织机构。</w:t>
      </w:r>
    </w:p>
    <w:p>
      <w:pPr>
        <w:tabs>
          <w:tab w:val="left" w:pos="1418"/>
        </w:tabs>
        <w:autoSpaceDE w:val="0"/>
        <w:autoSpaceDN w:val="0"/>
        <w:adjustRightInd w:val="0"/>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（2）投标修改文件必须密封，在密封袋上写明项目编号、标段、招标项目名称、投标人名称、并注明“修改文件”、“开标时启封”字样，其作为投标文件的组成部份。</w:t>
      </w:r>
    </w:p>
    <w:p>
      <w:pPr>
        <w:tabs>
          <w:tab w:val="left" w:pos="1898"/>
        </w:tabs>
        <w:autoSpaceDE w:val="0"/>
        <w:autoSpaceDN w:val="0"/>
        <w:adjustRightInd w:val="0"/>
        <w:spacing w:line="360" w:lineRule="auto"/>
        <w:rPr>
          <w:rFonts w:asciiTheme="minorEastAsia" w:hAnsiTheme="minorEastAsia" w:eastAsiaTheme="minorEastAsia"/>
          <w:b/>
          <w:kern w:val="0"/>
          <w:sz w:val="24"/>
        </w:rPr>
      </w:pPr>
      <w:r>
        <w:rPr>
          <w:rFonts w:hint="eastAsia" w:asciiTheme="minorEastAsia" w:hAnsiTheme="minorEastAsia" w:eastAsiaTheme="minorEastAsia"/>
          <w:b/>
          <w:kern w:val="0"/>
          <w:sz w:val="24"/>
        </w:rPr>
        <w:t>（三）投标文件的有效期</w:t>
      </w:r>
    </w:p>
    <w:p>
      <w:pPr>
        <w:pStyle w:val="7"/>
        <w:tabs>
          <w:tab w:val="left" w:pos="454"/>
          <w:tab w:val="left" w:pos="720"/>
          <w:tab w:val="left" w:pos="1200"/>
        </w:tabs>
        <w:snapToGrid w:val="0"/>
        <w:spacing w:line="360" w:lineRule="auto"/>
        <w:ind w:left="0" w:firstLine="480" w:firstLineChars="200"/>
        <w:rPr>
          <w:rFonts w:ascii="仿宋_GB2312" w:hAnsi="仿宋_GB2312" w:eastAsia="仿宋_GB2312" w:cs="仿宋_GB2312"/>
          <w:sz w:val="24"/>
          <w:lang w:val="en-GB"/>
        </w:rPr>
      </w:pPr>
      <w:r>
        <w:rPr>
          <w:rFonts w:hint="eastAsia" w:ascii="宋体" w:hAnsi="宋体"/>
          <w:sz w:val="24"/>
          <w:lang w:val="en-GB"/>
        </w:rPr>
        <w:t>自投标截止日起90天投标文件应保持有效。有效期不足的投标文件将被拒绝。</w:t>
      </w:r>
    </w:p>
    <w:p>
      <w:pPr>
        <w:pStyle w:val="7"/>
        <w:tabs>
          <w:tab w:val="left" w:pos="454"/>
          <w:tab w:val="left" w:pos="720"/>
          <w:tab w:val="left" w:pos="1200"/>
        </w:tabs>
        <w:snapToGrid w:val="0"/>
        <w:spacing w:line="360" w:lineRule="auto"/>
        <w:ind w:left="0" w:firstLine="480" w:firstLineChars="200"/>
        <w:rPr>
          <w:rFonts w:ascii="宋体" w:hAnsi="宋体"/>
          <w:sz w:val="24"/>
          <w:lang w:val="en-GB"/>
        </w:rPr>
      </w:pPr>
      <w:r>
        <w:rPr>
          <w:rFonts w:hint="eastAsia" w:ascii="宋体" w:hAnsi="宋体"/>
          <w:sz w:val="24"/>
          <w:lang w:val="en-GB"/>
        </w:rPr>
        <w:t>在特殊情况下，采购人可与投标人协商延长投标文件的有效期，这种要求和答复均以书面形式进行。</w:t>
      </w:r>
    </w:p>
    <w:p>
      <w:pPr>
        <w:pStyle w:val="7"/>
        <w:numPr>
          <w:ilvl w:val="0"/>
          <w:numId w:val="0"/>
        </w:numPr>
        <w:tabs>
          <w:tab w:val="left" w:pos="0"/>
          <w:tab w:val="left" w:pos="720"/>
          <w:tab w:val="left" w:pos="1200"/>
          <w:tab w:val="clear" w:pos="360"/>
        </w:tabs>
        <w:snapToGrid w:val="0"/>
        <w:spacing w:line="360" w:lineRule="auto"/>
        <w:ind w:firstLine="420" w:firstLineChars="175"/>
        <w:rPr>
          <w:rFonts w:asciiTheme="minorEastAsia" w:hAnsiTheme="minorEastAsia" w:eastAsiaTheme="minorEastAsia"/>
          <w:b/>
          <w:sz w:val="24"/>
        </w:rPr>
      </w:pPr>
      <w:r>
        <w:rPr>
          <w:rFonts w:hint="eastAsia" w:ascii="宋体" w:hAnsi="宋体"/>
          <w:sz w:val="24"/>
        </w:rPr>
        <w:t>3.</w:t>
      </w:r>
      <w:r>
        <w:rPr>
          <w:rFonts w:asciiTheme="minorEastAsia" w:hAnsiTheme="minorEastAsia" w:eastAsiaTheme="minorEastAsia"/>
          <w:sz w:val="24"/>
        </w:rPr>
        <w:t>中标人的投标文件自开标之日起至合同履行完毕均应保持有效。</w:t>
      </w:r>
    </w:p>
    <w:p>
      <w:pPr>
        <w:tabs>
          <w:tab w:val="left" w:pos="1418"/>
        </w:tabs>
        <w:autoSpaceDE w:val="0"/>
        <w:autoSpaceDN w:val="0"/>
        <w:adjustRightInd w:val="0"/>
        <w:spacing w:line="360" w:lineRule="auto"/>
        <w:rPr>
          <w:rFonts w:hint="eastAsia" w:asciiTheme="minorEastAsia" w:hAnsiTheme="minorEastAsia" w:eastAsiaTheme="minorEastAsia"/>
          <w:b/>
          <w:kern w:val="0"/>
          <w:sz w:val="24"/>
        </w:rPr>
      </w:pPr>
      <w:r>
        <w:rPr>
          <w:rFonts w:hint="eastAsia" w:asciiTheme="minorEastAsia" w:hAnsiTheme="minorEastAsia" w:eastAsiaTheme="minorEastAsia"/>
          <w:b/>
          <w:kern w:val="0"/>
          <w:sz w:val="24"/>
        </w:rPr>
        <w:t>四、投标保证金：</w:t>
      </w:r>
    </w:p>
    <w:p>
      <w:pPr>
        <w:pStyle w:val="7"/>
        <w:numPr>
          <w:ilvl w:val="0"/>
          <w:numId w:val="0"/>
        </w:numPr>
        <w:tabs>
          <w:tab w:val="left" w:pos="0"/>
          <w:tab w:val="left" w:pos="720"/>
          <w:tab w:val="left" w:pos="1200"/>
          <w:tab w:val="clear" w:pos="360"/>
        </w:tabs>
        <w:snapToGrid w:val="0"/>
        <w:spacing w:line="360" w:lineRule="auto"/>
        <w:ind w:firstLine="420" w:firstLineChars="175"/>
        <w:rPr>
          <w:rFonts w:asciiTheme="minorEastAsia" w:hAnsiTheme="minorEastAsia" w:eastAsiaTheme="minorEastAsia"/>
          <w:sz w:val="24"/>
        </w:rPr>
      </w:pPr>
      <w:r>
        <w:rPr>
          <w:rFonts w:hint="eastAsia" w:asciiTheme="minorEastAsia" w:hAnsiTheme="minorEastAsia" w:eastAsiaTheme="minorEastAsia"/>
          <w:sz w:val="24"/>
          <w:lang w:val="en-US" w:eastAsia="zh-CN"/>
        </w:rPr>
        <w:t>1、</w:t>
      </w:r>
      <w:r>
        <w:rPr>
          <w:rFonts w:hint="eastAsia" w:asciiTheme="minorEastAsia" w:hAnsiTheme="minorEastAsia" w:eastAsiaTheme="minorEastAsia"/>
          <w:sz w:val="24"/>
        </w:rPr>
        <w:t>中标供应商的投标保证金在合同签订后五个工作日内凭合同无息退还。</w:t>
      </w:r>
    </w:p>
    <w:p>
      <w:pPr>
        <w:pStyle w:val="7"/>
        <w:numPr>
          <w:ilvl w:val="0"/>
          <w:numId w:val="0"/>
        </w:numPr>
        <w:tabs>
          <w:tab w:val="left" w:pos="0"/>
          <w:tab w:val="left" w:pos="720"/>
          <w:tab w:val="left" w:pos="1200"/>
          <w:tab w:val="clear" w:pos="360"/>
        </w:tabs>
        <w:snapToGrid w:val="0"/>
        <w:spacing w:line="360" w:lineRule="auto"/>
        <w:ind w:firstLine="420" w:firstLineChars="175"/>
        <w:rPr>
          <w:rFonts w:asciiTheme="minorEastAsia" w:hAnsiTheme="minorEastAsia" w:eastAsiaTheme="minorEastAsia"/>
          <w:sz w:val="24"/>
        </w:rPr>
      </w:pPr>
      <w:r>
        <w:rPr>
          <w:rFonts w:hint="eastAsia" w:asciiTheme="minorEastAsia" w:hAnsiTheme="minorEastAsia" w:eastAsiaTheme="minorEastAsia"/>
          <w:sz w:val="24"/>
          <w:lang w:val="en-US" w:eastAsia="zh-CN"/>
        </w:rPr>
        <w:t>2、</w:t>
      </w:r>
      <w:r>
        <w:rPr>
          <w:rFonts w:hint="eastAsia" w:asciiTheme="minorEastAsia" w:hAnsiTheme="minorEastAsia" w:eastAsiaTheme="minorEastAsia"/>
          <w:sz w:val="24"/>
        </w:rPr>
        <w:t>未中标供应商的投标保证金将在当日无息退还。</w:t>
      </w:r>
    </w:p>
    <w:p>
      <w:pPr>
        <w:pStyle w:val="7"/>
        <w:numPr>
          <w:ilvl w:val="0"/>
          <w:numId w:val="0"/>
        </w:numPr>
        <w:tabs>
          <w:tab w:val="left" w:pos="0"/>
          <w:tab w:val="left" w:pos="720"/>
          <w:tab w:val="left" w:pos="1200"/>
          <w:tab w:val="clear" w:pos="360"/>
        </w:tabs>
        <w:snapToGrid w:val="0"/>
        <w:spacing w:line="360" w:lineRule="auto"/>
        <w:ind w:firstLine="420" w:firstLineChars="175"/>
        <w:rPr>
          <w:rFonts w:asciiTheme="minorEastAsia" w:hAnsiTheme="minorEastAsia" w:eastAsiaTheme="minorEastAsia"/>
          <w:sz w:val="24"/>
        </w:rPr>
      </w:pPr>
      <w:r>
        <w:rPr>
          <w:rFonts w:hint="eastAsia" w:asciiTheme="minorEastAsia" w:hAnsiTheme="minorEastAsia" w:eastAsiaTheme="minorEastAsia"/>
          <w:sz w:val="24"/>
          <w:lang w:val="en-US" w:eastAsia="zh-CN"/>
        </w:rPr>
        <w:t>3、</w:t>
      </w:r>
      <w:r>
        <w:rPr>
          <w:rFonts w:hint="eastAsia" w:asciiTheme="minorEastAsia" w:hAnsiTheme="minorEastAsia" w:eastAsiaTheme="minorEastAsia"/>
          <w:sz w:val="24"/>
        </w:rPr>
        <w:t>如发生以下情况之一时，投标保证金不予退还：</w:t>
      </w:r>
    </w:p>
    <w:p>
      <w:pPr>
        <w:pStyle w:val="7"/>
        <w:numPr>
          <w:ilvl w:val="0"/>
          <w:numId w:val="0"/>
        </w:numPr>
        <w:tabs>
          <w:tab w:val="left" w:pos="0"/>
          <w:tab w:val="left" w:pos="720"/>
          <w:tab w:val="left" w:pos="1200"/>
          <w:tab w:val="clear" w:pos="360"/>
        </w:tabs>
        <w:snapToGrid w:val="0"/>
        <w:spacing w:line="360" w:lineRule="auto"/>
        <w:ind w:firstLine="720" w:firstLineChars="300"/>
        <w:rPr>
          <w:rFonts w:asciiTheme="minorEastAsia" w:hAnsiTheme="minorEastAsia" w:eastAsiaTheme="minorEastAsia"/>
          <w:sz w:val="24"/>
        </w:rPr>
      </w:pPr>
      <w:r>
        <w:rPr>
          <w:rFonts w:asciiTheme="minorEastAsia" w:hAnsiTheme="minorEastAsia" w:eastAsiaTheme="minorEastAsia"/>
          <w:sz w:val="24"/>
        </w:rPr>
        <w:t xml:space="preserve">3.1 </w:t>
      </w:r>
      <w:r>
        <w:rPr>
          <w:rFonts w:hint="eastAsia" w:asciiTheme="minorEastAsia" w:hAnsiTheme="minorEastAsia" w:eastAsiaTheme="minorEastAsia"/>
          <w:sz w:val="24"/>
        </w:rPr>
        <w:t>投标人在投标截止时间后，投标有效期内撤回投标文件的；</w:t>
      </w:r>
    </w:p>
    <w:p>
      <w:pPr>
        <w:pStyle w:val="7"/>
        <w:numPr>
          <w:ilvl w:val="0"/>
          <w:numId w:val="0"/>
        </w:numPr>
        <w:tabs>
          <w:tab w:val="left" w:pos="0"/>
          <w:tab w:val="left" w:pos="720"/>
          <w:tab w:val="left" w:pos="1200"/>
          <w:tab w:val="clear" w:pos="360"/>
        </w:tabs>
        <w:snapToGrid w:val="0"/>
        <w:spacing w:line="360" w:lineRule="auto"/>
        <w:ind w:firstLine="660" w:firstLineChars="275"/>
        <w:rPr>
          <w:rFonts w:asciiTheme="minorEastAsia" w:hAnsiTheme="minorEastAsia" w:eastAsiaTheme="minorEastAsia"/>
          <w:sz w:val="24"/>
        </w:rPr>
      </w:pPr>
      <w:r>
        <w:rPr>
          <w:rFonts w:asciiTheme="minorEastAsia" w:hAnsiTheme="minorEastAsia" w:eastAsiaTheme="minorEastAsia"/>
          <w:sz w:val="24"/>
        </w:rPr>
        <w:t xml:space="preserve">3.2 </w:t>
      </w:r>
      <w:r>
        <w:rPr>
          <w:rFonts w:hint="eastAsia" w:asciiTheme="minorEastAsia" w:hAnsiTheme="minorEastAsia" w:eastAsiaTheme="minorEastAsia"/>
          <w:sz w:val="24"/>
        </w:rPr>
        <w:t>投标人无故放弃投标的；</w:t>
      </w:r>
    </w:p>
    <w:p>
      <w:pPr>
        <w:pStyle w:val="7"/>
        <w:numPr>
          <w:ilvl w:val="0"/>
          <w:numId w:val="0"/>
        </w:numPr>
        <w:tabs>
          <w:tab w:val="left" w:pos="0"/>
          <w:tab w:val="left" w:pos="720"/>
          <w:tab w:val="left" w:pos="1200"/>
          <w:tab w:val="clear" w:pos="360"/>
        </w:tabs>
        <w:snapToGrid w:val="0"/>
        <w:spacing w:line="360" w:lineRule="auto"/>
        <w:ind w:firstLine="660" w:firstLineChars="275"/>
        <w:rPr>
          <w:rFonts w:asciiTheme="minorEastAsia" w:hAnsiTheme="minorEastAsia" w:eastAsiaTheme="minorEastAsia"/>
          <w:sz w:val="24"/>
        </w:rPr>
      </w:pPr>
      <w:r>
        <w:rPr>
          <w:rFonts w:asciiTheme="minorEastAsia" w:hAnsiTheme="minorEastAsia" w:eastAsiaTheme="minorEastAsia"/>
          <w:sz w:val="24"/>
        </w:rPr>
        <w:t xml:space="preserve">3.3 </w:t>
      </w:r>
      <w:r>
        <w:rPr>
          <w:rFonts w:hint="eastAsia" w:asciiTheme="minorEastAsia" w:hAnsiTheme="minorEastAsia" w:eastAsiaTheme="minorEastAsia"/>
          <w:sz w:val="24"/>
        </w:rPr>
        <w:t>投标人放弃投标且不能在投标截止时间前提供书面材料或者提供的书面说明材料经监管部门认定为不合理的；</w:t>
      </w:r>
    </w:p>
    <w:p>
      <w:pPr>
        <w:pStyle w:val="7"/>
        <w:numPr>
          <w:ilvl w:val="0"/>
          <w:numId w:val="0"/>
        </w:numPr>
        <w:tabs>
          <w:tab w:val="left" w:pos="0"/>
          <w:tab w:val="left" w:pos="720"/>
          <w:tab w:val="left" w:pos="1200"/>
          <w:tab w:val="clear" w:pos="360"/>
        </w:tabs>
        <w:snapToGrid w:val="0"/>
        <w:spacing w:line="360" w:lineRule="auto"/>
        <w:ind w:firstLine="660" w:firstLineChars="275"/>
        <w:rPr>
          <w:rFonts w:asciiTheme="minorEastAsia" w:hAnsiTheme="minorEastAsia" w:eastAsiaTheme="minorEastAsia"/>
          <w:sz w:val="24"/>
        </w:rPr>
      </w:pPr>
      <w:r>
        <w:rPr>
          <w:rFonts w:asciiTheme="minorEastAsia" w:hAnsiTheme="minorEastAsia" w:eastAsiaTheme="minorEastAsia"/>
          <w:sz w:val="24"/>
        </w:rPr>
        <w:t xml:space="preserve">3.4 </w:t>
      </w:r>
      <w:r>
        <w:rPr>
          <w:rFonts w:hint="eastAsia" w:asciiTheme="minorEastAsia" w:hAnsiTheme="minorEastAsia" w:eastAsiaTheme="minorEastAsia"/>
          <w:sz w:val="24"/>
        </w:rPr>
        <w:t>投标人在投标过程中弄虚作假，提供虚假材料的；</w:t>
      </w:r>
    </w:p>
    <w:p>
      <w:pPr>
        <w:pStyle w:val="7"/>
        <w:numPr>
          <w:ilvl w:val="0"/>
          <w:numId w:val="0"/>
        </w:numPr>
        <w:tabs>
          <w:tab w:val="left" w:pos="0"/>
          <w:tab w:val="left" w:pos="720"/>
          <w:tab w:val="left" w:pos="1200"/>
          <w:tab w:val="clear" w:pos="360"/>
        </w:tabs>
        <w:snapToGrid w:val="0"/>
        <w:spacing w:line="360" w:lineRule="auto"/>
        <w:ind w:firstLine="660" w:firstLineChars="275"/>
        <w:rPr>
          <w:rFonts w:asciiTheme="minorEastAsia" w:hAnsiTheme="minorEastAsia" w:eastAsiaTheme="minorEastAsia"/>
          <w:sz w:val="24"/>
        </w:rPr>
      </w:pPr>
      <w:r>
        <w:rPr>
          <w:rFonts w:asciiTheme="minorEastAsia" w:hAnsiTheme="minorEastAsia" w:eastAsiaTheme="minorEastAsia"/>
          <w:sz w:val="24"/>
        </w:rPr>
        <w:t xml:space="preserve">3.5 </w:t>
      </w:r>
      <w:r>
        <w:rPr>
          <w:rFonts w:hint="eastAsia" w:asciiTheme="minorEastAsia" w:hAnsiTheme="minorEastAsia" w:eastAsiaTheme="minorEastAsia"/>
          <w:sz w:val="24"/>
        </w:rPr>
        <w:t>投标人有串标、通标等违规违法行为的；</w:t>
      </w:r>
    </w:p>
    <w:p>
      <w:pPr>
        <w:pStyle w:val="7"/>
        <w:numPr>
          <w:ilvl w:val="0"/>
          <w:numId w:val="0"/>
        </w:numPr>
        <w:tabs>
          <w:tab w:val="left" w:pos="0"/>
          <w:tab w:val="left" w:pos="720"/>
          <w:tab w:val="left" w:pos="1200"/>
          <w:tab w:val="clear" w:pos="360"/>
        </w:tabs>
        <w:snapToGrid w:val="0"/>
        <w:spacing w:line="360" w:lineRule="auto"/>
        <w:ind w:firstLine="660" w:firstLineChars="275"/>
        <w:rPr>
          <w:rFonts w:asciiTheme="minorEastAsia" w:hAnsiTheme="minorEastAsia" w:eastAsiaTheme="minorEastAsia"/>
          <w:sz w:val="24"/>
        </w:rPr>
      </w:pPr>
      <w:r>
        <w:rPr>
          <w:rFonts w:asciiTheme="minorEastAsia" w:hAnsiTheme="minorEastAsia" w:eastAsiaTheme="minorEastAsia"/>
          <w:sz w:val="24"/>
        </w:rPr>
        <w:t xml:space="preserve">3.6 </w:t>
      </w:r>
      <w:r>
        <w:rPr>
          <w:rFonts w:hint="eastAsia" w:asciiTheme="minorEastAsia" w:hAnsiTheme="minorEastAsia" w:eastAsiaTheme="minorEastAsia"/>
          <w:sz w:val="24"/>
        </w:rPr>
        <w:t>投标人严重扰乱招标投标秩序的；</w:t>
      </w:r>
    </w:p>
    <w:p>
      <w:pPr>
        <w:pStyle w:val="7"/>
        <w:numPr>
          <w:ilvl w:val="0"/>
          <w:numId w:val="0"/>
        </w:numPr>
        <w:tabs>
          <w:tab w:val="left" w:pos="0"/>
          <w:tab w:val="left" w:pos="720"/>
          <w:tab w:val="left" w:pos="1200"/>
          <w:tab w:val="clear" w:pos="360"/>
        </w:tabs>
        <w:snapToGrid w:val="0"/>
        <w:spacing w:line="360" w:lineRule="auto"/>
        <w:ind w:firstLine="660" w:firstLineChars="275"/>
        <w:rPr>
          <w:rFonts w:asciiTheme="minorEastAsia" w:hAnsiTheme="minorEastAsia" w:eastAsiaTheme="minorEastAsia"/>
          <w:sz w:val="24"/>
        </w:rPr>
      </w:pPr>
      <w:r>
        <w:rPr>
          <w:rFonts w:asciiTheme="minorEastAsia" w:hAnsiTheme="minorEastAsia" w:eastAsiaTheme="minorEastAsia"/>
          <w:sz w:val="24"/>
        </w:rPr>
        <w:t xml:space="preserve">3.7 </w:t>
      </w:r>
      <w:r>
        <w:rPr>
          <w:rFonts w:hint="eastAsia" w:asciiTheme="minorEastAsia" w:hAnsiTheme="minorEastAsia" w:eastAsiaTheme="minorEastAsia"/>
          <w:sz w:val="24"/>
        </w:rPr>
        <w:t>中标供应商未按规定提交履约保证金的；</w:t>
      </w:r>
    </w:p>
    <w:p>
      <w:pPr>
        <w:pStyle w:val="7"/>
        <w:numPr>
          <w:ilvl w:val="0"/>
          <w:numId w:val="0"/>
        </w:numPr>
        <w:tabs>
          <w:tab w:val="left" w:pos="0"/>
          <w:tab w:val="left" w:pos="720"/>
          <w:tab w:val="left" w:pos="1200"/>
          <w:tab w:val="clear" w:pos="360"/>
        </w:tabs>
        <w:snapToGrid w:val="0"/>
        <w:spacing w:line="360" w:lineRule="auto"/>
        <w:ind w:firstLine="660" w:firstLineChars="275"/>
        <w:rPr>
          <w:rFonts w:asciiTheme="minorEastAsia" w:hAnsiTheme="minorEastAsia" w:eastAsiaTheme="minorEastAsia"/>
          <w:sz w:val="24"/>
        </w:rPr>
      </w:pPr>
      <w:r>
        <w:rPr>
          <w:rFonts w:asciiTheme="minorEastAsia" w:hAnsiTheme="minorEastAsia" w:eastAsiaTheme="minorEastAsia"/>
          <w:sz w:val="24"/>
        </w:rPr>
        <w:t xml:space="preserve">3.8 </w:t>
      </w:r>
      <w:r>
        <w:rPr>
          <w:rFonts w:hint="eastAsia" w:asciiTheme="minorEastAsia" w:hAnsiTheme="minorEastAsia" w:eastAsiaTheme="minorEastAsia"/>
          <w:sz w:val="24"/>
        </w:rPr>
        <w:t>中标供应商未按规定时间、地点与采购人签订合同的；</w:t>
      </w:r>
    </w:p>
    <w:p>
      <w:pPr>
        <w:pStyle w:val="7"/>
        <w:numPr>
          <w:ilvl w:val="0"/>
          <w:numId w:val="0"/>
        </w:numPr>
        <w:tabs>
          <w:tab w:val="left" w:pos="0"/>
          <w:tab w:val="left" w:pos="720"/>
          <w:tab w:val="left" w:pos="1200"/>
          <w:tab w:val="clear" w:pos="360"/>
        </w:tabs>
        <w:snapToGrid w:val="0"/>
        <w:spacing w:line="360" w:lineRule="auto"/>
        <w:ind w:firstLine="660" w:firstLineChars="275"/>
      </w:pPr>
      <w:r>
        <w:rPr>
          <w:rFonts w:asciiTheme="minorEastAsia" w:hAnsiTheme="minorEastAsia" w:eastAsiaTheme="minorEastAsia"/>
          <w:sz w:val="24"/>
        </w:rPr>
        <w:t xml:space="preserve">3.9 </w:t>
      </w:r>
      <w:r>
        <w:rPr>
          <w:rFonts w:hint="eastAsia" w:asciiTheme="minorEastAsia" w:hAnsiTheme="minorEastAsia" w:eastAsiaTheme="minorEastAsia"/>
          <w:sz w:val="24"/>
        </w:rPr>
        <w:t>其他违反法律法规规定行为的。</w:t>
      </w:r>
    </w:p>
    <w:p>
      <w:pPr>
        <w:snapToGrid w:val="0"/>
        <w:spacing w:line="360" w:lineRule="auto"/>
        <w:jc w:val="left"/>
        <w:rPr>
          <w:rFonts w:asciiTheme="minorEastAsia" w:hAnsiTheme="minorEastAsia" w:eastAsiaTheme="minorEastAsia"/>
          <w:b/>
          <w:kern w:val="0"/>
          <w:sz w:val="24"/>
        </w:rPr>
      </w:pPr>
      <w:r>
        <w:rPr>
          <w:rFonts w:hint="eastAsia" w:asciiTheme="minorEastAsia" w:hAnsiTheme="minorEastAsia" w:eastAsiaTheme="minorEastAsia"/>
          <w:b/>
          <w:kern w:val="0"/>
          <w:sz w:val="24"/>
        </w:rPr>
        <w:t>五、开标</w:t>
      </w:r>
    </w:p>
    <w:p>
      <w:pPr>
        <w:autoSpaceDE w:val="0"/>
        <w:autoSpaceDN w:val="0"/>
        <w:adjustRightInd w:val="0"/>
        <w:spacing w:line="360" w:lineRule="auto"/>
        <w:rPr>
          <w:rFonts w:asciiTheme="minorEastAsia" w:hAnsiTheme="minorEastAsia" w:eastAsiaTheme="minorEastAsia"/>
          <w:kern w:val="0"/>
          <w:sz w:val="24"/>
        </w:rPr>
      </w:pPr>
      <w:r>
        <w:rPr>
          <w:rFonts w:hint="eastAsia" w:asciiTheme="minorEastAsia" w:hAnsiTheme="minorEastAsia" w:eastAsiaTheme="minorEastAsia"/>
          <w:kern w:val="0"/>
          <w:sz w:val="24"/>
        </w:rPr>
        <w:t xml:space="preserve">    （一）开标事项</w:t>
      </w:r>
    </w:p>
    <w:p>
      <w:pPr>
        <w:autoSpaceDE w:val="0"/>
        <w:autoSpaceDN w:val="0"/>
        <w:adjustRightInd w:val="0"/>
        <w:spacing w:line="360" w:lineRule="auto"/>
        <w:ind w:firstLine="480" w:firstLineChars="200"/>
        <w:rPr>
          <w:rFonts w:asciiTheme="minorEastAsia" w:hAnsiTheme="minorEastAsia" w:eastAsiaTheme="minorEastAsia"/>
          <w:bCs/>
          <w:sz w:val="24"/>
        </w:rPr>
      </w:pPr>
      <w:r>
        <w:rPr>
          <w:rFonts w:hint="eastAsia" w:asciiTheme="minorEastAsia" w:hAnsiTheme="minorEastAsia" w:eastAsiaTheme="minorEastAsia"/>
          <w:kern w:val="0"/>
          <w:sz w:val="24"/>
        </w:rPr>
        <w:t>采购组织机构在“招标公告”规定的时间和地点公开开标，投标人的法定代表人或其授权代表应参加开标会并签到。</w:t>
      </w:r>
      <w:r>
        <w:rPr>
          <w:rFonts w:asciiTheme="minorEastAsia" w:hAnsiTheme="minorEastAsia" w:eastAsiaTheme="minorEastAsia"/>
          <w:bCs/>
          <w:sz w:val="24"/>
        </w:rPr>
        <w:t>投标人的法定代表人或其授权代表未按时签到的，视同放弃开标监督权利、认可开标结果。</w:t>
      </w:r>
      <w:r>
        <w:rPr>
          <w:rFonts w:hint="eastAsia" w:asciiTheme="minorEastAsia" w:hAnsiTheme="minorEastAsia" w:eastAsiaTheme="minorEastAsia"/>
          <w:bCs/>
          <w:sz w:val="24"/>
        </w:rPr>
        <w:t>采购组织机构</w:t>
      </w:r>
      <w:r>
        <w:rPr>
          <w:rFonts w:asciiTheme="minorEastAsia" w:hAnsiTheme="minorEastAsia" w:eastAsiaTheme="minorEastAsia"/>
          <w:bCs/>
          <w:sz w:val="24"/>
        </w:rPr>
        <w:t>工作人员接收投标文件并登记，并由供应商代表对递交记录情况进行</w:t>
      </w:r>
      <w:r>
        <w:rPr>
          <w:rFonts w:hint="eastAsia" w:asciiTheme="minorEastAsia" w:hAnsiTheme="minorEastAsia" w:eastAsiaTheme="minorEastAsia"/>
          <w:bCs/>
          <w:sz w:val="24"/>
        </w:rPr>
        <w:t>签字</w:t>
      </w:r>
      <w:r>
        <w:rPr>
          <w:rFonts w:asciiTheme="minorEastAsia" w:hAnsiTheme="minorEastAsia" w:eastAsiaTheme="minorEastAsia"/>
          <w:bCs/>
          <w:sz w:val="24"/>
        </w:rPr>
        <w:t>确认。</w:t>
      </w:r>
      <w:r>
        <w:rPr>
          <w:rFonts w:hint="eastAsia" w:asciiTheme="minorEastAsia" w:hAnsiTheme="minorEastAsia" w:eastAsiaTheme="minorEastAsia"/>
          <w:bCs/>
          <w:sz w:val="24"/>
        </w:rPr>
        <w:t>评标委员会成员不得参加开标活动。</w:t>
      </w:r>
      <w:r>
        <w:rPr>
          <w:rFonts w:hint="eastAsia" w:asciiTheme="minorEastAsia" w:hAnsiTheme="minorEastAsia" w:eastAsiaTheme="minorEastAsia"/>
          <w:kern w:val="0"/>
          <w:sz w:val="24"/>
        </w:rPr>
        <w:t>（本次招标</w:t>
      </w:r>
      <w:r>
        <w:rPr>
          <w:rFonts w:cs="Arial" w:asciiTheme="minorEastAsia" w:hAnsiTheme="minorEastAsia" w:eastAsiaTheme="minorEastAsia"/>
          <w:sz w:val="24"/>
        </w:rPr>
        <w:t>采用先评审商务资格</w:t>
      </w:r>
      <w:r>
        <w:rPr>
          <w:rFonts w:hint="eastAsia" w:cs="Arial" w:asciiTheme="minorEastAsia" w:hAnsiTheme="minorEastAsia" w:eastAsiaTheme="minorEastAsia"/>
          <w:sz w:val="24"/>
        </w:rPr>
        <w:t>和</w:t>
      </w:r>
      <w:r>
        <w:rPr>
          <w:rFonts w:cs="Arial" w:asciiTheme="minorEastAsia" w:hAnsiTheme="minorEastAsia" w:eastAsiaTheme="minorEastAsia"/>
          <w:sz w:val="24"/>
        </w:rPr>
        <w:t>技术服务方案</w:t>
      </w:r>
      <w:r>
        <w:rPr>
          <w:rFonts w:hint="eastAsia" w:cs="Arial" w:asciiTheme="minorEastAsia" w:hAnsiTheme="minorEastAsia" w:eastAsiaTheme="minorEastAsia"/>
          <w:sz w:val="24"/>
        </w:rPr>
        <w:t>，</w:t>
      </w:r>
      <w:r>
        <w:rPr>
          <w:rFonts w:cs="Arial" w:asciiTheme="minorEastAsia" w:hAnsiTheme="minorEastAsia" w:eastAsiaTheme="minorEastAsia"/>
          <w:sz w:val="24"/>
        </w:rPr>
        <w:t>后公开并评审商务报价的办法</w:t>
      </w:r>
      <w:r>
        <w:rPr>
          <w:rFonts w:hint="eastAsia" w:asciiTheme="minorEastAsia" w:hAnsiTheme="minorEastAsia" w:eastAsiaTheme="minorEastAsia"/>
          <w:kern w:val="0"/>
          <w:sz w:val="24"/>
        </w:rPr>
        <w:t>实施）。</w:t>
      </w:r>
    </w:p>
    <w:p>
      <w:pPr>
        <w:autoSpaceDE w:val="0"/>
        <w:autoSpaceDN w:val="0"/>
        <w:adjustRightInd w:val="0"/>
        <w:spacing w:line="360" w:lineRule="auto"/>
        <w:ind w:firstLine="480" w:firstLineChars="200"/>
        <w:rPr>
          <w:rFonts w:asciiTheme="minorEastAsia" w:hAnsiTheme="minorEastAsia" w:eastAsiaTheme="minorEastAsia"/>
          <w:bCs/>
          <w:sz w:val="24"/>
        </w:rPr>
      </w:pPr>
      <w:r>
        <w:rPr>
          <w:rFonts w:asciiTheme="minorEastAsia" w:hAnsiTheme="minorEastAsia" w:eastAsiaTheme="minorEastAsia"/>
          <w:bCs/>
          <w:sz w:val="24"/>
        </w:rPr>
        <w:t>（二） 开</w:t>
      </w:r>
      <w:r>
        <w:rPr>
          <w:rFonts w:hint="eastAsia" w:asciiTheme="minorEastAsia" w:hAnsiTheme="minorEastAsia" w:eastAsiaTheme="minorEastAsia"/>
          <w:bCs/>
          <w:sz w:val="24"/>
        </w:rPr>
        <w:t>标</w:t>
      </w:r>
      <w:r>
        <w:rPr>
          <w:rFonts w:asciiTheme="minorEastAsia" w:hAnsiTheme="minorEastAsia" w:eastAsiaTheme="minorEastAsia"/>
          <w:bCs/>
          <w:sz w:val="24"/>
        </w:rPr>
        <w:t>程序：</w:t>
      </w:r>
    </w:p>
    <w:p>
      <w:pPr>
        <w:pStyle w:val="11"/>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1、开标会由招标项目负责人主持，主持人宣布开标会议开始；</w:t>
      </w:r>
    </w:p>
    <w:p>
      <w:pPr>
        <w:pStyle w:val="11"/>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 xml:space="preserve">2、主持人介绍参加开标会的人员名单； </w:t>
      </w:r>
    </w:p>
    <w:p>
      <w:pPr>
        <w:pStyle w:val="11"/>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3、主持人宣布评标期间的有关事项，告知应当回避的情形,提请有关人员回避；</w:t>
      </w:r>
    </w:p>
    <w:p>
      <w:pPr>
        <w:pStyle w:val="11"/>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4、投标人或其当场推荐的代表，检查投标文件密封的完整性；</w:t>
      </w:r>
    </w:p>
    <w:p>
      <w:pPr>
        <w:pStyle w:val="11"/>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5、按投标文件递交的先后顺序当场拆封</w:t>
      </w:r>
      <w:r>
        <w:rPr>
          <w:rFonts w:hint="eastAsia" w:asciiTheme="minorEastAsia" w:hAnsiTheme="minorEastAsia" w:eastAsiaTheme="minorEastAsia"/>
          <w:kern w:val="0"/>
          <w:sz w:val="24"/>
        </w:rPr>
        <w:t>资格证明文件、</w:t>
      </w:r>
      <w:r>
        <w:rPr>
          <w:rFonts w:hint="eastAsia" w:hAnsi="宋体"/>
          <w:bCs/>
          <w:sz w:val="24"/>
          <w:lang w:val="zh-CN"/>
        </w:rPr>
        <w:t>商务与技术文件</w:t>
      </w:r>
      <w:r>
        <w:rPr>
          <w:rFonts w:hint="eastAsia" w:asciiTheme="minorEastAsia" w:hAnsiTheme="minorEastAsia" w:eastAsiaTheme="minorEastAsia"/>
          <w:sz w:val="24"/>
        </w:rPr>
        <w:t>后，进入资格审查及符合性审查环节；</w:t>
      </w:r>
    </w:p>
    <w:p>
      <w:pPr>
        <w:pStyle w:val="11"/>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6、完成</w:t>
      </w:r>
      <w:r>
        <w:rPr>
          <w:rFonts w:ascii="Arial" w:hAnsi="Arial" w:cs="Arial"/>
          <w:sz w:val="24"/>
        </w:rPr>
        <w:t>综合比较与评价</w:t>
      </w:r>
      <w:r>
        <w:rPr>
          <w:rFonts w:hint="eastAsia" w:ascii="Arial" w:hAnsi="Arial" w:cs="Arial"/>
          <w:sz w:val="24"/>
        </w:rPr>
        <w:t>后，</w:t>
      </w:r>
      <w:r>
        <w:rPr>
          <w:rFonts w:hint="eastAsia" w:asciiTheme="minorEastAsia" w:hAnsiTheme="minorEastAsia" w:eastAsiaTheme="minorEastAsia"/>
          <w:sz w:val="24"/>
        </w:rPr>
        <w:t>由主持人按投标文件的先后顺序当场拆封报价文件，并现场宣读《开标一览表》中的投标报价，以及采购组织机构认为有必要宣读的其他内容；</w:t>
      </w:r>
    </w:p>
    <w:p>
      <w:pPr>
        <w:pStyle w:val="11"/>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7、采购组织机构做开标记录, 投标人代表对开标记录进行当场校核及勘误，并签字确认。同时由记录人、监督人当场签字确认。投标人代表未到场签字确认或者拒绝签字确认的，不影响评标过程；</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8、在完成评标后，宣布评标结果，开标会议结束。</w:t>
      </w:r>
    </w:p>
    <w:p>
      <w:pPr>
        <w:pStyle w:val="11"/>
        <w:snapToGrid w:val="0"/>
        <w:spacing w:line="360" w:lineRule="auto"/>
        <w:outlineLvl w:val="1"/>
        <w:rPr>
          <w:rFonts w:asciiTheme="minorEastAsia" w:hAnsiTheme="minorEastAsia" w:eastAsiaTheme="minorEastAsia"/>
          <w:b/>
          <w:sz w:val="24"/>
        </w:rPr>
      </w:pPr>
      <w:r>
        <w:rPr>
          <w:rFonts w:hint="eastAsia" w:asciiTheme="minorEastAsia" w:hAnsiTheme="minorEastAsia" w:eastAsiaTheme="minorEastAsia"/>
          <w:b/>
          <w:sz w:val="24"/>
        </w:rPr>
        <w:t>六、评标</w:t>
      </w:r>
    </w:p>
    <w:p>
      <w:pPr>
        <w:pStyle w:val="11"/>
        <w:snapToGrid w:val="0"/>
        <w:spacing w:line="360" w:lineRule="auto"/>
        <w:ind w:left="720" w:leftChars="228" w:hanging="241" w:hangingChars="100"/>
        <w:rPr>
          <w:rFonts w:asciiTheme="minorEastAsia" w:hAnsiTheme="minorEastAsia" w:eastAsiaTheme="minorEastAsia"/>
          <w:b/>
          <w:sz w:val="24"/>
        </w:rPr>
      </w:pPr>
      <w:r>
        <w:rPr>
          <w:rFonts w:asciiTheme="minorEastAsia" w:hAnsiTheme="minorEastAsia" w:eastAsiaTheme="minorEastAsia"/>
          <w:b/>
          <w:sz w:val="24"/>
        </w:rPr>
        <w:t>（一）组建评标委员会</w:t>
      </w:r>
    </w:p>
    <w:p>
      <w:pPr>
        <w:pStyle w:val="11"/>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本项目评标委员会由政府采购评审专家</w:t>
      </w:r>
      <w:r>
        <w:rPr>
          <w:rFonts w:hint="eastAsia" w:asciiTheme="minorEastAsia" w:hAnsiTheme="minorEastAsia" w:eastAsiaTheme="minorEastAsia"/>
          <w:sz w:val="24"/>
        </w:rPr>
        <w:t>和采购单位评审代表</w:t>
      </w:r>
      <w:r>
        <w:rPr>
          <w:rFonts w:asciiTheme="minorEastAsia" w:hAnsiTheme="minorEastAsia" w:eastAsiaTheme="minorEastAsia"/>
          <w:sz w:val="24"/>
        </w:rPr>
        <w:t>组成。</w:t>
      </w:r>
    </w:p>
    <w:p>
      <w:pPr>
        <w:pStyle w:val="11"/>
        <w:snapToGrid w:val="0"/>
        <w:spacing w:line="360" w:lineRule="auto"/>
        <w:ind w:left="720" w:leftChars="228" w:hanging="241" w:hangingChars="100"/>
        <w:rPr>
          <w:rFonts w:asciiTheme="minorEastAsia" w:hAnsiTheme="minorEastAsia" w:eastAsiaTheme="minorEastAsia"/>
          <w:b/>
          <w:sz w:val="24"/>
        </w:rPr>
      </w:pPr>
      <w:r>
        <w:rPr>
          <w:rFonts w:asciiTheme="minorEastAsia" w:hAnsiTheme="minorEastAsia" w:eastAsiaTheme="minorEastAsia"/>
          <w:b/>
          <w:sz w:val="24"/>
        </w:rPr>
        <w:t>（</w:t>
      </w:r>
      <w:r>
        <w:rPr>
          <w:rFonts w:hint="eastAsia" w:asciiTheme="minorEastAsia" w:hAnsiTheme="minorEastAsia" w:eastAsiaTheme="minorEastAsia"/>
          <w:b/>
          <w:sz w:val="24"/>
        </w:rPr>
        <w:t>二</w:t>
      </w:r>
      <w:r>
        <w:rPr>
          <w:rFonts w:asciiTheme="minorEastAsia" w:hAnsiTheme="minorEastAsia" w:eastAsiaTheme="minorEastAsia"/>
          <w:b/>
          <w:sz w:val="24"/>
        </w:rPr>
        <w:t>）</w:t>
      </w:r>
      <w:r>
        <w:rPr>
          <w:rFonts w:asciiTheme="minorEastAsia" w:hAnsiTheme="minorEastAsia" w:eastAsiaTheme="minorEastAsia"/>
          <w:b/>
          <w:bCs/>
          <w:sz w:val="24"/>
        </w:rPr>
        <w:t>评标程序</w:t>
      </w:r>
    </w:p>
    <w:p>
      <w:pPr>
        <w:snapToGrid w:val="0"/>
        <w:spacing w:line="360" w:lineRule="auto"/>
        <w:ind w:firstLine="472" w:firstLineChars="196"/>
        <w:rPr>
          <w:rFonts w:asciiTheme="minorEastAsia" w:hAnsiTheme="minorEastAsia" w:eastAsiaTheme="minorEastAsia"/>
          <w:b/>
          <w:bCs/>
          <w:sz w:val="24"/>
        </w:rPr>
      </w:pPr>
      <w:r>
        <w:rPr>
          <w:rFonts w:hint="eastAsia" w:asciiTheme="minorEastAsia" w:hAnsiTheme="minorEastAsia" w:eastAsiaTheme="minorEastAsia"/>
          <w:b/>
          <w:bCs/>
          <w:sz w:val="24"/>
        </w:rPr>
        <w:t>1、资格</w:t>
      </w:r>
      <w:r>
        <w:rPr>
          <w:rFonts w:asciiTheme="minorEastAsia" w:hAnsiTheme="minorEastAsia" w:eastAsiaTheme="minorEastAsia"/>
          <w:b/>
          <w:bCs/>
          <w:sz w:val="24"/>
        </w:rPr>
        <w:t>审查</w:t>
      </w:r>
    </w:p>
    <w:p>
      <w:pPr>
        <w:pStyle w:val="18"/>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公开招标采购项目开标结束后，采购人或者采购组织机构应当依法对投标人的资格进行审查，对审查发现无效的进行必要的询标，结束后公布无效投标的投标人名单、投标无效的原因。</w:t>
      </w:r>
    </w:p>
    <w:p>
      <w:pPr>
        <w:pStyle w:val="18"/>
        <w:spacing w:before="0" w:beforeAutospacing="0" w:after="0" w:afterAutospacing="0" w:line="360" w:lineRule="auto"/>
        <w:ind w:firstLine="472" w:firstLineChars="196"/>
        <w:jc w:val="both"/>
        <w:rPr>
          <w:rFonts w:hint="default" w:asciiTheme="minorEastAsia" w:hAnsiTheme="minorEastAsia" w:eastAsiaTheme="minorEastAsia"/>
          <w:b/>
          <w:bCs/>
        </w:rPr>
      </w:pPr>
      <w:r>
        <w:rPr>
          <w:rFonts w:asciiTheme="minorEastAsia" w:hAnsiTheme="minorEastAsia" w:eastAsiaTheme="minorEastAsia"/>
          <w:b/>
          <w:bCs/>
        </w:rPr>
        <w:t>2、符合性审查</w:t>
      </w:r>
    </w:p>
    <w:p>
      <w:pPr>
        <w:pStyle w:val="18"/>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评标委员会应当对符合资格的投标人的投标文件进行符合性审查，以确定其是否满足招标文件的实质性要求，对审查发现无效的进行必要的询标，结束后公布无效投标的投标人名单、投标无效的原因。</w:t>
      </w:r>
    </w:p>
    <w:p>
      <w:pPr>
        <w:pStyle w:val="18"/>
        <w:spacing w:before="0" w:beforeAutospacing="0" w:after="0" w:afterAutospacing="0" w:line="360" w:lineRule="auto"/>
        <w:ind w:firstLine="482" w:firstLineChars="200"/>
        <w:jc w:val="both"/>
        <w:rPr>
          <w:rFonts w:hint="default" w:asciiTheme="minorEastAsia" w:hAnsiTheme="minorEastAsia" w:eastAsiaTheme="minorEastAsia"/>
        </w:rPr>
      </w:pPr>
      <w:r>
        <w:rPr>
          <w:rFonts w:asciiTheme="minorEastAsia" w:hAnsiTheme="minorEastAsia" w:eastAsiaTheme="minorEastAsia"/>
          <w:b/>
          <w:bCs/>
        </w:rPr>
        <w:t>3、</w:t>
      </w:r>
      <w:r>
        <w:rPr>
          <w:rFonts w:hint="default" w:ascii="Arial" w:hAnsi="Arial" w:cs="Arial"/>
          <w:b/>
          <w:bCs/>
        </w:rPr>
        <w:t>综合比较与评价</w:t>
      </w:r>
    </w:p>
    <w:p>
      <w:pPr>
        <w:pStyle w:val="18"/>
        <w:spacing w:before="0" w:beforeAutospacing="0" w:after="0" w:afterAutospacing="0" w:line="360" w:lineRule="auto"/>
        <w:ind w:firstLine="360" w:firstLineChars="150"/>
        <w:jc w:val="both"/>
        <w:rPr>
          <w:rFonts w:hint="default" w:asciiTheme="minorEastAsia" w:hAnsiTheme="minorEastAsia" w:eastAsiaTheme="minorEastAsia"/>
        </w:rPr>
      </w:pPr>
      <w:r>
        <w:rPr>
          <w:rFonts w:asciiTheme="minorEastAsia" w:hAnsiTheme="minorEastAsia" w:eastAsiaTheme="minorEastAsia"/>
        </w:rPr>
        <w:t>（1）对于投标文件中含义不明确、同类问题表述不一致或者有明显文字和计算错误的内容，评标委员会应当以书面形式要求投标人作出必要的澄清、说明或者补正。</w:t>
      </w:r>
    </w:p>
    <w:p>
      <w:pPr>
        <w:pStyle w:val="18"/>
        <w:spacing w:before="0" w:beforeAutospacing="0" w:after="0" w:afterAutospacing="0" w:line="360" w:lineRule="auto"/>
        <w:ind w:firstLine="360" w:firstLineChars="150"/>
        <w:jc w:val="both"/>
        <w:rPr>
          <w:rFonts w:hint="default" w:asciiTheme="minorEastAsia" w:hAnsiTheme="minorEastAsia" w:eastAsiaTheme="minorEastAsia"/>
        </w:rPr>
      </w:pPr>
      <w:r>
        <w:rPr>
          <w:rFonts w:asciiTheme="minorEastAsia" w:hAnsiTheme="minorEastAsia" w:eastAsiaTheme="minorEastAsia"/>
        </w:rPr>
        <w:t>（2）评标委员会应当按照招标文件中规定的评标方法和标准，对符合性审查合格的投标文件进行商务和技术评估，综合比较与评价。</w:t>
      </w:r>
    </w:p>
    <w:p>
      <w:pPr>
        <w:snapToGrid w:val="0"/>
        <w:spacing w:line="360" w:lineRule="auto"/>
        <w:ind w:firstLine="360" w:firstLineChars="150"/>
        <w:rPr>
          <w:rFonts w:asciiTheme="minorEastAsia" w:hAnsiTheme="minorEastAsia" w:eastAsiaTheme="minorEastAsia"/>
          <w:kern w:val="0"/>
          <w:sz w:val="24"/>
        </w:rPr>
      </w:pPr>
      <w:r>
        <w:rPr>
          <w:rFonts w:hint="eastAsia" w:asciiTheme="minorEastAsia" w:hAnsiTheme="minorEastAsia" w:eastAsiaTheme="minorEastAsia"/>
          <w:kern w:val="0"/>
          <w:sz w:val="24"/>
        </w:rPr>
        <w:t>（3）评标时，评标委员会各成员应当独立对每个投标人的投标文件进行评价，并汇总每个投标人的得分。</w:t>
      </w:r>
    </w:p>
    <w:p>
      <w:pPr>
        <w:numPr>
          <w:ilvl w:val="255"/>
          <w:numId w:val="0"/>
        </w:numPr>
        <w:snapToGrid w:val="0"/>
        <w:spacing w:line="360" w:lineRule="auto"/>
        <w:ind w:firstLine="482" w:firstLineChars="200"/>
        <w:rPr>
          <w:rFonts w:ascii="Arial" w:hAnsi="Arial" w:cs="Arial"/>
          <w:b/>
          <w:bCs/>
          <w:sz w:val="24"/>
        </w:rPr>
      </w:pPr>
      <w:r>
        <w:rPr>
          <w:rFonts w:hint="eastAsia" w:ascii="Arial" w:hAnsi="Arial" w:cs="Arial"/>
          <w:b/>
          <w:bCs/>
          <w:sz w:val="24"/>
        </w:rPr>
        <w:t>4、得分确认及评审报告编写</w:t>
      </w:r>
    </w:p>
    <w:p>
      <w:pPr>
        <w:pStyle w:val="11"/>
        <w:snapToGrid w:val="0"/>
        <w:spacing w:line="360" w:lineRule="auto"/>
        <w:ind w:firstLine="420" w:firstLineChars="175"/>
        <w:rPr>
          <w:rFonts w:asciiTheme="minorEastAsia" w:hAnsiTheme="minorEastAsia" w:eastAsiaTheme="minorEastAsia"/>
          <w:sz w:val="24"/>
        </w:rPr>
      </w:pPr>
      <w:r>
        <w:rPr>
          <w:rFonts w:asciiTheme="minorEastAsia" w:hAnsiTheme="minorEastAsia" w:eastAsiaTheme="minorEastAsia"/>
          <w:sz w:val="24"/>
        </w:rPr>
        <w:t>（</w:t>
      </w:r>
      <w:r>
        <w:rPr>
          <w:rFonts w:hint="eastAsia" w:asciiTheme="minorEastAsia" w:hAnsiTheme="minorEastAsia" w:eastAsiaTheme="minorEastAsia"/>
          <w:sz w:val="24"/>
        </w:rPr>
        <w:t>1</w:t>
      </w:r>
      <w:r>
        <w:rPr>
          <w:rFonts w:asciiTheme="minorEastAsia" w:hAnsiTheme="minorEastAsia" w:eastAsiaTheme="minorEastAsia"/>
          <w:sz w:val="24"/>
        </w:rPr>
        <w:t>）</w:t>
      </w:r>
      <w:r>
        <w:rPr>
          <w:rFonts w:hint="eastAsia" w:asciiTheme="minorEastAsia" w:hAnsiTheme="minorEastAsia" w:eastAsiaTheme="minorEastAsia"/>
          <w:sz w:val="24"/>
        </w:rPr>
        <w:t>评标委员会对报价文件进行复核，对于系统计算出的价格分及总得分进行确认；</w:t>
      </w:r>
    </w:p>
    <w:p>
      <w:pPr>
        <w:pStyle w:val="18"/>
        <w:spacing w:before="0" w:beforeAutospacing="0" w:after="0" w:afterAutospacing="0" w:line="360" w:lineRule="auto"/>
        <w:ind w:firstLine="420" w:firstLineChars="175"/>
        <w:jc w:val="both"/>
        <w:rPr>
          <w:rFonts w:hint="default" w:asciiTheme="minorEastAsia" w:hAnsiTheme="minorEastAsia" w:eastAsiaTheme="minorEastAsia"/>
        </w:rPr>
      </w:pPr>
      <w:r>
        <w:rPr>
          <w:rFonts w:asciiTheme="minorEastAsia" w:hAnsiTheme="minorEastAsia" w:eastAsiaTheme="minorEastAsia"/>
        </w:rPr>
        <w:t>（2）评标委员会应当按照招标文件中规定的评标方法和标准，对符合性审查合格的投标文件进行商务和技术评估，综合比较与评价。</w:t>
      </w:r>
    </w:p>
    <w:p>
      <w:pPr>
        <w:snapToGrid w:val="0"/>
        <w:spacing w:line="360" w:lineRule="auto"/>
        <w:ind w:firstLine="480" w:firstLineChars="200"/>
        <w:rPr>
          <w:rFonts w:ascii="Arial" w:hAnsi="Arial" w:cs="Arial"/>
          <w:b/>
          <w:bCs/>
          <w:sz w:val="24"/>
        </w:rPr>
      </w:pPr>
      <w:r>
        <w:rPr>
          <w:rFonts w:asciiTheme="minorEastAsia" w:hAnsiTheme="minorEastAsia" w:eastAsiaTheme="minorEastAsia"/>
          <w:sz w:val="24"/>
        </w:rPr>
        <w:t>（</w:t>
      </w:r>
      <w:r>
        <w:rPr>
          <w:rFonts w:hint="eastAsia" w:asciiTheme="minorEastAsia" w:hAnsiTheme="minorEastAsia" w:eastAsiaTheme="minorEastAsia"/>
          <w:sz w:val="24"/>
        </w:rPr>
        <w:t>3</w:t>
      </w:r>
      <w:r>
        <w:rPr>
          <w:rFonts w:asciiTheme="minorEastAsia" w:hAnsiTheme="minorEastAsia" w:eastAsiaTheme="minorEastAsia"/>
          <w:sz w:val="24"/>
        </w:rPr>
        <w:t>）</w:t>
      </w:r>
      <w:r>
        <w:rPr>
          <w:rFonts w:hint="eastAsia" w:asciiTheme="minorEastAsia" w:hAnsiTheme="minorEastAsia" w:eastAsiaTheme="minorEastAsia"/>
          <w:kern w:val="0"/>
          <w:sz w:val="24"/>
        </w:rPr>
        <w:t>评标委员会</w:t>
      </w:r>
      <w:r>
        <w:rPr>
          <w:rFonts w:asciiTheme="minorEastAsia" w:hAnsiTheme="minorEastAsia" w:eastAsiaTheme="minorEastAsia"/>
          <w:sz w:val="24"/>
        </w:rPr>
        <w:t>按评标原则</w:t>
      </w:r>
      <w:r>
        <w:rPr>
          <w:rFonts w:hint="eastAsia" w:asciiTheme="minorEastAsia" w:hAnsiTheme="minorEastAsia" w:eastAsiaTheme="minorEastAsia"/>
          <w:sz w:val="24"/>
        </w:rPr>
        <w:t>及得分情况编写评审报告。</w:t>
      </w:r>
    </w:p>
    <w:p>
      <w:pPr>
        <w:numPr>
          <w:ilvl w:val="255"/>
          <w:numId w:val="0"/>
        </w:numPr>
        <w:snapToGrid w:val="0"/>
        <w:spacing w:line="360" w:lineRule="auto"/>
        <w:ind w:firstLine="482" w:firstLineChars="200"/>
        <w:rPr>
          <w:rFonts w:asciiTheme="minorEastAsia" w:hAnsiTheme="minorEastAsia" w:eastAsiaTheme="minorEastAsia"/>
          <w:b/>
          <w:kern w:val="0"/>
          <w:sz w:val="24"/>
        </w:rPr>
      </w:pPr>
      <w:r>
        <w:rPr>
          <w:rFonts w:hint="eastAsia" w:asciiTheme="minorEastAsia" w:hAnsiTheme="minorEastAsia" w:eastAsiaTheme="minorEastAsia"/>
          <w:b/>
          <w:kern w:val="0"/>
          <w:sz w:val="24"/>
        </w:rPr>
        <w:t>5、评价</w:t>
      </w:r>
    </w:p>
    <w:p>
      <w:pPr>
        <w:snapToGrid w:val="0"/>
        <w:spacing w:line="360" w:lineRule="auto"/>
        <w:ind w:firstLine="480" w:firstLineChars="200"/>
        <w:rPr>
          <w:rFonts w:asciiTheme="minorEastAsia" w:hAnsiTheme="minorEastAsia" w:eastAsiaTheme="minorEastAsia"/>
          <w:b/>
          <w:kern w:val="0"/>
          <w:sz w:val="24"/>
        </w:rPr>
      </w:pPr>
      <w:r>
        <w:rPr>
          <w:rFonts w:hint="eastAsia" w:asciiTheme="minorEastAsia" w:hAnsiTheme="minorEastAsia" w:eastAsiaTheme="minorEastAsia"/>
          <w:sz w:val="24"/>
        </w:rPr>
        <w:t>采购组织机构对评标委员会评审专家进行评价。</w:t>
      </w:r>
    </w:p>
    <w:p>
      <w:pPr>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b/>
          <w:sz w:val="24"/>
        </w:rPr>
        <w:t>（三）澄清问题的形式</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sz w:val="24"/>
        </w:rPr>
        <w:t>投标人的澄清、说明或者补正应当采用书面形式，并加盖公章，或者由法定代理人或其授权的代表签字，并不得超出投标文件的范围或者改变投标文件的实质性内容。</w:t>
      </w:r>
    </w:p>
    <w:p>
      <w:pPr>
        <w:pStyle w:val="11"/>
        <w:snapToGrid w:val="0"/>
        <w:spacing w:line="360" w:lineRule="auto"/>
        <w:ind w:left="720" w:leftChars="228" w:hanging="241" w:hangingChars="100"/>
        <w:rPr>
          <w:rFonts w:asciiTheme="minorEastAsia" w:hAnsiTheme="minorEastAsia" w:eastAsiaTheme="minorEastAsia"/>
          <w:b/>
          <w:sz w:val="24"/>
        </w:rPr>
      </w:pPr>
      <w:r>
        <w:rPr>
          <w:rFonts w:hint="eastAsia" w:asciiTheme="minorEastAsia" w:hAnsiTheme="minorEastAsia" w:eastAsiaTheme="minorEastAsia"/>
          <w:b/>
          <w:sz w:val="24"/>
        </w:rPr>
        <w:t>（四）错误修正</w:t>
      </w:r>
    </w:p>
    <w:p>
      <w:pPr>
        <w:pStyle w:val="18"/>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投标文件报价出现前后不一致的，除招标文件另有规定外，按照下列规定修正：</w:t>
      </w:r>
    </w:p>
    <w:p>
      <w:pPr>
        <w:pStyle w:val="18"/>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1、投标文件中开标一览表（报价表）内容与投标文件中相应内容不一致的，以开标一览表（报价表）为准；</w:t>
      </w:r>
    </w:p>
    <w:p>
      <w:pPr>
        <w:pStyle w:val="18"/>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2、大写金额和小写金额不一致的，以大写金额为准；</w:t>
      </w:r>
    </w:p>
    <w:p>
      <w:pPr>
        <w:pStyle w:val="18"/>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3、单价金额小数点或者百分比有明显错位的，以开标一览表的总价为准，并修改单价；</w:t>
      </w:r>
    </w:p>
    <w:p>
      <w:pPr>
        <w:pStyle w:val="18"/>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4、总价金额与按单价汇总金额不一致的，以单价金额计算结果为准。</w:t>
      </w:r>
    </w:p>
    <w:p>
      <w:pPr>
        <w:pStyle w:val="18"/>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同时出现两种以上不一致的，按照前款规定的顺序修正。修正应当采用书面形式，并加盖公章，或者由法定代表人或其授权的代表签字。修正后的报价经投标人确认后产生约束力，投标人不确认的，其投标无效。</w:t>
      </w:r>
    </w:p>
    <w:p>
      <w:pPr>
        <w:pStyle w:val="18"/>
        <w:spacing w:before="0" w:beforeAutospacing="0" w:after="0" w:afterAutospacing="0" w:line="360" w:lineRule="auto"/>
        <w:ind w:firstLine="361" w:firstLineChars="150"/>
        <w:jc w:val="both"/>
        <w:rPr>
          <w:rFonts w:hint="default" w:asciiTheme="minorEastAsia" w:hAnsiTheme="minorEastAsia" w:eastAsiaTheme="minorEastAsia"/>
          <w:b/>
        </w:rPr>
      </w:pPr>
      <w:r>
        <w:rPr>
          <w:rFonts w:asciiTheme="minorEastAsia" w:hAnsiTheme="minorEastAsia" w:eastAsiaTheme="minorEastAsia"/>
          <w:b/>
          <w:bCs/>
        </w:rPr>
        <w:t>（五）</w:t>
      </w:r>
      <w:r>
        <w:rPr>
          <w:rFonts w:asciiTheme="minorEastAsia" w:hAnsiTheme="minorEastAsia" w:eastAsiaTheme="minorEastAsia"/>
          <w:b/>
        </w:rPr>
        <w:t>投标人存在下列情况之一的，投标无效</w:t>
      </w:r>
    </w:p>
    <w:p>
      <w:pPr>
        <w:adjustRightInd w:val="0"/>
        <w:snapToGrid w:val="0"/>
        <w:spacing w:line="360" w:lineRule="auto"/>
        <w:ind w:left="4" w:firstLine="470" w:firstLineChars="196"/>
        <w:jc w:val="left"/>
        <w:rPr>
          <w:rFonts w:asciiTheme="minorEastAsia" w:hAnsiTheme="minorEastAsia" w:eastAsiaTheme="minorEastAsia"/>
          <w:b/>
          <w:bCs/>
          <w:sz w:val="24"/>
        </w:rPr>
      </w:pPr>
      <w:r>
        <w:rPr>
          <w:rFonts w:hint="eastAsia" w:asciiTheme="minorEastAsia" w:hAnsiTheme="minorEastAsia" w:eastAsiaTheme="minorEastAsia"/>
          <w:kern w:val="0"/>
          <w:sz w:val="24"/>
        </w:rPr>
        <w:t>1、资格证明文件或商务与技术文件跟报价文件出现混装或在资格证明文件或商务与技术文件中出现投标报价的，或者报价文件中报价的货物跟商务与技术文件中的投标货物出现重大偏差的；</w:t>
      </w:r>
    </w:p>
    <w:p>
      <w:pPr>
        <w:pStyle w:val="18"/>
        <w:tabs>
          <w:tab w:val="left" w:pos="7380"/>
        </w:tabs>
        <w:adjustRightInd w:val="0"/>
        <w:snapToGrid w:val="0"/>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2、不具备招标文件中规定的资格要求的。</w:t>
      </w:r>
      <w:r>
        <w:rPr>
          <w:rFonts w:hint="default" w:asciiTheme="minorEastAsia" w:hAnsiTheme="minorEastAsia" w:eastAsiaTheme="minorEastAsia"/>
        </w:rPr>
        <w:tab/>
      </w:r>
    </w:p>
    <w:p>
      <w:pPr>
        <w:pStyle w:val="18"/>
        <w:adjustRightInd w:val="0"/>
        <w:snapToGrid w:val="0"/>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3、投标文件含有采购人不能接受的附加条件的。</w:t>
      </w:r>
    </w:p>
    <w:p>
      <w:pPr>
        <w:adjustRightInd w:val="0"/>
        <w:snapToGrid w:val="0"/>
        <w:spacing w:line="360" w:lineRule="auto"/>
        <w:ind w:firstLine="470" w:firstLineChars="196"/>
        <w:rPr>
          <w:rFonts w:asciiTheme="minorEastAsia" w:hAnsiTheme="minorEastAsia" w:eastAsiaTheme="minorEastAsia"/>
          <w:bCs/>
          <w:kern w:val="0"/>
          <w:sz w:val="24"/>
        </w:rPr>
      </w:pPr>
      <w:r>
        <w:rPr>
          <w:rFonts w:hint="eastAsia" w:asciiTheme="minorEastAsia" w:hAnsiTheme="minorEastAsia" w:eastAsiaTheme="minorEastAsia"/>
          <w:kern w:val="0"/>
          <w:sz w:val="24"/>
        </w:rPr>
        <w:t>4</w:t>
      </w:r>
      <w:r>
        <w:rPr>
          <w:rFonts w:hint="eastAsia" w:asciiTheme="minorEastAsia" w:hAnsiTheme="minorEastAsia" w:eastAsiaTheme="minorEastAsia"/>
          <w:sz w:val="24"/>
        </w:rPr>
        <w:t>、投标代表人未能出具身份证明或与法定代表人授权委托人身份不符的；</w:t>
      </w:r>
    </w:p>
    <w:p>
      <w:pPr>
        <w:pStyle w:val="18"/>
        <w:adjustRightInd w:val="0"/>
        <w:snapToGrid w:val="0"/>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5、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18"/>
        <w:adjustRightInd w:val="0"/>
        <w:snapToGrid w:val="0"/>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 xml:space="preserve">6、报价超过招标文件中规定的预算金额。 </w:t>
      </w:r>
    </w:p>
    <w:p>
      <w:pPr>
        <w:tabs>
          <w:tab w:val="left" w:pos="1898"/>
        </w:tabs>
        <w:autoSpaceDE w:val="0"/>
        <w:autoSpaceDN w:val="0"/>
        <w:adjustRightInd w:val="0"/>
        <w:snapToGrid w:val="0"/>
        <w:spacing w:line="360" w:lineRule="auto"/>
        <w:ind w:firstLine="480"/>
        <w:rPr>
          <w:rFonts w:asciiTheme="minorEastAsia" w:hAnsiTheme="minorEastAsia" w:eastAsiaTheme="minorEastAsia"/>
          <w:kern w:val="0"/>
          <w:sz w:val="24"/>
        </w:rPr>
      </w:pPr>
      <w:r>
        <w:rPr>
          <w:rFonts w:hint="eastAsia" w:asciiTheme="minorEastAsia" w:hAnsiTheme="minorEastAsia" w:eastAsiaTheme="minorEastAsia"/>
          <w:kern w:val="0"/>
          <w:sz w:val="24"/>
        </w:rPr>
        <w:t>7、投标参数未如实填写，完全复制粘贴招标参数的。</w:t>
      </w:r>
    </w:p>
    <w:p>
      <w:pPr>
        <w:tabs>
          <w:tab w:val="left" w:pos="1898"/>
        </w:tabs>
        <w:autoSpaceDE w:val="0"/>
        <w:autoSpaceDN w:val="0"/>
        <w:adjustRightInd w:val="0"/>
        <w:snapToGrid w:val="0"/>
        <w:spacing w:line="360" w:lineRule="auto"/>
        <w:ind w:firstLine="480"/>
        <w:rPr>
          <w:rFonts w:asciiTheme="minorEastAsia" w:hAnsiTheme="minorEastAsia" w:eastAsiaTheme="minorEastAsia"/>
          <w:kern w:val="0"/>
          <w:sz w:val="24"/>
        </w:rPr>
      </w:pPr>
      <w:r>
        <w:rPr>
          <w:rFonts w:hint="eastAsia" w:asciiTheme="minorEastAsia" w:hAnsiTheme="minorEastAsia" w:eastAsiaTheme="minorEastAsia"/>
          <w:kern w:val="0"/>
          <w:sz w:val="24"/>
        </w:rPr>
        <w:t xml:space="preserve">8、投标文件提供虚假材料的。 </w:t>
      </w:r>
    </w:p>
    <w:p>
      <w:pPr>
        <w:tabs>
          <w:tab w:val="left" w:pos="1898"/>
        </w:tabs>
        <w:autoSpaceDE w:val="0"/>
        <w:autoSpaceDN w:val="0"/>
        <w:adjustRightInd w:val="0"/>
        <w:snapToGrid w:val="0"/>
        <w:spacing w:line="360" w:lineRule="auto"/>
        <w:ind w:firstLine="480"/>
        <w:rPr>
          <w:rFonts w:asciiTheme="minorEastAsia" w:hAnsiTheme="minorEastAsia" w:eastAsiaTheme="minorEastAsia"/>
          <w:kern w:val="0"/>
          <w:sz w:val="24"/>
        </w:rPr>
      </w:pPr>
      <w:r>
        <w:rPr>
          <w:rFonts w:hint="eastAsia" w:asciiTheme="minorEastAsia" w:hAnsiTheme="minorEastAsia" w:eastAsiaTheme="minorEastAsia"/>
          <w:kern w:val="0"/>
          <w:sz w:val="24"/>
        </w:rPr>
        <w:t>9</w:t>
      </w:r>
      <w:r>
        <w:rPr>
          <w:rFonts w:asciiTheme="minorEastAsia" w:hAnsiTheme="minorEastAsia" w:eastAsiaTheme="minorEastAsia"/>
          <w:kern w:val="0"/>
          <w:sz w:val="24"/>
        </w:rPr>
        <w:t>、不符合中华人民共和国财政部令第87号《政府采购货物和服务招标投标管理办法》第三十七条情形之一的，视为投标人串通投标，其投标无效</w:t>
      </w:r>
      <w:r>
        <w:rPr>
          <w:rFonts w:hint="eastAsia" w:asciiTheme="minorEastAsia" w:hAnsiTheme="minorEastAsia" w:eastAsiaTheme="minorEastAsia"/>
          <w:kern w:val="0"/>
          <w:sz w:val="24"/>
        </w:rPr>
        <w:t>，并移送采购监管部门</w:t>
      </w:r>
      <w:r>
        <w:rPr>
          <w:rFonts w:asciiTheme="minorEastAsia" w:hAnsiTheme="minorEastAsia" w:eastAsiaTheme="minorEastAsia"/>
          <w:kern w:val="0"/>
          <w:sz w:val="24"/>
        </w:rPr>
        <w:t>：</w:t>
      </w:r>
    </w:p>
    <w:p>
      <w:pPr>
        <w:pStyle w:val="18"/>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（1）不同投标人的投标文件由同一单位或者个人编制；</w:t>
      </w:r>
    </w:p>
    <w:p>
      <w:pPr>
        <w:pStyle w:val="18"/>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（2）不同投标人委托同一单位或者个人办理投标事宜；</w:t>
      </w:r>
    </w:p>
    <w:p>
      <w:pPr>
        <w:pStyle w:val="18"/>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（3）不同投标人的投标文件载明的项目管理成员或者联系人员为同一人；</w:t>
      </w:r>
    </w:p>
    <w:p>
      <w:pPr>
        <w:pStyle w:val="18"/>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（4）不同投标人的投标文件异常一致或者投标报价呈规律性差异；</w:t>
      </w:r>
    </w:p>
    <w:p>
      <w:pPr>
        <w:pStyle w:val="18"/>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（5）不同投标人的投标文件相互混装；</w:t>
      </w:r>
    </w:p>
    <w:p>
      <w:pPr>
        <w:autoSpaceDE w:val="0"/>
        <w:autoSpaceDN w:val="0"/>
        <w:adjustRightInd w:val="0"/>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11、不符合法律、法规和招标文件中规定的其他实质性要求的（招标文件</w:t>
      </w:r>
    </w:p>
    <w:p>
      <w:pPr>
        <w:tabs>
          <w:tab w:val="right" w:pos="8306"/>
        </w:tabs>
        <w:autoSpaceDE w:val="0"/>
        <w:autoSpaceDN w:val="0"/>
        <w:adjustRightInd w:val="0"/>
        <w:spacing w:line="360" w:lineRule="auto"/>
        <w:rPr>
          <w:rFonts w:asciiTheme="minorEastAsia" w:hAnsiTheme="minorEastAsia" w:eastAsiaTheme="minorEastAsia"/>
          <w:kern w:val="0"/>
          <w:sz w:val="24"/>
        </w:rPr>
      </w:pPr>
      <w:r>
        <w:rPr>
          <w:rFonts w:hint="eastAsia" w:asciiTheme="minorEastAsia" w:hAnsiTheme="minorEastAsia" w:eastAsiaTheme="minorEastAsia"/>
          <w:kern w:val="0"/>
          <w:sz w:val="24"/>
        </w:rPr>
        <w:t>中打“▲”内容及被拒绝的条款）。</w:t>
      </w:r>
    </w:p>
    <w:p>
      <w:pPr>
        <w:autoSpaceDE w:val="0"/>
        <w:autoSpaceDN w:val="0"/>
        <w:adjustRightInd w:val="0"/>
        <w:spacing w:line="360" w:lineRule="auto"/>
        <w:ind w:left="480"/>
        <w:rPr>
          <w:rFonts w:asciiTheme="minorEastAsia" w:hAnsiTheme="minorEastAsia" w:eastAsiaTheme="minorEastAsia"/>
          <w:kern w:val="0"/>
          <w:sz w:val="24"/>
        </w:rPr>
      </w:pPr>
      <w:r>
        <w:rPr>
          <w:rFonts w:hint="eastAsia" w:asciiTheme="minorEastAsia" w:hAnsiTheme="minorEastAsia" w:eastAsiaTheme="minorEastAsia"/>
          <w:b/>
          <w:kern w:val="0"/>
          <w:sz w:val="24"/>
        </w:rPr>
        <w:t>（六）有下列情况之一的，本次招标作为废标处理</w:t>
      </w:r>
    </w:p>
    <w:p>
      <w:pPr>
        <w:pStyle w:val="18"/>
        <w:spacing w:before="0" w:beforeAutospacing="0" w:after="0" w:afterAutospacing="0" w:line="360" w:lineRule="auto"/>
        <w:ind w:firstLine="600" w:firstLineChars="250"/>
        <w:jc w:val="both"/>
        <w:rPr>
          <w:rFonts w:hint="default" w:asciiTheme="minorEastAsia" w:hAnsiTheme="minorEastAsia" w:eastAsiaTheme="minorEastAsia"/>
        </w:rPr>
      </w:pPr>
      <w:r>
        <w:rPr>
          <w:rFonts w:asciiTheme="minorEastAsia" w:hAnsiTheme="minorEastAsia" w:eastAsiaTheme="minorEastAsia"/>
        </w:rPr>
        <w:t>1、出现影响采购公正的违法、违规行为的；</w:t>
      </w:r>
    </w:p>
    <w:p>
      <w:pPr>
        <w:pStyle w:val="18"/>
        <w:spacing w:before="0" w:beforeAutospacing="0" w:after="0" w:afterAutospacing="0" w:line="360" w:lineRule="auto"/>
        <w:ind w:firstLine="600" w:firstLineChars="250"/>
        <w:jc w:val="both"/>
        <w:rPr>
          <w:rFonts w:hint="default" w:asciiTheme="minorEastAsia" w:hAnsiTheme="minorEastAsia" w:eastAsiaTheme="minorEastAsia"/>
          <w:b/>
          <w:bCs/>
        </w:rPr>
      </w:pPr>
      <w:r>
        <w:rPr>
          <w:rFonts w:asciiTheme="minorEastAsia" w:hAnsiTheme="minorEastAsia" w:eastAsiaTheme="minorEastAsia"/>
        </w:rPr>
        <w:t xml:space="preserve">2、评标委员会发现招标文件存在歧义、重大缺陷导致评标工作无法进行，或者招标文件内容违反国家有关强制性规定的； </w:t>
      </w:r>
    </w:p>
    <w:p>
      <w:pPr>
        <w:pStyle w:val="18"/>
        <w:spacing w:before="0" w:beforeAutospacing="0" w:after="0" w:afterAutospacing="0" w:line="360" w:lineRule="auto"/>
        <w:ind w:firstLine="600" w:firstLineChars="250"/>
        <w:jc w:val="both"/>
        <w:rPr>
          <w:rFonts w:hint="default" w:asciiTheme="minorEastAsia" w:hAnsiTheme="minorEastAsia" w:eastAsiaTheme="minorEastAsia"/>
        </w:rPr>
      </w:pPr>
      <w:r>
        <w:rPr>
          <w:rFonts w:asciiTheme="minorEastAsia" w:hAnsiTheme="minorEastAsia" w:eastAsiaTheme="minorEastAsia"/>
        </w:rPr>
        <w:t>3、因重大变故，采购任务取消的；</w:t>
      </w:r>
    </w:p>
    <w:p>
      <w:pPr>
        <w:pStyle w:val="18"/>
        <w:spacing w:before="0" w:beforeAutospacing="0" w:after="0" w:afterAutospacing="0" w:line="360" w:lineRule="auto"/>
        <w:ind w:firstLine="600" w:firstLineChars="250"/>
        <w:jc w:val="both"/>
        <w:rPr>
          <w:rFonts w:hint="default" w:asciiTheme="minorEastAsia" w:hAnsiTheme="minorEastAsia" w:eastAsiaTheme="minorEastAsia"/>
        </w:rPr>
      </w:pPr>
      <w:r>
        <w:rPr>
          <w:rFonts w:asciiTheme="minorEastAsia" w:hAnsiTheme="minorEastAsia" w:eastAsiaTheme="minorEastAsia"/>
        </w:rPr>
        <w:t>4、法律、法规和招标文件规定的其他导致评标结果无效的。</w:t>
      </w:r>
    </w:p>
    <w:p>
      <w:pPr>
        <w:pStyle w:val="11"/>
        <w:tabs>
          <w:tab w:val="left" w:pos="630"/>
        </w:tabs>
        <w:snapToGrid w:val="0"/>
        <w:spacing w:line="360" w:lineRule="auto"/>
        <w:ind w:firstLine="472" w:firstLineChars="196"/>
        <w:rPr>
          <w:rFonts w:asciiTheme="minorEastAsia" w:hAnsiTheme="minorEastAsia" w:eastAsiaTheme="minorEastAsia"/>
          <w:b/>
          <w:sz w:val="24"/>
        </w:rPr>
      </w:pPr>
      <w:r>
        <w:rPr>
          <w:rFonts w:asciiTheme="minorEastAsia" w:hAnsiTheme="minorEastAsia" w:eastAsiaTheme="minorEastAsia"/>
          <w:b/>
          <w:sz w:val="24"/>
        </w:rPr>
        <w:t>（</w:t>
      </w:r>
      <w:r>
        <w:rPr>
          <w:rFonts w:hint="eastAsia" w:asciiTheme="minorEastAsia" w:hAnsiTheme="minorEastAsia" w:eastAsiaTheme="minorEastAsia"/>
          <w:b/>
          <w:sz w:val="24"/>
        </w:rPr>
        <w:t>七</w:t>
      </w:r>
      <w:r>
        <w:rPr>
          <w:rFonts w:asciiTheme="minorEastAsia" w:hAnsiTheme="minorEastAsia" w:eastAsiaTheme="minorEastAsia"/>
          <w:b/>
          <w:sz w:val="24"/>
        </w:rPr>
        <w:t>）评标原则和评标办法</w:t>
      </w:r>
    </w:p>
    <w:p>
      <w:pPr>
        <w:pStyle w:val="11"/>
        <w:snapToGrid w:val="0"/>
        <w:spacing w:line="360" w:lineRule="auto"/>
        <w:ind w:firstLine="600" w:firstLineChars="250"/>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w:t>
      </w:r>
      <w:r>
        <w:rPr>
          <w:rFonts w:asciiTheme="minorEastAsia" w:hAnsiTheme="minorEastAsia" w:eastAsiaTheme="minorEastAsia"/>
          <w:sz w:val="24"/>
        </w:rPr>
        <w:t>评标原则。评标委员会必须公平、公正、客观，不带任何倾向性和启发性；不得向外界透露任何与评标有关的内容；任何单位和个人不得干扰、影响评标的正常进行；评标委员会及有关工作人员不得私下与投标人接触。</w:t>
      </w:r>
    </w:p>
    <w:p>
      <w:pPr>
        <w:pStyle w:val="11"/>
        <w:snapToGrid w:val="0"/>
        <w:spacing w:line="360" w:lineRule="auto"/>
        <w:ind w:firstLine="600" w:firstLineChars="250"/>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w:t>
      </w:r>
      <w:r>
        <w:rPr>
          <w:rFonts w:asciiTheme="minorEastAsia" w:hAnsiTheme="minorEastAsia" w:eastAsiaTheme="minorEastAsia"/>
          <w:sz w:val="24"/>
        </w:rPr>
        <w:t>评标办法。具体评标内容及评分标准等详见《第</w:t>
      </w:r>
      <w:r>
        <w:rPr>
          <w:rFonts w:hint="eastAsia" w:asciiTheme="minorEastAsia" w:hAnsiTheme="minorEastAsia" w:eastAsiaTheme="minorEastAsia"/>
          <w:sz w:val="24"/>
        </w:rPr>
        <w:t>三章</w:t>
      </w:r>
      <w:r>
        <w:rPr>
          <w:rFonts w:asciiTheme="minorEastAsia" w:hAnsiTheme="minorEastAsia" w:eastAsiaTheme="minorEastAsia"/>
          <w:sz w:val="24"/>
        </w:rPr>
        <w:t>：评标</w:t>
      </w:r>
      <w:r>
        <w:rPr>
          <w:rFonts w:hint="eastAsia" w:asciiTheme="minorEastAsia" w:hAnsiTheme="minorEastAsia" w:eastAsiaTheme="minorEastAsia"/>
          <w:sz w:val="24"/>
        </w:rPr>
        <w:t>方</w:t>
      </w:r>
      <w:r>
        <w:rPr>
          <w:rFonts w:asciiTheme="minorEastAsia" w:hAnsiTheme="minorEastAsia" w:eastAsiaTheme="minorEastAsia"/>
          <w:sz w:val="24"/>
        </w:rPr>
        <w:t>法及评分标准》。</w:t>
      </w:r>
    </w:p>
    <w:p>
      <w:pPr>
        <w:pStyle w:val="11"/>
        <w:snapToGrid w:val="0"/>
        <w:spacing w:line="360" w:lineRule="auto"/>
        <w:ind w:firstLine="472" w:firstLineChars="196"/>
        <w:rPr>
          <w:rFonts w:asciiTheme="minorEastAsia" w:hAnsiTheme="minorEastAsia" w:eastAsiaTheme="minorEastAsia"/>
          <w:b/>
          <w:sz w:val="24"/>
        </w:rPr>
      </w:pPr>
      <w:r>
        <w:rPr>
          <w:rFonts w:asciiTheme="minorEastAsia" w:hAnsiTheme="minorEastAsia" w:eastAsiaTheme="minorEastAsia"/>
          <w:b/>
          <w:sz w:val="24"/>
        </w:rPr>
        <w:t>（</w:t>
      </w:r>
      <w:r>
        <w:rPr>
          <w:rFonts w:hint="eastAsia" w:asciiTheme="minorEastAsia" w:hAnsiTheme="minorEastAsia" w:eastAsiaTheme="minorEastAsia"/>
          <w:b/>
          <w:sz w:val="24"/>
        </w:rPr>
        <w:t>八</w:t>
      </w:r>
      <w:r>
        <w:rPr>
          <w:rFonts w:asciiTheme="minorEastAsia" w:hAnsiTheme="minorEastAsia" w:eastAsiaTheme="minorEastAsia"/>
          <w:b/>
          <w:sz w:val="24"/>
        </w:rPr>
        <w:t>）评标过程的监控</w:t>
      </w:r>
    </w:p>
    <w:p>
      <w:pPr>
        <w:pStyle w:val="18"/>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本项目评标过程实行全程录音、录像监控，政府采购监管部门视情进行现场监督，投标人在评标过程中所进行的试图影响评标结果的不公正活动，可能导致其投标被拒绝。</w:t>
      </w:r>
    </w:p>
    <w:p>
      <w:pPr>
        <w:pStyle w:val="18"/>
        <w:spacing w:before="0" w:beforeAutospacing="0" w:after="0" w:afterAutospacing="0" w:line="360" w:lineRule="auto"/>
        <w:ind w:firstLine="361" w:firstLineChars="150"/>
        <w:jc w:val="both"/>
        <w:rPr>
          <w:rFonts w:hint="default" w:asciiTheme="minorEastAsia" w:hAnsiTheme="minorEastAsia" w:eastAsiaTheme="minorEastAsia"/>
          <w:b/>
        </w:rPr>
      </w:pPr>
      <w:r>
        <w:rPr>
          <w:rFonts w:asciiTheme="minorEastAsia" w:hAnsiTheme="minorEastAsia" w:eastAsiaTheme="minorEastAsia"/>
          <w:b/>
        </w:rPr>
        <w:t>七、定标</w:t>
      </w:r>
    </w:p>
    <w:p>
      <w:pPr>
        <w:pStyle w:val="18"/>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1、</w:t>
      </w:r>
      <w:r>
        <w:t>确定中标供应商。</w:t>
      </w:r>
      <w:r>
        <w:rPr>
          <w:rFonts w:asciiTheme="minorEastAsia" w:hAnsiTheme="minorEastAsia" w:eastAsiaTheme="minorEastAsia"/>
        </w:rPr>
        <w:t>评标委员会根据采购单位的</w:t>
      </w:r>
      <w:r>
        <w:t>《授权意见确认书》</w:t>
      </w:r>
      <w:r>
        <w:rPr>
          <w:rFonts w:asciiTheme="minorEastAsia" w:hAnsiTheme="minorEastAsia" w:eastAsiaTheme="minorEastAsia"/>
        </w:rPr>
        <w:t>，推荐中标候选人或确定中标人。其中推荐中标候选人的，采购组织机构在评审结束后2个工作日内将评标报告送采购人，采购人自收到评审报告之日起5个工作日内在评审报告推荐的中标候选人中按顺序确定中标人。</w:t>
      </w:r>
    </w:p>
    <w:p>
      <w:pPr>
        <w:spacing w:line="360" w:lineRule="auto"/>
        <w:ind w:firstLine="480" w:firstLineChars="200"/>
        <w:rPr>
          <w:rFonts w:ascii="宋体" w:hAnsi="宋体"/>
          <w:kern w:val="0"/>
          <w:sz w:val="24"/>
        </w:rPr>
      </w:pPr>
      <w:r>
        <w:rPr>
          <w:rFonts w:asciiTheme="minorEastAsia" w:hAnsiTheme="minorEastAsia" w:eastAsiaTheme="minorEastAsia"/>
          <w:sz w:val="24"/>
        </w:rPr>
        <w:t>2、</w:t>
      </w:r>
      <w:r>
        <w:rPr>
          <w:rFonts w:hint="eastAsia" w:ascii="宋体" w:hAnsi="宋体"/>
          <w:kern w:val="0"/>
          <w:sz w:val="24"/>
        </w:rPr>
        <w:t>发布</w:t>
      </w:r>
      <w:r>
        <w:rPr>
          <w:sz w:val="24"/>
        </w:rPr>
        <w:t>中标</w:t>
      </w:r>
      <w:r>
        <w:rPr>
          <w:rFonts w:hint="eastAsia" w:ascii="宋体" w:hAnsi="宋体"/>
          <w:kern w:val="0"/>
          <w:sz w:val="24"/>
        </w:rPr>
        <w:t>结果公告。采购组织机构应当自中标人</w:t>
      </w:r>
      <w:r>
        <w:rPr>
          <w:rFonts w:ascii="宋体" w:hAnsi="宋体"/>
          <w:kern w:val="0"/>
          <w:sz w:val="24"/>
        </w:rPr>
        <w:t>确定</w:t>
      </w:r>
      <w:r>
        <w:rPr>
          <w:rFonts w:hint="eastAsia" w:ascii="宋体" w:hAnsi="宋体"/>
          <w:kern w:val="0"/>
          <w:sz w:val="24"/>
        </w:rPr>
        <w:t>之日起</w:t>
      </w:r>
      <w:r>
        <w:rPr>
          <w:rFonts w:ascii="宋体" w:hAnsi="宋体"/>
          <w:kern w:val="0"/>
          <w:sz w:val="24"/>
        </w:rPr>
        <w:t>2个工作日内</w:t>
      </w:r>
      <w:r>
        <w:rPr>
          <w:rFonts w:hint="eastAsia" w:ascii="宋体" w:hAnsi="宋体"/>
          <w:kern w:val="0"/>
          <w:sz w:val="24"/>
        </w:rPr>
        <w:t>，</w:t>
      </w:r>
      <w:r>
        <w:rPr>
          <w:rFonts w:ascii="宋体" w:hAnsi="宋体"/>
          <w:kern w:val="0"/>
          <w:sz w:val="24"/>
        </w:rPr>
        <w:t>在省级以上财政部门指定的媒体及相关网站</w:t>
      </w:r>
      <w:r>
        <w:rPr>
          <w:rFonts w:hint="eastAsia" w:ascii="宋体" w:hAnsi="宋体"/>
          <w:kern w:val="0"/>
          <w:sz w:val="24"/>
        </w:rPr>
        <w:t>上</w:t>
      </w:r>
      <w:r>
        <w:rPr>
          <w:rFonts w:ascii="宋体" w:hAnsi="宋体"/>
          <w:kern w:val="0"/>
          <w:sz w:val="24"/>
        </w:rPr>
        <w:t>公告</w:t>
      </w:r>
      <w:r>
        <w:rPr>
          <w:rFonts w:hint="eastAsia" w:ascii="宋体" w:hAnsi="宋体"/>
          <w:kern w:val="0"/>
          <w:sz w:val="24"/>
        </w:rPr>
        <w:t>中标结果，招标文件应当随中标结果同时公告。因中标结果公告需要，评审结果排名第一的中标候选人在评审结束后2个工作日内将招标文件附件《中标供应商公告内容》填写完整后，以电子文档形式提交给采购代理机构项目负责人（或者发送至电子邮箱：8859987@qq.com ）。未按时提供所造成的后果由供应商自行承担。</w:t>
      </w:r>
    </w:p>
    <w:p>
      <w:pPr>
        <w:spacing w:line="360" w:lineRule="auto"/>
        <w:ind w:firstLine="480" w:firstLineChars="200"/>
        <w:rPr>
          <w:rFonts w:ascii="宋体" w:hAnsi="宋体"/>
          <w:kern w:val="0"/>
          <w:sz w:val="24"/>
        </w:rPr>
      </w:pPr>
      <w:r>
        <w:rPr>
          <w:rFonts w:hint="eastAsia" w:ascii="宋体" w:hAnsi="宋体"/>
          <w:kern w:val="0"/>
          <w:sz w:val="24"/>
        </w:rPr>
        <w:t>3、发出中标通知书。采购组织机构在发布中标结果的同时，向中标人发出中标通知书。</w:t>
      </w:r>
    </w:p>
    <w:p>
      <w:pPr>
        <w:spacing w:line="360" w:lineRule="auto"/>
        <w:ind w:firstLine="482" w:firstLineChars="200"/>
        <w:rPr>
          <w:rFonts w:ascii="宋体" w:hAnsi="宋体"/>
          <w:kern w:val="0"/>
          <w:sz w:val="24"/>
        </w:rPr>
      </w:pPr>
      <w:r>
        <w:rPr>
          <w:rFonts w:asciiTheme="minorEastAsia" w:hAnsiTheme="minorEastAsia" w:eastAsiaTheme="minorEastAsia"/>
          <w:b/>
          <w:sz w:val="24"/>
        </w:rPr>
        <w:t>八、</w:t>
      </w:r>
      <w:r>
        <w:rPr>
          <w:rFonts w:hint="eastAsia" w:ascii="宋体" w:hAnsi="宋体"/>
          <w:b/>
          <w:kern w:val="0"/>
          <w:sz w:val="24"/>
        </w:rPr>
        <w:t>合同签订及公告</w:t>
      </w:r>
    </w:p>
    <w:p>
      <w:pPr>
        <w:spacing w:line="360" w:lineRule="auto"/>
        <w:ind w:firstLine="482" w:firstLineChars="200"/>
        <w:rPr>
          <w:rFonts w:ascii="宋体" w:hAnsi="宋体"/>
          <w:b/>
          <w:kern w:val="0"/>
          <w:sz w:val="24"/>
        </w:rPr>
      </w:pPr>
      <w:r>
        <w:rPr>
          <w:rFonts w:hint="eastAsia" w:ascii="宋体" w:hAnsi="宋体"/>
          <w:b/>
          <w:sz w:val="24"/>
        </w:rPr>
        <w:t>（一）签订合同</w:t>
      </w:r>
    </w:p>
    <w:p>
      <w:pPr>
        <w:pStyle w:val="18"/>
        <w:spacing w:before="0" w:beforeAutospacing="0" w:after="0" w:afterAutospacing="0" w:line="360" w:lineRule="auto"/>
        <w:ind w:firstLine="600" w:firstLineChars="250"/>
        <w:jc w:val="both"/>
        <w:rPr>
          <w:rFonts w:hint="default"/>
        </w:rPr>
      </w:pPr>
      <w:r>
        <w:t>1、采购人应当自中标通知书发出之日起</w:t>
      </w:r>
      <w:r>
        <w:rPr>
          <w:rFonts w:hint="eastAsia"/>
          <w:lang w:val="en-US" w:eastAsia="zh-CN"/>
        </w:rPr>
        <w:t>3</w:t>
      </w:r>
      <w:r>
        <w:t>个工作日内，按照招标文件和中标人投标文件的规定，与中标人签订书面合同。所签订的合同不得对招标文件确定的事项和中标人投标文件作实质性修改。</w:t>
      </w:r>
    </w:p>
    <w:p>
      <w:pPr>
        <w:pStyle w:val="18"/>
        <w:spacing w:before="0" w:beforeAutospacing="0" w:after="0" w:afterAutospacing="0" w:line="360" w:lineRule="auto"/>
        <w:ind w:firstLine="600" w:firstLineChars="250"/>
        <w:jc w:val="both"/>
        <w:rPr>
          <w:rFonts w:hint="default"/>
        </w:rPr>
      </w:pPr>
      <w:r>
        <w:t>2、采购人不得向中标人提出任何不合理的要求作为签订合同的条件。</w:t>
      </w:r>
    </w:p>
    <w:p>
      <w:pPr>
        <w:pStyle w:val="18"/>
        <w:spacing w:before="0" w:beforeAutospacing="0" w:after="0" w:afterAutospacing="0" w:line="360" w:lineRule="auto"/>
        <w:ind w:firstLine="600" w:firstLineChars="250"/>
        <w:jc w:val="both"/>
        <w:rPr>
          <w:rFonts w:hint="default"/>
        </w:rPr>
      </w:pPr>
      <w:r>
        <w:t>3、中标供应商无故拖延、拒签合同的,取消中标资格。</w:t>
      </w:r>
    </w:p>
    <w:p>
      <w:pPr>
        <w:pStyle w:val="18"/>
        <w:spacing w:before="0" w:beforeAutospacing="0" w:after="0" w:afterAutospacing="0" w:line="360" w:lineRule="auto"/>
        <w:ind w:firstLine="600" w:firstLineChars="250"/>
        <w:jc w:val="both"/>
        <w:rPr>
          <w:rFonts w:hint="default"/>
        </w:rPr>
      </w:pPr>
      <w:r>
        <w:t>4、中标供应商拒绝与采购人签订合同的，采购人可以按照评审报告推荐的中标候选人名单排序，确定下一候选人为中标供应商，也可以重新开展政府采购活动。同时，拒绝与采购人签订合同的供应商，由同级财政部门依法作出处理。</w:t>
      </w:r>
    </w:p>
    <w:p>
      <w:pPr>
        <w:pStyle w:val="18"/>
        <w:spacing w:before="0" w:beforeAutospacing="0" w:after="0" w:afterAutospacing="0" w:line="360" w:lineRule="auto"/>
        <w:ind w:firstLine="600" w:firstLineChars="250"/>
        <w:jc w:val="both"/>
        <w:rPr>
          <w:rFonts w:hint="default"/>
        </w:rPr>
      </w:pPr>
      <w:r>
        <w:t>5、询问或者质疑事项可能影响中标结果的，采购人应当暂停签订合同，已经签订合同的，应当中止履行合同（中标结果的质疑期为中标结果公告期限届满之日起七个工作日）。</w:t>
      </w:r>
    </w:p>
    <w:p>
      <w:pPr>
        <w:pStyle w:val="10"/>
        <w:spacing w:line="360" w:lineRule="auto"/>
        <w:ind w:left="0" w:leftChars="0" w:firstLine="480" w:firstLineChars="200"/>
        <w:rPr>
          <w:rFonts w:hint="eastAsia" w:ascii="宋体" w:hAnsi="宋体"/>
          <w:sz w:val="24"/>
        </w:rPr>
      </w:pPr>
    </w:p>
    <w:p>
      <w:pPr>
        <w:pStyle w:val="10"/>
        <w:spacing w:line="360" w:lineRule="auto"/>
        <w:ind w:left="0" w:leftChars="0" w:firstLine="480" w:firstLineChars="200"/>
        <w:rPr>
          <w:rFonts w:hint="eastAsia" w:ascii="宋体" w:hAnsi="宋体"/>
          <w:sz w:val="24"/>
        </w:rPr>
      </w:pPr>
    </w:p>
    <w:p>
      <w:pPr>
        <w:pStyle w:val="10"/>
        <w:spacing w:line="360" w:lineRule="auto"/>
        <w:ind w:left="0" w:leftChars="0" w:firstLine="480" w:firstLineChars="200"/>
        <w:rPr>
          <w:rFonts w:hint="eastAsia" w:ascii="宋体" w:hAnsi="宋体"/>
          <w:sz w:val="24"/>
        </w:rPr>
      </w:pPr>
    </w:p>
    <w:p>
      <w:pPr>
        <w:pStyle w:val="10"/>
        <w:spacing w:line="360" w:lineRule="auto"/>
        <w:ind w:left="0" w:leftChars="0" w:firstLine="480" w:firstLineChars="200"/>
        <w:rPr>
          <w:rFonts w:hint="eastAsia" w:ascii="宋体" w:hAnsi="宋体"/>
          <w:sz w:val="24"/>
        </w:rPr>
      </w:pPr>
    </w:p>
    <w:p>
      <w:pPr>
        <w:pStyle w:val="10"/>
        <w:spacing w:line="360" w:lineRule="auto"/>
        <w:ind w:left="0" w:leftChars="0" w:firstLine="480" w:firstLineChars="200"/>
        <w:rPr>
          <w:rFonts w:hint="eastAsia" w:ascii="宋体" w:hAnsi="宋体"/>
          <w:sz w:val="24"/>
        </w:rPr>
      </w:pPr>
    </w:p>
    <w:p>
      <w:pPr>
        <w:pStyle w:val="10"/>
        <w:spacing w:line="360" w:lineRule="auto"/>
        <w:ind w:left="0" w:leftChars="0" w:firstLine="480" w:firstLineChars="200"/>
        <w:rPr>
          <w:rFonts w:hint="eastAsia" w:ascii="宋体" w:hAnsi="宋体"/>
          <w:sz w:val="24"/>
        </w:rPr>
      </w:pPr>
    </w:p>
    <w:p>
      <w:pPr>
        <w:pStyle w:val="10"/>
        <w:spacing w:line="360" w:lineRule="auto"/>
        <w:ind w:left="0" w:leftChars="0" w:firstLine="480" w:firstLineChars="200"/>
        <w:rPr>
          <w:rFonts w:hint="eastAsia" w:ascii="宋体" w:hAnsi="宋体"/>
          <w:sz w:val="24"/>
        </w:rPr>
      </w:pPr>
    </w:p>
    <w:p>
      <w:pPr>
        <w:pStyle w:val="10"/>
        <w:spacing w:line="360" w:lineRule="auto"/>
        <w:ind w:left="0" w:leftChars="0" w:firstLine="480" w:firstLineChars="200"/>
        <w:rPr>
          <w:rFonts w:hint="eastAsia" w:ascii="宋体" w:hAnsi="宋体"/>
          <w:sz w:val="24"/>
        </w:rPr>
      </w:pPr>
    </w:p>
    <w:p>
      <w:pPr>
        <w:pStyle w:val="10"/>
        <w:spacing w:line="360" w:lineRule="auto"/>
        <w:ind w:left="0" w:leftChars="0" w:firstLine="480" w:firstLineChars="200"/>
        <w:rPr>
          <w:rFonts w:hint="eastAsia" w:ascii="宋体" w:hAnsi="宋体"/>
          <w:sz w:val="24"/>
        </w:rPr>
      </w:pPr>
    </w:p>
    <w:p>
      <w:pPr>
        <w:pStyle w:val="10"/>
        <w:spacing w:line="360" w:lineRule="auto"/>
        <w:ind w:left="0" w:leftChars="0" w:firstLine="480" w:firstLineChars="200"/>
        <w:rPr>
          <w:rFonts w:hint="eastAsia" w:ascii="宋体" w:hAnsi="宋体"/>
          <w:sz w:val="24"/>
        </w:rPr>
      </w:pPr>
    </w:p>
    <w:p>
      <w:pPr>
        <w:pStyle w:val="10"/>
        <w:spacing w:line="360" w:lineRule="auto"/>
        <w:ind w:left="0" w:leftChars="0" w:firstLine="480" w:firstLineChars="200"/>
        <w:rPr>
          <w:rFonts w:hint="eastAsia" w:ascii="宋体" w:hAnsi="宋体"/>
          <w:sz w:val="24"/>
        </w:rPr>
      </w:pPr>
    </w:p>
    <w:p>
      <w:pPr>
        <w:pStyle w:val="10"/>
        <w:spacing w:line="360" w:lineRule="auto"/>
        <w:ind w:left="0" w:leftChars="0" w:firstLine="480" w:firstLineChars="200"/>
        <w:rPr>
          <w:rFonts w:hint="eastAsia" w:ascii="宋体" w:hAnsi="宋体"/>
          <w:sz w:val="24"/>
        </w:rPr>
      </w:pPr>
    </w:p>
    <w:p>
      <w:pPr>
        <w:pStyle w:val="10"/>
        <w:spacing w:line="360" w:lineRule="auto"/>
        <w:ind w:left="0" w:leftChars="0" w:firstLine="480" w:firstLineChars="200"/>
        <w:rPr>
          <w:rFonts w:hint="eastAsia" w:ascii="宋体" w:hAnsi="宋体"/>
          <w:sz w:val="24"/>
        </w:rPr>
      </w:pPr>
    </w:p>
    <w:p>
      <w:pPr>
        <w:pStyle w:val="10"/>
        <w:spacing w:line="360" w:lineRule="auto"/>
        <w:ind w:left="0" w:leftChars="0" w:firstLine="480" w:firstLineChars="200"/>
        <w:rPr>
          <w:rFonts w:hint="eastAsia" w:ascii="宋体" w:hAnsi="宋体"/>
          <w:sz w:val="24"/>
        </w:rPr>
      </w:pPr>
    </w:p>
    <w:p>
      <w:pPr>
        <w:pStyle w:val="10"/>
        <w:spacing w:line="360" w:lineRule="auto"/>
        <w:ind w:left="0" w:leftChars="0" w:firstLine="480" w:firstLineChars="200"/>
        <w:rPr>
          <w:rFonts w:hint="eastAsia" w:ascii="宋体" w:hAnsi="宋体"/>
          <w:sz w:val="24"/>
        </w:rPr>
      </w:pPr>
    </w:p>
    <w:p>
      <w:pPr>
        <w:pStyle w:val="10"/>
        <w:spacing w:line="360" w:lineRule="auto"/>
        <w:ind w:left="0" w:leftChars="0" w:firstLine="0" w:firstLineChars="0"/>
        <w:rPr>
          <w:rFonts w:hint="eastAsia" w:ascii="宋体" w:hAnsi="宋体"/>
          <w:sz w:val="24"/>
        </w:rPr>
      </w:pPr>
    </w:p>
    <w:p>
      <w:pPr>
        <w:pStyle w:val="10"/>
        <w:spacing w:line="360" w:lineRule="auto"/>
        <w:ind w:left="0" w:leftChars="0" w:firstLine="480" w:firstLineChars="200"/>
        <w:rPr>
          <w:rFonts w:hint="eastAsia" w:ascii="宋体" w:hAnsi="宋体"/>
          <w:sz w:val="24"/>
        </w:rPr>
      </w:pPr>
    </w:p>
    <w:p>
      <w:pPr>
        <w:pStyle w:val="10"/>
        <w:spacing w:line="360" w:lineRule="auto"/>
        <w:ind w:left="0" w:leftChars="0" w:firstLine="480" w:firstLineChars="200"/>
        <w:rPr>
          <w:rFonts w:hint="eastAsia" w:ascii="宋体" w:hAnsi="宋体"/>
          <w:sz w:val="24"/>
        </w:rPr>
      </w:pPr>
    </w:p>
    <w:p>
      <w:pPr>
        <w:pStyle w:val="10"/>
        <w:spacing w:line="360" w:lineRule="auto"/>
        <w:ind w:left="0" w:leftChars="0" w:firstLine="480" w:firstLineChars="200"/>
        <w:rPr>
          <w:rFonts w:hint="eastAsia" w:ascii="宋体" w:hAnsi="宋体"/>
          <w:sz w:val="24"/>
        </w:rPr>
      </w:pPr>
    </w:p>
    <w:p>
      <w:pPr>
        <w:pStyle w:val="10"/>
        <w:spacing w:line="360" w:lineRule="auto"/>
        <w:ind w:left="0" w:leftChars="0" w:firstLine="480" w:firstLineChars="200"/>
        <w:rPr>
          <w:rFonts w:hint="eastAsia" w:ascii="宋体" w:hAnsi="宋体"/>
          <w:sz w:val="24"/>
        </w:rPr>
      </w:pPr>
    </w:p>
    <w:p>
      <w:pPr>
        <w:pStyle w:val="10"/>
        <w:spacing w:line="360" w:lineRule="auto"/>
        <w:ind w:left="0" w:leftChars="0" w:firstLine="480" w:firstLineChars="200"/>
        <w:rPr>
          <w:rFonts w:hint="eastAsia" w:ascii="宋体" w:hAnsi="宋体"/>
          <w:sz w:val="24"/>
        </w:rPr>
      </w:pPr>
    </w:p>
    <w:p>
      <w:pPr>
        <w:numPr>
          <w:ilvl w:val="0"/>
          <w:numId w:val="4"/>
        </w:numPr>
        <w:spacing w:line="360" w:lineRule="auto"/>
        <w:jc w:val="center"/>
        <w:rPr>
          <w:rFonts w:asciiTheme="minorEastAsia" w:hAnsiTheme="minorEastAsia" w:eastAsiaTheme="minorEastAsia"/>
          <w:b/>
          <w:sz w:val="36"/>
          <w:szCs w:val="36"/>
        </w:rPr>
      </w:pPr>
      <w:r>
        <w:rPr>
          <w:rFonts w:hint="eastAsia" w:asciiTheme="minorEastAsia" w:hAnsiTheme="minorEastAsia" w:eastAsiaTheme="minorEastAsia"/>
          <w:b/>
          <w:sz w:val="36"/>
          <w:szCs w:val="36"/>
        </w:rPr>
        <w:t>评标办法及评分标准</w:t>
      </w:r>
    </w:p>
    <w:p>
      <w:pPr>
        <w:autoSpaceDE w:val="0"/>
        <w:autoSpaceDN w:val="0"/>
        <w:spacing w:line="360" w:lineRule="auto"/>
        <w:ind w:firstLine="480" w:firstLineChars="200"/>
        <w:rPr>
          <w:rFonts w:asciiTheme="minorEastAsia" w:hAnsiTheme="minorEastAsia" w:eastAsiaTheme="minorEastAsia"/>
          <w:b/>
          <w:i/>
          <w:kern w:val="0"/>
          <w:sz w:val="24"/>
        </w:rPr>
      </w:pPr>
      <w:r>
        <w:rPr>
          <w:rFonts w:hint="eastAsia" w:asciiTheme="minorEastAsia" w:hAnsiTheme="minorEastAsia" w:eastAsiaTheme="minorEastAsia"/>
          <w:kern w:val="0"/>
          <w:sz w:val="24"/>
        </w:rPr>
        <w:t>一、采购组织机构将组织评标委员会，对投标人提供的投标文件进行综合评审。</w:t>
      </w:r>
    </w:p>
    <w:p>
      <w:pPr>
        <w:autoSpaceDE w:val="0"/>
        <w:autoSpaceDN w:val="0"/>
        <w:spacing w:line="360" w:lineRule="auto"/>
        <w:ind w:firstLine="480" w:firstLineChars="200"/>
        <w:rPr>
          <w:rFonts w:ascii="宋体"/>
          <w:bCs/>
          <w:sz w:val="24"/>
          <w:lang w:val="zh-CN"/>
        </w:rPr>
      </w:pPr>
      <w:r>
        <w:rPr>
          <w:rFonts w:hint="eastAsia" w:asciiTheme="minorEastAsia" w:hAnsiTheme="minorEastAsia" w:eastAsiaTheme="minorEastAsia"/>
          <w:kern w:val="0"/>
          <w:sz w:val="24"/>
        </w:rPr>
        <w:t>二、本次招标项目的评标方法为综合评分法，总计100分</w:t>
      </w:r>
      <w:r>
        <w:rPr>
          <w:rFonts w:hint="eastAsia" w:ascii="宋体"/>
          <w:bCs/>
          <w:sz w:val="24"/>
          <w:lang w:val="zh-CN"/>
        </w:rPr>
        <w:t>(商务与技术文件为</w:t>
      </w:r>
      <w:r>
        <w:rPr>
          <w:rFonts w:hint="eastAsia" w:ascii="宋体"/>
          <w:bCs/>
          <w:sz w:val="24"/>
          <w:lang w:val="en-US" w:eastAsia="zh-CN"/>
        </w:rPr>
        <w:t>7</w:t>
      </w:r>
      <w:r>
        <w:rPr>
          <w:rFonts w:hint="eastAsia" w:ascii="宋体"/>
          <w:bCs/>
          <w:sz w:val="24"/>
          <w:u w:val="single"/>
        </w:rPr>
        <w:t>0</w:t>
      </w:r>
      <w:r>
        <w:rPr>
          <w:rFonts w:hint="eastAsia" w:ascii="宋体"/>
          <w:bCs/>
          <w:sz w:val="24"/>
          <w:lang w:val="zh-CN"/>
        </w:rPr>
        <w:t>分，报价文件为</w:t>
      </w:r>
      <w:r>
        <w:rPr>
          <w:rFonts w:hint="eastAsia" w:ascii="宋体"/>
          <w:bCs/>
          <w:sz w:val="24"/>
          <w:lang w:val="en-US" w:eastAsia="zh-CN"/>
        </w:rPr>
        <w:t>3</w:t>
      </w:r>
      <w:r>
        <w:rPr>
          <w:rFonts w:hint="eastAsia" w:ascii="宋体"/>
          <w:bCs/>
          <w:sz w:val="24"/>
        </w:rPr>
        <w:t>0</w:t>
      </w:r>
      <w:r>
        <w:rPr>
          <w:rFonts w:hint="eastAsia" w:ascii="宋体"/>
          <w:bCs/>
          <w:sz w:val="24"/>
          <w:lang w:val="zh-CN"/>
        </w:rPr>
        <w:t>分)</w:t>
      </w:r>
      <w:r>
        <w:rPr>
          <w:rFonts w:hint="eastAsia" w:asciiTheme="minorEastAsia" w:hAnsiTheme="minorEastAsia" w:eastAsiaTheme="minorEastAsia"/>
          <w:kern w:val="0"/>
          <w:sz w:val="24"/>
        </w:rPr>
        <w:t>。</w:t>
      </w:r>
      <w:r>
        <w:rPr>
          <w:rFonts w:hint="eastAsia" w:ascii="宋体"/>
          <w:bCs/>
          <w:sz w:val="24"/>
          <w:lang w:val="zh-CN"/>
        </w:rPr>
        <w:t>各投标人的综合得分为其商务与技术文件得分与报价文件得分之和，即综合得分=商务与技术文件得分+报价文件得分。</w:t>
      </w:r>
    </w:p>
    <w:p>
      <w:pPr>
        <w:autoSpaceDE w:val="0"/>
        <w:autoSpaceDN w:val="0"/>
        <w:adjustRightInd w:val="0"/>
        <w:spacing w:line="360" w:lineRule="auto"/>
        <w:ind w:right="84" w:firstLine="472"/>
        <w:rPr>
          <w:rFonts w:ascii="宋体"/>
          <w:bCs/>
          <w:sz w:val="24"/>
          <w:lang w:val="zh-CN"/>
        </w:rPr>
      </w:pPr>
      <w:r>
        <w:rPr>
          <w:rFonts w:hint="eastAsia" w:ascii="宋体"/>
          <w:bCs/>
          <w:sz w:val="24"/>
          <w:lang w:val="zh-CN"/>
        </w:rPr>
        <w:t>（一）商务与技术文件中的客观分由评标委员会讨论后统一打分；其余在规定的分值内单独评定打分（</w:t>
      </w:r>
      <w:r>
        <w:rPr>
          <w:rFonts w:hint="eastAsia" w:ascii="宋体"/>
          <w:sz w:val="24"/>
          <w:lang w:val="zh-CN"/>
        </w:rPr>
        <w:t>小数点后保留1位，第2位四舍五入）</w:t>
      </w:r>
      <w:r>
        <w:rPr>
          <w:rFonts w:hint="eastAsia" w:ascii="宋体"/>
          <w:bCs/>
          <w:sz w:val="24"/>
          <w:lang w:val="zh-CN"/>
        </w:rPr>
        <w:t>。</w:t>
      </w:r>
    </w:p>
    <w:p>
      <w:pPr>
        <w:autoSpaceDE w:val="0"/>
        <w:autoSpaceDN w:val="0"/>
        <w:adjustRightInd w:val="0"/>
        <w:spacing w:line="360" w:lineRule="auto"/>
        <w:ind w:right="84" w:firstLine="472"/>
        <w:rPr>
          <w:rFonts w:ascii="宋体"/>
          <w:bCs/>
          <w:sz w:val="24"/>
          <w:shd w:val="clear" w:color="FFFFFF" w:fill="D9D9D9"/>
          <w:lang w:val="zh-CN"/>
        </w:rPr>
      </w:pPr>
      <w:r>
        <w:rPr>
          <w:rFonts w:hint="eastAsia" w:ascii="宋体"/>
          <w:bCs/>
          <w:sz w:val="24"/>
          <w:lang w:val="zh-CN"/>
        </w:rPr>
        <w:t>（二）各投标人商务与技术文件</w:t>
      </w:r>
      <w:r>
        <w:rPr>
          <w:rFonts w:hint="eastAsia" w:ascii="宋体"/>
          <w:kern w:val="0"/>
          <w:sz w:val="24"/>
          <w:lang w:val="zh-CN"/>
        </w:rPr>
        <w:t>得分按照评标委员会成</w:t>
      </w:r>
      <w:r>
        <w:rPr>
          <w:rFonts w:hint="eastAsia" w:ascii="宋体"/>
          <w:bCs/>
          <w:sz w:val="24"/>
          <w:lang w:val="zh-CN"/>
        </w:rPr>
        <w:t>员的独立评分结果汇总后的算术平均分计算（</w:t>
      </w:r>
      <w:r>
        <w:rPr>
          <w:rFonts w:hint="eastAsia" w:ascii="宋体"/>
          <w:sz w:val="24"/>
          <w:lang w:val="zh-CN"/>
        </w:rPr>
        <w:t>小数点后保留2位，第3位四舍五入）</w:t>
      </w:r>
      <w:r>
        <w:rPr>
          <w:rFonts w:hint="eastAsia" w:ascii="宋体"/>
          <w:bCs/>
          <w:sz w:val="24"/>
          <w:lang w:val="zh-CN"/>
        </w:rPr>
        <w:t>，计算公式为：</w:t>
      </w:r>
    </w:p>
    <w:p>
      <w:pPr>
        <w:autoSpaceDE w:val="0"/>
        <w:autoSpaceDN w:val="0"/>
        <w:adjustRightInd w:val="0"/>
        <w:spacing w:line="360" w:lineRule="auto"/>
        <w:ind w:right="84" w:firstLine="472"/>
        <w:rPr>
          <w:rFonts w:ascii="宋体"/>
          <w:bCs/>
          <w:sz w:val="24"/>
          <w:shd w:val="clear" w:color="FFFFFF" w:fill="D9D9D9"/>
          <w:lang w:val="zh-CN"/>
        </w:rPr>
      </w:pPr>
      <w:r>
        <w:rPr>
          <w:rFonts w:hint="eastAsia" w:ascii="宋体" w:hAnsi="宋体"/>
          <w:sz w:val="24"/>
        </w:rPr>
        <w:t>商务与技术文件得分</w:t>
      </w:r>
      <w:r>
        <w:rPr>
          <w:rFonts w:hint="eastAsia" w:ascii="宋体"/>
          <w:bCs/>
          <w:sz w:val="24"/>
          <w:lang w:val="zh-CN"/>
        </w:rPr>
        <w:t>=评标委员会所有成员评分合计数/评标委员会组成人员数。</w:t>
      </w:r>
    </w:p>
    <w:p>
      <w:pPr>
        <w:autoSpaceDE w:val="0"/>
        <w:autoSpaceDN w:val="0"/>
        <w:adjustRightInd w:val="0"/>
        <w:spacing w:line="360" w:lineRule="auto"/>
        <w:ind w:right="85" w:firstLine="480" w:firstLineChars="200"/>
        <w:rPr>
          <w:rFonts w:ascii="宋体"/>
          <w:sz w:val="24"/>
          <w:lang w:val="zh-CN"/>
        </w:rPr>
      </w:pPr>
      <w:r>
        <w:rPr>
          <w:rFonts w:hint="eastAsia" w:ascii="宋体"/>
          <w:bCs/>
          <w:sz w:val="24"/>
          <w:lang w:val="zh-CN"/>
        </w:rPr>
        <w:t>（三）</w:t>
      </w:r>
      <w:r>
        <w:rPr>
          <w:rFonts w:hint="eastAsia" w:ascii="宋体"/>
          <w:sz w:val="24"/>
          <w:lang w:val="zh-CN"/>
        </w:rPr>
        <w:t>投标报价得分采用低价优先法计算，即满足招标文件要求且投标价格最低的投标报价为评标基准价，其报价得满分。其他投标人的投标报价得分按下列公式计算</w:t>
      </w:r>
      <w:r>
        <w:rPr>
          <w:rFonts w:hint="eastAsia" w:ascii="宋体"/>
          <w:bCs/>
          <w:sz w:val="24"/>
          <w:lang w:val="zh-CN"/>
        </w:rPr>
        <w:t>（</w:t>
      </w:r>
      <w:r>
        <w:rPr>
          <w:rFonts w:hint="eastAsia" w:ascii="宋体"/>
          <w:sz w:val="24"/>
          <w:lang w:val="zh-CN"/>
        </w:rPr>
        <w:t>小数点后保留2位，第3位四舍五入）：</w:t>
      </w:r>
    </w:p>
    <w:p>
      <w:pPr>
        <w:autoSpaceDE w:val="0"/>
        <w:autoSpaceDN w:val="0"/>
        <w:adjustRightInd w:val="0"/>
        <w:spacing w:line="360" w:lineRule="auto"/>
        <w:ind w:right="85" w:firstLine="480" w:firstLineChars="200"/>
        <w:rPr>
          <w:rFonts w:ascii="宋体" w:hAnsi="宋体"/>
          <w:sz w:val="24"/>
          <w:u w:val="single"/>
        </w:rPr>
      </w:pPr>
      <w:r>
        <w:rPr>
          <w:rFonts w:hint="eastAsia"/>
          <w:sz w:val="24"/>
          <w:u w:val="single"/>
        </w:rPr>
        <w:t>投标报价得</w:t>
      </w:r>
      <w:r>
        <w:rPr>
          <w:sz w:val="24"/>
          <w:u w:val="single"/>
        </w:rPr>
        <w:t>分=(评标基准价／投</w:t>
      </w:r>
      <w:r>
        <w:rPr>
          <w:rFonts w:ascii="宋体" w:hAnsi="宋体"/>
          <w:sz w:val="24"/>
          <w:u w:val="single"/>
        </w:rPr>
        <w:t>标报价)×</w:t>
      </w:r>
      <w:r>
        <w:rPr>
          <w:rFonts w:hint="eastAsia" w:ascii="宋体" w:hAnsi="宋体"/>
          <w:sz w:val="24"/>
          <w:u w:val="single"/>
          <w:lang w:val="en-US" w:eastAsia="zh-CN"/>
        </w:rPr>
        <w:t>3</w:t>
      </w:r>
      <w:r>
        <w:rPr>
          <w:rFonts w:hint="eastAsia" w:ascii="宋体" w:hAnsi="宋体"/>
          <w:sz w:val="24"/>
          <w:u w:val="single"/>
        </w:rPr>
        <w:t>0%</w:t>
      </w:r>
      <w:r>
        <w:rPr>
          <w:rFonts w:ascii="宋体" w:hAnsi="宋体"/>
          <w:sz w:val="24"/>
          <w:u w:val="single"/>
        </w:rPr>
        <w:t>×100</w:t>
      </w:r>
      <w:r>
        <w:rPr>
          <w:rFonts w:hint="eastAsia" w:ascii="宋体" w:hAnsi="宋体"/>
          <w:sz w:val="24"/>
          <w:u w:val="single"/>
        </w:rPr>
        <w:t>。</w:t>
      </w:r>
    </w:p>
    <w:p>
      <w:pPr>
        <w:autoSpaceDE w:val="0"/>
        <w:autoSpaceDN w:val="0"/>
        <w:adjustRightInd w:val="0"/>
        <w:spacing w:line="360" w:lineRule="auto"/>
        <w:ind w:right="84" w:firstLine="472"/>
        <w:rPr>
          <w:rFonts w:ascii="宋体"/>
          <w:bCs/>
          <w:sz w:val="24"/>
          <w:shd w:val="clear" w:color="FFFFFF" w:fill="D9D9D9"/>
          <w:lang w:val="zh-CN"/>
        </w:rPr>
      </w:pPr>
      <w:r>
        <w:rPr>
          <w:rFonts w:hint="eastAsia" w:ascii="宋体"/>
          <w:sz w:val="24"/>
          <w:lang w:val="zh-CN"/>
        </w:rPr>
        <w:t>注：得分以系统计算为准，保留2位小数。</w:t>
      </w:r>
    </w:p>
    <w:p>
      <w:pPr>
        <w:autoSpaceDE w:val="0"/>
        <w:autoSpaceDN w:val="0"/>
        <w:adjustRightInd w:val="0"/>
        <w:spacing w:line="360" w:lineRule="auto"/>
        <w:ind w:right="85" w:firstLine="480" w:firstLineChars="200"/>
        <w:rPr>
          <w:rFonts w:ascii="宋体"/>
          <w:sz w:val="24"/>
          <w:lang w:val="zh-CN"/>
        </w:rPr>
      </w:pPr>
      <w:r>
        <w:rPr>
          <w:rFonts w:hint="eastAsia" w:ascii="宋体"/>
          <w:sz w:val="24"/>
          <w:lang w:val="zh-CN"/>
        </w:rPr>
        <w:t>三、在最大限度地满足招标文件实质性要求前提下，评标委员会按照招标文件中规定的各项因素进行综合评审后，以评标总得分排名第一的投标人为</w:t>
      </w:r>
      <w:r>
        <w:rPr>
          <w:rFonts w:hint="eastAsia" w:ascii="宋体"/>
          <w:kern w:val="0"/>
          <w:sz w:val="24"/>
          <w:lang w:val="zh-CN"/>
        </w:rPr>
        <w:t>第一中标候选人，排名第二的投标人为第二中标候选人，并以此类推。</w:t>
      </w:r>
    </w:p>
    <w:p>
      <w:pPr>
        <w:autoSpaceDE w:val="0"/>
        <w:autoSpaceDN w:val="0"/>
        <w:adjustRightInd w:val="0"/>
        <w:spacing w:line="360" w:lineRule="auto"/>
        <w:ind w:right="85" w:firstLine="480" w:firstLineChars="200"/>
        <w:rPr>
          <w:rFonts w:ascii="宋体"/>
          <w:sz w:val="24"/>
          <w:lang w:val="zh-CN"/>
        </w:rPr>
      </w:pPr>
      <w:r>
        <w:rPr>
          <w:rFonts w:hint="eastAsia" w:ascii="宋体"/>
          <w:sz w:val="24"/>
          <w:lang w:val="zh-CN"/>
        </w:rPr>
        <w:t>四、如综合得分相同，投标报价低者为先；如综合得分且投标报价相同的，以资信部分得分较高者为先。</w:t>
      </w:r>
    </w:p>
    <w:p>
      <w:pPr>
        <w:autoSpaceDE w:val="0"/>
        <w:autoSpaceDN w:val="0"/>
        <w:adjustRightInd w:val="0"/>
        <w:spacing w:line="360" w:lineRule="auto"/>
        <w:ind w:right="85" w:firstLine="480" w:firstLineChars="200"/>
        <w:rPr>
          <w:rFonts w:hint="eastAsia" w:ascii="宋体"/>
          <w:sz w:val="24"/>
          <w:lang w:val="zh-CN"/>
        </w:rPr>
      </w:pPr>
      <w:r>
        <w:rPr>
          <w:rFonts w:hint="eastAsia" w:ascii="宋体"/>
          <w:sz w:val="24"/>
          <w:lang w:val="zh-CN"/>
        </w:rPr>
        <w:t>五、提供相同品牌产品的不同投标人参加同一合同项下投标的，按一家供应商认定：（1）采用最低评标价法的采购项目，以其中通过资格审查、符合性审查且报价最低的参加评标；报价相同的，由评标委员会集体确定一个投标人参加评标，其他投标无效。（2）使用综合评分法的采购项目，评审后得分最高的同品牌投标人获得中标人推荐资格；评审得分相同的，由评标委员会集体推荐一个投标人作为中标候选人，其他同品牌投标人不作为中标候选人。</w:t>
      </w:r>
    </w:p>
    <w:p>
      <w:pPr>
        <w:autoSpaceDE w:val="0"/>
        <w:autoSpaceDN w:val="0"/>
        <w:adjustRightInd w:val="0"/>
        <w:spacing w:line="360" w:lineRule="auto"/>
        <w:ind w:firstLine="360" w:firstLineChars="150"/>
        <w:jc w:val="left"/>
        <w:rPr>
          <w:rFonts w:hint="eastAsia" w:asciiTheme="minorEastAsia" w:hAnsiTheme="minorEastAsia" w:eastAsiaTheme="minorEastAsia"/>
          <w:kern w:val="0"/>
          <w:sz w:val="24"/>
        </w:rPr>
      </w:pPr>
    </w:p>
    <w:p>
      <w:pPr>
        <w:autoSpaceDE w:val="0"/>
        <w:autoSpaceDN w:val="0"/>
        <w:adjustRightInd w:val="0"/>
        <w:spacing w:line="360" w:lineRule="auto"/>
        <w:ind w:firstLine="360" w:firstLineChars="150"/>
        <w:jc w:val="left"/>
        <w:rPr>
          <w:rFonts w:hint="eastAsia" w:asciiTheme="minorEastAsia" w:hAnsiTheme="minorEastAsia" w:eastAsiaTheme="minorEastAsia"/>
          <w:kern w:val="0"/>
          <w:sz w:val="24"/>
        </w:rPr>
      </w:pPr>
    </w:p>
    <w:p>
      <w:pPr>
        <w:autoSpaceDE w:val="0"/>
        <w:autoSpaceDN w:val="0"/>
        <w:adjustRightInd w:val="0"/>
        <w:spacing w:line="360" w:lineRule="auto"/>
        <w:ind w:firstLine="360" w:firstLineChars="150"/>
        <w:jc w:val="left"/>
        <w:rPr>
          <w:rFonts w:hint="eastAsia" w:asciiTheme="minorEastAsia" w:hAnsiTheme="minorEastAsia" w:eastAsiaTheme="minorEastAsia"/>
          <w:kern w:val="0"/>
          <w:sz w:val="24"/>
        </w:rPr>
      </w:pPr>
    </w:p>
    <w:p>
      <w:pPr>
        <w:autoSpaceDE w:val="0"/>
        <w:autoSpaceDN w:val="0"/>
        <w:adjustRightInd w:val="0"/>
        <w:spacing w:line="360" w:lineRule="auto"/>
        <w:ind w:firstLine="360" w:firstLineChars="150"/>
        <w:jc w:val="left"/>
        <w:rPr>
          <w:rFonts w:hint="eastAsia" w:asciiTheme="minorEastAsia" w:hAnsiTheme="minorEastAsia" w:eastAsiaTheme="minorEastAsia"/>
          <w:kern w:val="0"/>
          <w:sz w:val="24"/>
        </w:rPr>
      </w:pPr>
      <w:r>
        <w:rPr>
          <w:rFonts w:hint="eastAsia" w:asciiTheme="minorEastAsia" w:hAnsiTheme="minorEastAsia" w:eastAsiaTheme="minorEastAsia"/>
          <w:kern w:val="0"/>
          <w:sz w:val="24"/>
        </w:rPr>
        <w:t>六、</w:t>
      </w:r>
      <w:r>
        <w:rPr>
          <w:rFonts w:hint="eastAsia" w:ascii="宋体"/>
          <w:bCs/>
          <w:sz w:val="24"/>
        </w:rPr>
        <w:t>商务与技术文件</w:t>
      </w:r>
      <w:r>
        <w:rPr>
          <w:rFonts w:hint="eastAsia" w:ascii="宋体"/>
          <w:bCs/>
          <w:sz w:val="24"/>
          <w:lang w:val="zh-CN"/>
        </w:rPr>
        <w:t>评审内容及标准</w:t>
      </w:r>
      <w:r>
        <w:rPr>
          <w:rFonts w:hint="eastAsia" w:asciiTheme="minorEastAsia" w:hAnsiTheme="minorEastAsia" w:eastAsiaTheme="minorEastAsia"/>
          <w:kern w:val="0"/>
          <w:sz w:val="24"/>
        </w:rPr>
        <w:t xml:space="preserve">： </w:t>
      </w:r>
    </w:p>
    <w:tbl>
      <w:tblPr>
        <w:tblStyle w:val="20"/>
        <w:tblW w:w="9781" w:type="dxa"/>
        <w:jc w:val="center"/>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765"/>
        <w:gridCol w:w="7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00" w:type="dxa"/>
            <w:vAlign w:val="center"/>
          </w:tcPr>
          <w:p>
            <w:pPr>
              <w:spacing w:line="288" w:lineRule="auto"/>
              <w:jc w:val="center"/>
              <w:rPr>
                <w:rFonts w:ascii="宋体" w:hAnsi="宋体"/>
                <w:b/>
                <w:spacing w:val="-6"/>
                <w:sz w:val="21"/>
                <w:szCs w:val="21"/>
              </w:rPr>
            </w:pPr>
            <w:r>
              <w:rPr>
                <w:rFonts w:hint="eastAsia" w:ascii="宋体" w:hAnsi="宋体"/>
                <w:b/>
                <w:spacing w:val="-6"/>
                <w:sz w:val="21"/>
                <w:szCs w:val="21"/>
              </w:rPr>
              <w:t>评审因素</w:t>
            </w:r>
          </w:p>
        </w:tc>
        <w:tc>
          <w:tcPr>
            <w:tcW w:w="765" w:type="dxa"/>
            <w:vAlign w:val="center"/>
          </w:tcPr>
          <w:p>
            <w:pPr>
              <w:spacing w:line="288" w:lineRule="auto"/>
              <w:jc w:val="center"/>
              <w:rPr>
                <w:rFonts w:ascii="宋体" w:hAnsi="宋体"/>
                <w:b/>
                <w:spacing w:val="-6"/>
                <w:sz w:val="21"/>
                <w:szCs w:val="21"/>
              </w:rPr>
            </w:pPr>
            <w:r>
              <w:rPr>
                <w:rFonts w:hint="eastAsia" w:ascii="宋体" w:hAnsi="宋体"/>
                <w:b/>
                <w:spacing w:val="-6"/>
                <w:sz w:val="21"/>
                <w:szCs w:val="21"/>
              </w:rPr>
              <w:t>分值</w:t>
            </w:r>
          </w:p>
        </w:tc>
        <w:tc>
          <w:tcPr>
            <w:tcW w:w="7216" w:type="dxa"/>
            <w:vAlign w:val="center"/>
          </w:tcPr>
          <w:p>
            <w:pPr>
              <w:pStyle w:val="62"/>
              <w:spacing w:line="288" w:lineRule="auto"/>
              <w:rPr>
                <w:rFonts w:hint="default" w:ascii="宋体" w:hAnsi="宋体" w:eastAsia="宋体"/>
                <w:b/>
                <w:spacing w:val="-6"/>
                <w:sz w:val="21"/>
                <w:szCs w:val="21"/>
              </w:rPr>
            </w:pPr>
            <w:r>
              <w:rPr>
                <w:rFonts w:ascii="宋体" w:hAnsi="宋体" w:eastAsia="宋体"/>
                <w:b/>
                <w:spacing w:val="-6"/>
                <w:sz w:val="21"/>
                <w:szCs w:val="21"/>
              </w:rPr>
              <w:t>评分细则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781" w:type="dxa"/>
            <w:gridSpan w:val="3"/>
            <w:vAlign w:val="center"/>
          </w:tcPr>
          <w:p>
            <w:pPr>
              <w:pStyle w:val="62"/>
              <w:spacing w:line="288" w:lineRule="auto"/>
              <w:jc w:val="both"/>
              <w:rPr>
                <w:rFonts w:hint="default" w:ascii="宋体" w:hAnsi="宋体" w:eastAsia="宋体"/>
                <w:b/>
                <w:spacing w:val="-6"/>
                <w:sz w:val="21"/>
                <w:szCs w:val="21"/>
              </w:rPr>
            </w:pPr>
            <w:r>
              <w:rPr>
                <w:rFonts w:ascii="宋体" w:hAnsi="宋体" w:eastAsia="宋体"/>
                <w:b/>
                <w:spacing w:val="-6"/>
                <w:sz w:val="21"/>
                <w:szCs w:val="21"/>
              </w:rPr>
              <w:t>商务分（</w:t>
            </w:r>
            <w:r>
              <w:rPr>
                <w:rFonts w:hint="default" w:ascii="宋体" w:hAnsi="宋体" w:eastAsia="宋体"/>
                <w:b/>
                <w:spacing w:val="-6"/>
                <w:sz w:val="21"/>
                <w:szCs w:val="21"/>
              </w:rPr>
              <w:t>2</w:t>
            </w:r>
            <w:r>
              <w:rPr>
                <w:rFonts w:hint="eastAsia" w:ascii="宋体" w:hAnsi="宋体" w:eastAsia="宋体"/>
                <w:b/>
                <w:spacing w:val="-6"/>
                <w:sz w:val="21"/>
                <w:szCs w:val="21"/>
                <w:lang w:val="en-US" w:eastAsia="zh-CN"/>
              </w:rPr>
              <w:t>1</w:t>
            </w:r>
            <w:r>
              <w:rPr>
                <w:rFonts w:ascii="宋体" w:hAnsi="宋体" w:eastAsia="宋体"/>
                <w:b/>
                <w:spacing w:val="-6"/>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00" w:type="dxa"/>
            <w:vAlign w:val="center"/>
          </w:tcPr>
          <w:p>
            <w:pPr>
              <w:spacing w:line="288" w:lineRule="auto"/>
              <w:jc w:val="center"/>
              <w:rPr>
                <w:rFonts w:ascii="宋体" w:hAnsi="宋体"/>
                <w:spacing w:val="-6"/>
                <w:sz w:val="21"/>
                <w:szCs w:val="21"/>
              </w:rPr>
            </w:pPr>
            <w:r>
              <w:rPr>
                <w:rFonts w:hint="eastAsia" w:ascii="宋体" w:hAnsi="宋体"/>
                <w:spacing w:val="-6"/>
                <w:sz w:val="21"/>
                <w:szCs w:val="21"/>
              </w:rPr>
              <w:t>业绩</w:t>
            </w:r>
          </w:p>
        </w:tc>
        <w:tc>
          <w:tcPr>
            <w:tcW w:w="765" w:type="dxa"/>
            <w:vAlign w:val="center"/>
          </w:tcPr>
          <w:p>
            <w:pPr>
              <w:spacing w:line="288" w:lineRule="auto"/>
              <w:jc w:val="center"/>
              <w:rPr>
                <w:rFonts w:hint="eastAsia" w:ascii="宋体" w:hAnsi="宋体" w:eastAsia="宋体"/>
                <w:spacing w:val="-6"/>
                <w:sz w:val="21"/>
                <w:szCs w:val="21"/>
                <w:lang w:eastAsia="zh-CN"/>
              </w:rPr>
            </w:pPr>
            <w:r>
              <w:rPr>
                <w:rFonts w:hint="eastAsia" w:ascii="宋体" w:hAnsi="宋体" w:eastAsia="宋体"/>
                <w:spacing w:val="-6"/>
                <w:sz w:val="21"/>
                <w:szCs w:val="21"/>
                <w:lang w:val="en-US" w:eastAsia="zh-CN"/>
              </w:rPr>
              <w:t>2</w:t>
            </w:r>
          </w:p>
        </w:tc>
        <w:tc>
          <w:tcPr>
            <w:tcW w:w="7216" w:type="dxa"/>
            <w:vAlign w:val="center"/>
          </w:tcPr>
          <w:p>
            <w:pPr>
              <w:spacing w:line="288" w:lineRule="auto"/>
              <w:rPr>
                <w:rFonts w:hint="eastAsia" w:ascii="宋体" w:hAnsi="宋体"/>
                <w:spacing w:val="-6"/>
                <w:sz w:val="21"/>
                <w:szCs w:val="21"/>
              </w:rPr>
            </w:pPr>
            <w:r>
              <w:rPr>
                <w:rFonts w:hint="eastAsia" w:ascii="宋体" w:hAnsi="宋体"/>
                <w:spacing w:val="-6"/>
                <w:sz w:val="21"/>
                <w:szCs w:val="21"/>
              </w:rPr>
              <w:t>投标人</w:t>
            </w:r>
            <w:r>
              <w:rPr>
                <w:rFonts w:hint="eastAsia" w:ascii="宋体" w:hAnsi="宋体"/>
                <w:spacing w:val="-6"/>
                <w:sz w:val="21"/>
                <w:szCs w:val="21"/>
                <w:lang w:eastAsia="zh-CN"/>
              </w:rPr>
              <w:t>自</w:t>
            </w:r>
            <w:r>
              <w:rPr>
                <w:rFonts w:hint="eastAsia" w:ascii="宋体" w:hAnsi="宋体"/>
                <w:spacing w:val="-6"/>
                <w:sz w:val="21"/>
                <w:szCs w:val="21"/>
              </w:rPr>
              <w:t>201</w:t>
            </w:r>
            <w:r>
              <w:rPr>
                <w:rFonts w:hint="eastAsia" w:ascii="宋体" w:hAnsi="宋体"/>
                <w:spacing w:val="-6"/>
                <w:sz w:val="21"/>
                <w:szCs w:val="21"/>
                <w:lang w:val="en-US" w:eastAsia="zh-CN"/>
              </w:rPr>
              <w:t>7</w:t>
            </w:r>
            <w:r>
              <w:rPr>
                <w:rFonts w:hint="eastAsia" w:ascii="宋体" w:hAnsi="宋体"/>
                <w:spacing w:val="-6"/>
                <w:sz w:val="21"/>
                <w:szCs w:val="21"/>
              </w:rPr>
              <w:t>年1月1日起至</w:t>
            </w:r>
            <w:r>
              <w:rPr>
                <w:rFonts w:hint="eastAsia" w:ascii="宋体" w:hAnsi="宋体"/>
                <w:spacing w:val="-6"/>
                <w:sz w:val="21"/>
                <w:szCs w:val="21"/>
                <w:lang w:eastAsia="zh-CN"/>
              </w:rPr>
              <w:t>今</w:t>
            </w:r>
            <w:r>
              <w:rPr>
                <w:rFonts w:hint="eastAsia" w:ascii="宋体" w:hAnsi="宋体"/>
                <w:spacing w:val="-6"/>
                <w:sz w:val="21"/>
                <w:szCs w:val="21"/>
              </w:rPr>
              <w:t>完成</w:t>
            </w:r>
            <w:r>
              <w:rPr>
                <w:rFonts w:hint="eastAsia" w:ascii="宋体" w:hAnsi="宋体"/>
                <w:spacing w:val="-6"/>
                <w:sz w:val="21"/>
                <w:szCs w:val="21"/>
                <w:lang w:eastAsia="zh-CN"/>
              </w:rPr>
              <w:t>过</w:t>
            </w:r>
            <w:r>
              <w:rPr>
                <w:rFonts w:hint="eastAsia" w:ascii="宋体" w:hAnsi="宋体"/>
                <w:spacing w:val="-6"/>
                <w:sz w:val="21"/>
                <w:szCs w:val="21"/>
                <w:lang w:val="en-US" w:eastAsia="zh-CN"/>
              </w:rPr>
              <w:t>幼儿家具</w:t>
            </w:r>
            <w:r>
              <w:rPr>
                <w:rFonts w:hint="eastAsia" w:ascii="宋体" w:hAnsi="宋体"/>
                <w:spacing w:val="-6"/>
                <w:sz w:val="21"/>
                <w:szCs w:val="21"/>
              </w:rPr>
              <w:t>项目业绩</w:t>
            </w:r>
            <w:r>
              <w:rPr>
                <w:rFonts w:hint="eastAsia" w:ascii="宋体" w:hAnsi="宋体"/>
                <w:spacing w:val="-6"/>
                <w:sz w:val="21"/>
                <w:szCs w:val="21"/>
                <w:lang w:eastAsia="zh-CN"/>
              </w:rPr>
              <w:t>的，</w:t>
            </w:r>
            <w:r>
              <w:rPr>
                <w:rFonts w:hint="eastAsia" w:ascii="宋体" w:hAnsi="宋体"/>
                <w:spacing w:val="-6"/>
                <w:sz w:val="21"/>
                <w:szCs w:val="21"/>
                <w:lang w:val="en-US" w:eastAsia="zh-CN"/>
              </w:rPr>
              <w:t>每份得1分，（提供合同及中标通知书，</w:t>
            </w:r>
            <w:r>
              <w:rPr>
                <w:rFonts w:hint="eastAsia" w:ascii="宋体" w:hAnsi="宋体"/>
                <w:spacing w:val="-6"/>
                <w:sz w:val="21"/>
                <w:szCs w:val="21"/>
              </w:rPr>
              <w:t>原件备查,无原件不得分</w:t>
            </w:r>
            <w:r>
              <w:rPr>
                <w:rFonts w:hint="eastAsia" w:ascii="宋体" w:hAnsi="宋体"/>
                <w:spacing w:val="-6"/>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00" w:type="dxa"/>
            <w:vAlign w:val="center"/>
          </w:tcPr>
          <w:p>
            <w:pPr>
              <w:spacing w:line="288" w:lineRule="auto"/>
              <w:jc w:val="center"/>
              <w:rPr>
                <w:rFonts w:ascii="宋体" w:hAnsi="宋体"/>
                <w:spacing w:val="-6"/>
                <w:sz w:val="21"/>
                <w:szCs w:val="21"/>
              </w:rPr>
            </w:pPr>
            <w:r>
              <w:rPr>
                <w:rFonts w:hint="eastAsia" w:ascii="宋体" w:hAnsi="宋体"/>
                <w:spacing w:val="-6"/>
                <w:sz w:val="21"/>
                <w:szCs w:val="21"/>
              </w:rPr>
              <w:t>管理体系认证</w:t>
            </w:r>
          </w:p>
        </w:tc>
        <w:tc>
          <w:tcPr>
            <w:tcW w:w="765" w:type="dxa"/>
            <w:vAlign w:val="center"/>
          </w:tcPr>
          <w:p>
            <w:pPr>
              <w:spacing w:line="288" w:lineRule="auto"/>
              <w:jc w:val="center"/>
              <w:rPr>
                <w:rFonts w:ascii="宋体" w:hAnsi="宋体"/>
                <w:spacing w:val="-6"/>
                <w:sz w:val="21"/>
                <w:szCs w:val="21"/>
              </w:rPr>
            </w:pPr>
            <w:r>
              <w:rPr>
                <w:rFonts w:hint="eastAsia" w:ascii="宋体" w:hAnsi="宋体"/>
                <w:spacing w:val="-6"/>
                <w:sz w:val="21"/>
                <w:szCs w:val="21"/>
              </w:rPr>
              <w:t>2</w:t>
            </w:r>
          </w:p>
        </w:tc>
        <w:tc>
          <w:tcPr>
            <w:tcW w:w="7216" w:type="dxa"/>
            <w:vAlign w:val="center"/>
          </w:tcPr>
          <w:p>
            <w:pPr>
              <w:spacing w:line="288" w:lineRule="auto"/>
              <w:rPr>
                <w:rFonts w:hint="eastAsia" w:ascii="宋体" w:hAnsi="宋体"/>
                <w:spacing w:val="-6"/>
                <w:sz w:val="21"/>
                <w:szCs w:val="21"/>
              </w:rPr>
            </w:pPr>
            <w:r>
              <w:rPr>
                <w:rFonts w:hint="eastAsia" w:ascii="宋体" w:hAnsi="宋体"/>
                <w:spacing w:val="-6"/>
                <w:sz w:val="21"/>
                <w:szCs w:val="21"/>
              </w:rPr>
              <w:t>投标人具有：</w:t>
            </w:r>
          </w:p>
          <w:p>
            <w:pPr>
              <w:spacing w:line="288" w:lineRule="auto"/>
              <w:rPr>
                <w:rFonts w:hint="eastAsia" w:ascii="宋体" w:hAnsi="宋体"/>
                <w:spacing w:val="-6"/>
                <w:sz w:val="21"/>
                <w:szCs w:val="21"/>
              </w:rPr>
            </w:pPr>
            <w:r>
              <w:rPr>
                <w:rFonts w:hint="eastAsia" w:ascii="宋体" w:hAnsi="宋体"/>
                <w:spacing w:val="-6"/>
                <w:sz w:val="21"/>
                <w:szCs w:val="21"/>
              </w:rPr>
              <w:t>ISO9001质量管理体系认证证书得0.5分；</w:t>
            </w:r>
          </w:p>
          <w:p>
            <w:pPr>
              <w:spacing w:line="288" w:lineRule="auto"/>
              <w:rPr>
                <w:rFonts w:hint="eastAsia" w:ascii="宋体" w:hAnsi="宋体"/>
                <w:spacing w:val="-6"/>
                <w:sz w:val="21"/>
                <w:szCs w:val="21"/>
              </w:rPr>
            </w:pPr>
            <w:r>
              <w:rPr>
                <w:rFonts w:hint="eastAsia" w:ascii="宋体" w:hAnsi="宋体"/>
                <w:spacing w:val="-6"/>
                <w:sz w:val="21"/>
                <w:szCs w:val="21"/>
              </w:rPr>
              <w:t>ISO14001环境管理体系认证证书得0.5分；</w:t>
            </w:r>
          </w:p>
          <w:p>
            <w:pPr>
              <w:spacing w:line="288" w:lineRule="auto"/>
              <w:rPr>
                <w:rFonts w:hint="eastAsia" w:ascii="宋体" w:hAnsi="宋体"/>
                <w:spacing w:val="-6"/>
                <w:sz w:val="21"/>
                <w:szCs w:val="21"/>
              </w:rPr>
            </w:pPr>
            <w:r>
              <w:rPr>
                <w:rFonts w:hint="eastAsia" w:ascii="宋体" w:hAnsi="宋体"/>
                <w:spacing w:val="-6"/>
                <w:sz w:val="21"/>
                <w:szCs w:val="21"/>
              </w:rPr>
              <w:t>职业健康安全管理体系认证1分；</w:t>
            </w:r>
          </w:p>
          <w:p>
            <w:pPr>
              <w:spacing w:line="288" w:lineRule="auto"/>
              <w:rPr>
                <w:rFonts w:hint="eastAsia" w:ascii="宋体" w:hAnsi="宋体"/>
                <w:spacing w:val="-6"/>
                <w:sz w:val="21"/>
                <w:szCs w:val="21"/>
              </w:rPr>
            </w:pPr>
            <w:r>
              <w:rPr>
                <w:rFonts w:hint="eastAsia" w:ascii="宋体" w:hAnsi="宋体"/>
                <w:spacing w:val="-6"/>
                <w:sz w:val="21"/>
                <w:szCs w:val="21"/>
              </w:rPr>
              <w:t>（提供相关证书复印件，原件备查,无原件不得分）。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00" w:type="dxa"/>
            <w:vAlign w:val="center"/>
          </w:tcPr>
          <w:p>
            <w:pPr>
              <w:spacing w:line="288" w:lineRule="auto"/>
              <w:jc w:val="center"/>
              <w:rPr>
                <w:rFonts w:ascii="宋体" w:hAnsi="宋体"/>
                <w:color w:val="auto"/>
                <w:spacing w:val="-6"/>
                <w:sz w:val="21"/>
                <w:szCs w:val="21"/>
              </w:rPr>
            </w:pPr>
            <w:r>
              <w:rPr>
                <w:rFonts w:hint="eastAsia" w:ascii="宋体" w:hAnsi="宋体"/>
                <w:color w:val="auto"/>
                <w:spacing w:val="-6"/>
                <w:sz w:val="21"/>
                <w:szCs w:val="21"/>
              </w:rPr>
              <w:t>质量认证</w:t>
            </w:r>
          </w:p>
        </w:tc>
        <w:tc>
          <w:tcPr>
            <w:tcW w:w="765" w:type="dxa"/>
            <w:vAlign w:val="center"/>
          </w:tcPr>
          <w:p>
            <w:pPr>
              <w:spacing w:line="288" w:lineRule="auto"/>
              <w:jc w:val="center"/>
              <w:rPr>
                <w:rFonts w:hint="eastAsia" w:ascii="宋体" w:hAnsi="宋体" w:eastAsiaTheme="minorEastAsia"/>
                <w:color w:val="auto"/>
                <w:spacing w:val="-6"/>
                <w:sz w:val="21"/>
                <w:szCs w:val="21"/>
                <w:lang w:eastAsia="zh-CN"/>
              </w:rPr>
            </w:pPr>
            <w:r>
              <w:rPr>
                <w:rFonts w:hint="eastAsia" w:ascii="宋体" w:hAnsi="宋体"/>
                <w:color w:val="auto"/>
                <w:spacing w:val="-6"/>
                <w:sz w:val="21"/>
                <w:szCs w:val="21"/>
                <w:lang w:val="en-US" w:eastAsia="zh-CN"/>
              </w:rPr>
              <w:t>2</w:t>
            </w:r>
          </w:p>
        </w:tc>
        <w:tc>
          <w:tcPr>
            <w:tcW w:w="7216" w:type="dxa"/>
            <w:vAlign w:val="center"/>
          </w:tcPr>
          <w:p>
            <w:pPr>
              <w:spacing w:line="288" w:lineRule="auto"/>
              <w:rPr>
                <w:rFonts w:hint="eastAsia" w:ascii="宋体" w:hAnsi="宋体"/>
                <w:spacing w:val="-6"/>
                <w:sz w:val="21"/>
                <w:szCs w:val="21"/>
              </w:rPr>
            </w:pPr>
            <w:r>
              <w:rPr>
                <w:rFonts w:hint="eastAsia" w:ascii="宋体" w:hAnsi="宋体"/>
                <w:spacing w:val="-6"/>
                <w:sz w:val="21"/>
                <w:szCs w:val="21"/>
              </w:rPr>
              <w:t>投标人通过有效的</w:t>
            </w:r>
            <w:r>
              <w:rPr>
                <w:rFonts w:hint="eastAsia" w:ascii="宋体" w:hAnsi="宋体"/>
                <w:spacing w:val="-6"/>
                <w:sz w:val="21"/>
                <w:szCs w:val="21"/>
                <w:lang w:val="en-US" w:eastAsia="zh-CN"/>
              </w:rPr>
              <w:t>中国绿色环保产品证书，</w:t>
            </w:r>
            <w:r>
              <w:rPr>
                <w:rFonts w:hint="eastAsia" w:ascii="宋体" w:hAnsi="宋体"/>
                <w:spacing w:val="-6"/>
                <w:sz w:val="21"/>
                <w:szCs w:val="21"/>
              </w:rPr>
              <w:t>得</w:t>
            </w:r>
            <w:r>
              <w:rPr>
                <w:rFonts w:hint="eastAsia" w:ascii="宋体" w:hAnsi="宋体"/>
                <w:spacing w:val="-6"/>
                <w:sz w:val="21"/>
                <w:szCs w:val="21"/>
                <w:lang w:val="en-US" w:eastAsia="zh-CN"/>
              </w:rPr>
              <w:t>1</w:t>
            </w:r>
            <w:r>
              <w:rPr>
                <w:rFonts w:hint="eastAsia" w:ascii="宋体" w:hAnsi="宋体"/>
                <w:spacing w:val="-6"/>
                <w:sz w:val="21"/>
                <w:szCs w:val="21"/>
              </w:rPr>
              <w:t>分；</w:t>
            </w:r>
          </w:p>
          <w:p>
            <w:pPr>
              <w:spacing w:line="288" w:lineRule="auto"/>
              <w:rPr>
                <w:rFonts w:hint="eastAsia" w:ascii="宋体" w:hAnsi="宋体"/>
                <w:spacing w:val="-6"/>
                <w:sz w:val="21"/>
                <w:szCs w:val="21"/>
              </w:rPr>
            </w:pPr>
            <w:r>
              <w:rPr>
                <w:rFonts w:hint="eastAsia" w:ascii="宋体" w:hAnsi="宋体"/>
                <w:spacing w:val="-6"/>
                <w:sz w:val="21"/>
                <w:szCs w:val="21"/>
              </w:rPr>
              <w:t>投标人通过有效的</w:t>
            </w:r>
            <w:r>
              <w:rPr>
                <w:rFonts w:hint="eastAsia" w:ascii="宋体" w:hAnsi="宋体"/>
                <w:spacing w:val="-6"/>
                <w:sz w:val="21"/>
                <w:szCs w:val="21"/>
                <w:lang w:val="en-US" w:eastAsia="zh-CN"/>
              </w:rPr>
              <w:t>全国质量检验稳定合格产品证书，</w:t>
            </w:r>
            <w:r>
              <w:rPr>
                <w:rFonts w:hint="eastAsia" w:ascii="宋体" w:hAnsi="宋体"/>
                <w:spacing w:val="-6"/>
                <w:sz w:val="21"/>
                <w:szCs w:val="21"/>
              </w:rPr>
              <w:t>得</w:t>
            </w:r>
            <w:r>
              <w:rPr>
                <w:rFonts w:hint="eastAsia" w:ascii="宋体" w:hAnsi="宋体"/>
                <w:spacing w:val="-6"/>
                <w:sz w:val="21"/>
                <w:szCs w:val="21"/>
                <w:lang w:val="en-US" w:eastAsia="zh-CN"/>
              </w:rPr>
              <w:t>1</w:t>
            </w:r>
            <w:r>
              <w:rPr>
                <w:rFonts w:hint="eastAsia" w:ascii="宋体" w:hAnsi="宋体"/>
                <w:spacing w:val="-6"/>
                <w:sz w:val="21"/>
                <w:szCs w:val="21"/>
              </w:rPr>
              <w:t>分。；</w:t>
            </w:r>
          </w:p>
          <w:p>
            <w:pPr>
              <w:spacing w:line="288" w:lineRule="auto"/>
              <w:rPr>
                <w:rFonts w:hint="eastAsia" w:ascii="宋体" w:hAnsi="宋体"/>
                <w:spacing w:val="-6"/>
                <w:sz w:val="21"/>
                <w:szCs w:val="21"/>
              </w:rPr>
            </w:pPr>
            <w:r>
              <w:rPr>
                <w:rFonts w:hint="eastAsia" w:ascii="宋体" w:hAnsi="宋体"/>
                <w:spacing w:val="-6"/>
                <w:sz w:val="21"/>
                <w:szCs w:val="21"/>
              </w:rPr>
              <w:t>（提供相关证书复印件，原件备查,无原件不得分</w:t>
            </w:r>
            <w:r>
              <w:rPr>
                <w:rFonts w:hint="eastAsia" w:ascii="宋体" w:hAnsi="宋体"/>
                <w:spacing w:val="-6"/>
                <w:sz w:val="21"/>
                <w:szCs w:val="21"/>
                <w:lang w:eastAsia="zh-CN"/>
              </w:rPr>
              <w:t>，</w:t>
            </w:r>
            <w:r>
              <w:rPr>
                <w:rFonts w:hint="eastAsia" w:ascii="宋体" w:hAnsi="宋体"/>
                <w:spacing w:val="-6"/>
                <w:sz w:val="21"/>
                <w:szCs w:val="21"/>
              </w:rPr>
              <w:t>要求证书合格、有效）。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00" w:type="dxa"/>
            <w:vAlign w:val="center"/>
          </w:tcPr>
          <w:p>
            <w:pPr>
              <w:spacing w:line="288" w:lineRule="auto"/>
              <w:jc w:val="center"/>
              <w:rPr>
                <w:rFonts w:hint="eastAsia" w:ascii="宋体" w:hAnsi="宋体" w:eastAsiaTheme="minorEastAsia"/>
                <w:color w:val="auto"/>
                <w:spacing w:val="-6"/>
                <w:sz w:val="21"/>
                <w:szCs w:val="21"/>
                <w:lang w:val="en-US" w:eastAsia="zh-CN"/>
              </w:rPr>
            </w:pPr>
            <w:r>
              <w:rPr>
                <w:rFonts w:hint="eastAsia" w:ascii="宋体" w:hAnsi="宋体"/>
                <w:color w:val="auto"/>
                <w:spacing w:val="-6"/>
                <w:sz w:val="21"/>
                <w:szCs w:val="21"/>
                <w:lang w:val="en-US" w:eastAsia="zh-CN"/>
              </w:rPr>
              <w:t>品质保证</w:t>
            </w:r>
          </w:p>
        </w:tc>
        <w:tc>
          <w:tcPr>
            <w:tcW w:w="765" w:type="dxa"/>
            <w:vAlign w:val="center"/>
          </w:tcPr>
          <w:p>
            <w:pPr>
              <w:spacing w:line="288" w:lineRule="auto"/>
              <w:jc w:val="center"/>
              <w:rPr>
                <w:rFonts w:hint="eastAsia" w:ascii="宋体" w:hAnsi="宋体" w:eastAsiaTheme="minorEastAsia"/>
                <w:color w:val="auto"/>
                <w:spacing w:val="-6"/>
                <w:sz w:val="21"/>
                <w:szCs w:val="21"/>
                <w:lang w:eastAsia="zh-CN"/>
              </w:rPr>
            </w:pPr>
            <w:r>
              <w:rPr>
                <w:rFonts w:hint="eastAsia" w:ascii="宋体" w:hAnsi="宋体"/>
                <w:color w:val="auto"/>
                <w:spacing w:val="-6"/>
                <w:sz w:val="21"/>
                <w:szCs w:val="21"/>
                <w:lang w:val="en-US" w:eastAsia="zh-CN"/>
              </w:rPr>
              <w:t>6</w:t>
            </w:r>
          </w:p>
        </w:tc>
        <w:tc>
          <w:tcPr>
            <w:tcW w:w="7216" w:type="dxa"/>
            <w:vAlign w:val="center"/>
          </w:tcPr>
          <w:p>
            <w:pPr>
              <w:spacing w:line="288" w:lineRule="auto"/>
              <w:rPr>
                <w:rFonts w:hint="default" w:ascii="宋体" w:hAnsi="宋体"/>
                <w:spacing w:val="-6"/>
                <w:sz w:val="21"/>
                <w:szCs w:val="21"/>
                <w:lang w:val="en-US"/>
              </w:rPr>
            </w:pPr>
            <w:r>
              <w:rPr>
                <w:rFonts w:hint="eastAsia" w:ascii="宋体" w:hAnsi="宋体"/>
                <w:spacing w:val="-6"/>
                <w:sz w:val="21"/>
                <w:szCs w:val="21"/>
                <w:lang w:val="en-US" w:eastAsia="zh-CN"/>
              </w:rPr>
              <w:t>提供最近连续三年（2016、2017、2018）</w:t>
            </w:r>
            <w:r>
              <w:rPr>
                <w:rFonts w:hint="eastAsia" w:ascii="宋体" w:hAnsi="宋体"/>
                <w:spacing w:val="-6"/>
                <w:sz w:val="21"/>
                <w:szCs w:val="21"/>
              </w:rPr>
              <w:t>省级及以上检验部门</w:t>
            </w:r>
            <w:r>
              <w:rPr>
                <w:rFonts w:hint="eastAsia" w:ascii="宋体" w:hAnsi="宋体"/>
                <w:spacing w:val="-6"/>
                <w:sz w:val="21"/>
                <w:szCs w:val="21"/>
                <w:lang w:val="en-US" w:eastAsia="zh-CN"/>
              </w:rPr>
              <w:t>随机监督抽检产品合格证明材料，每提供一个年度的得2分，最高6分。（</w:t>
            </w:r>
            <w:r>
              <w:rPr>
                <w:rFonts w:hint="eastAsia" w:ascii="宋体" w:hAnsi="宋体"/>
                <w:spacing w:val="-6"/>
                <w:sz w:val="21"/>
                <w:szCs w:val="21"/>
              </w:rPr>
              <w:t>原件备查,无原件不得分</w:t>
            </w:r>
            <w:r>
              <w:rPr>
                <w:rFonts w:hint="eastAsia" w:ascii="宋体" w:hAnsi="宋体"/>
                <w:spacing w:val="-6"/>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00" w:type="dxa"/>
            <w:vAlign w:val="center"/>
          </w:tcPr>
          <w:p>
            <w:pPr>
              <w:spacing w:line="288" w:lineRule="auto"/>
              <w:jc w:val="center"/>
              <w:rPr>
                <w:rFonts w:hint="eastAsia" w:ascii="宋体" w:hAnsi="宋体" w:eastAsiaTheme="minorEastAsia"/>
                <w:spacing w:val="-6"/>
                <w:sz w:val="21"/>
                <w:szCs w:val="21"/>
                <w:lang w:val="en-US" w:eastAsia="zh-CN"/>
              </w:rPr>
            </w:pPr>
            <w:r>
              <w:rPr>
                <w:rFonts w:hint="eastAsia" w:ascii="宋体" w:hAnsi="宋体"/>
                <w:spacing w:val="-6"/>
                <w:sz w:val="21"/>
                <w:szCs w:val="21"/>
                <w:lang w:val="en-US" w:eastAsia="zh-CN"/>
              </w:rPr>
              <w:t>售后保证</w:t>
            </w:r>
          </w:p>
        </w:tc>
        <w:tc>
          <w:tcPr>
            <w:tcW w:w="765" w:type="dxa"/>
            <w:vAlign w:val="center"/>
          </w:tcPr>
          <w:p>
            <w:pPr>
              <w:spacing w:line="288" w:lineRule="auto"/>
              <w:jc w:val="center"/>
              <w:rPr>
                <w:rFonts w:ascii="宋体" w:hAnsi="宋体"/>
                <w:spacing w:val="-6"/>
                <w:sz w:val="21"/>
                <w:szCs w:val="21"/>
              </w:rPr>
            </w:pPr>
            <w:r>
              <w:rPr>
                <w:rFonts w:hint="eastAsia" w:ascii="宋体" w:hAnsi="宋体"/>
                <w:spacing w:val="-6"/>
                <w:sz w:val="21"/>
                <w:szCs w:val="21"/>
              </w:rPr>
              <w:t>3</w:t>
            </w:r>
          </w:p>
        </w:tc>
        <w:tc>
          <w:tcPr>
            <w:tcW w:w="7216" w:type="dxa"/>
            <w:vAlign w:val="center"/>
          </w:tcPr>
          <w:p>
            <w:pPr>
              <w:spacing w:line="288" w:lineRule="auto"/>
              <w:rPr>
                <w:rFonts w:hint="eastAsia" w:ascii="宋体" w:hAnsi="宋体"/>
                <w:spacing w:val="-6"/>
                <w:sz w:val="21"/>
                <w:szCs w:val="21"/>
              </w:rPr>
            </w:pPr>
            <w:r>
              <w:rPr>
                <w:rFonts w:hint="eastAsia" w:ascii="宋体" w:hAnsi="宋体"/>
                <w:spacing w:val="-6"/>
                <w:sz w:val="21"/>
                <w:szCs w:val="21"/>
                <w:lang w:val="en-US" w:eastAsia="zh-CN"/>
              </w:rPr>
              <w:t>获得售后服务评价体系五星级认证证书，且投标人有3位及以上专业售后服务管理师的，得3分（提供相关证书复印件，</w:t>
            </w:r>
            <w:r>
              <w:rPr>
                <w:rFonts w:hint="eastAsia" w:ascii="宋体" w:hAnsi="宋体"/>
                <w:spacing w:val="-6"/>
                <w:sz w:val="21"/>
                <w:szCs w:val="21"/>
              </w:rPr>
              <w:t>原件备查,无原件不得分</w:t>
            </w:r>
            <w:r>
              <w:rPr>
                <w:rFonts w:hint="eastAsia" w:ascii="宋体" w:hAnsi="宋体"/>
                <w:spacing w:val="-6"/>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00" w:type="dxa"/>
            <w:vAlign w:val="center"/>
          </w:tcPr>
          <w:p>
            <w:pPr>
              <w:spacing w:line="288" w:lineRule="auto"/>
              <w:jc w:val="center"/>
              <w:rPr>
                <w:rFonts w:hint="eastAsia" w:ascii="宋体" w:hAnsi="宋体" w:eastAsiaTheme="minorEastAsia"/>
                <w:color w:val="auto"/>
                <w:spacing w:val="-6"/>
                <w:sz w:val="21"/>
                <w:szCs w:val="21"/>
                <w:lang w:val="en-US" w:eastAsia="zh-CN"/>
              </w:rPr>
            </w:pPr>
            <w:r>
              <w:rPr>
                <w:rFonts w:hint="eastAsia" w:ascii="宋体" w:hAnsi="宋体"/>
                <w:color w:val="auto"/>
                <w:spacing w:val="-6"/>
                <w:sz w:val="21"/>
                <w:szCs w:val="21"/>
                <w:lang w:val="en-US" w:eastAsia="zh-CN"/>
              </w:rPr>
              <w:t>企业诚信</w:t>
            </w:r>
          </w:p>
        </w:tc>
        <w:tc>
          <w:tcPr>
            <w:tcW w:w="765" w:type="dxa"/>
            <w:vAlign w:val="center"/>
          </w:tcPr>
          <w:p>
            <w:pPr>
              <w:spacing w:line="288" w:lineRule="auto"/>
              <w:jc w:val="center"/>
              <w:rPr>
                <w:rFonts w:hint="eastAsia" w:ascii="宋体" w:hAnsi="宋体" w:eastAsiaTheme="minorEastAsia"/>
                <w:color w:val="auto"/>
                <w:spacing w:val="-6"/>
                <w:sz w:val="21"/>
                <w:szCs w:val="21"/>
                <w:lang w:val="en-US" w:eastAsia="zh-CN"/>
              </w:rPr>
            </w:pPr>
            <w:r>
              <w:rPr>
                <w:rFonts w:hint="eastAsia" w:ascii="宋体" w:hAnsi="宋体"/>
                <w:color w:val="auto"/>
                <w:spacing w:val="-6"/>
                <w:sz w:val="21"/>
                <w:szCs w:val="21"/>
                <w:lang w:val="en-US" w:eastAsia="zh-CN"/>
              </w:rPr>
              <w:t>2</w:t>
            </w:r>
          </w:p>
        </w:tc>
        <w:tc>
          <w:tcPr>
            <w:tcW w:w="7216" w:type="dxa"/>
            <w:vAlign w:val="center"/>
          </w:tcPr>
          <w:p>
            <w:pPr>
              <w:spacing w:line="288" w:lineRule="auto"/>
              <w:rPr>
                <w:rFonts w:hint="eastAsia" w:ascii="宋体" w:hAnsi="宋体"/>
                <w:color w:val="auto"/>
                <w:spacing w:val="-6"/>
                <w:sz w:val="21"/>
                <w:szCs w:val="21"/>
                <w:lang w:val="en-US" w:eastAsia="zh-CN"/>
              </w:rPr>
            </w:pPr>
            <w:r>
              <w:rPr>
                <w:rFonts w:hint="eastAsia" w:ascii="宋体" w:hAnsi="宋体"/>
                <w:color w:val="auto"/>
                <w:spacing w:val="-6"/>
                <w:sz w:val="21"/>
                <w:szCs w:val="21"/>
                <w:lang w:val="en-US" w:eastAsia="zh-CN"/>
              </w:rPr>
              <w:t>获得全国百佳质量诚信标杆示范企业证书的</w:t>
            </w:r>
            <w:r>
              <w:rPr>
                <w:rFonts w:hint="eastAsia" w:ascii="宋体" w:hAnsi="宋体"/>
                <w:color w:val="auto"/>
                <w:spacing w:val="-6"/>
                <w:sz w:val="21"/>
                <w:szCs w:val="21"/>
              </w:rPr>
              <w:t>得</w:t>
            </w:r>
            <w:r>
              <w:rPr>
                <w:rFonts w:hint="eastAsia" w:ascii="宋体" w:hAnsi="宋体"/>
                <w:color w:val="auto"/>
                <w:spacing w:val="-6"/>
                <w:sz w:val="21"/>
                <w:szCs w:val="21"/>
                <w:lang w:val="en-US" w:eastAsia="zh-CN"/>
              </w:rPr>
              <w:t>2</w:t>
            </w:r>
            <w:r>
              <w:rPr>
                <w:rFonts w:hint="eastAsia" w:ascii="宋体" w:hAnsi="宋体"/>
                <w:color w:val="auto"/>
                <w:spacing w:val="-6"/>
                <w:sz w:val="21"/>
                <w:szCs w:val="21"/>
              </w:rPr>
              <w:t>分</w:t>
            </w:r>
            <w:r>
              <w:rPr>
                <w:rFonts w:hint="eastAsia" w:ascii="宋体" w:hAnsi="宋体"/>
                <w:color w:val="auto"/>
                <w:spacing w:val="-6"/>
                <w:sz w:val="21"/>
                <w:szCs w:val="21"/>
                <w:lang w:eastAsia="zh-CN"/>
              </w:rPr>
              <w:t>。</w:t>
            </w:r>
            <w:r>
              <w:rPr>
                <w:rFonts w:hint="eastAsia" w:ascii="宋体" w:hAnsi="宋体"/>
                <w:color w:val="auto"/>
                <w:spacing w:val="-6"/>
                <w:sz w:val="21"/>
                <w:szCs w:val="21"/>
              </w:rPr>
              <w:t>（提供相关证书复印件，原件备查,无原件不得分）。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00" w:type="dxa"/>
            <w:vAlign w:val="center"/>
          </w:tcPr>
          <w:p>
            <w:pPr>
              <w:spacing w:line="288" w:lineRule="auto"/>
              <w:jc w:val="center"/>
              <w:rPr>
                <w:rFonts w:ascii="宋体" w:hAnsi="宋体"/>
                <w:spacing w:val="-6"/>
                <w:sz w:val="21"/>
                <w:szCs w:val="21"/>
              </w:rPr>
            </w:pPr>
            <w:r>
              <w:rPr>
                <w:rFonts w:hint="eastAsia" w:ascii="宋体" w:hAnsi="宋体"/>
                <w:spacing w:val="-6"/>
                <w:sz w:val="21"/>
                <w:szCs w:val="21"/>
              </w:rPr>
              <w:t>技术证书</w:t>
            </w:r>
          </w:p>
        </w:tc>
        <w:tc>
          <w:tcPr>
            <w:tcW w:w="765" w:type="dxa"/>
            <w:vAlign w:val="center"/>
          </w:tcPr>
          <w:p>
            <w:pPr>
              <w:spacing w:line="288" w:lineRule="auto"/>
              <w:jc w:val="center"/>
              <w:rPr>
                <w:rFonts w:hint="eastAsia" w:ascii="宋体" w:hAnsi="宋体" w:eastAsia="宋体"/>
                <w:spacing w:val="-6"/>
                <w:sz w:val="21"/>
                <w:szCs w:val="21"/>
                <w:lang w:eastAsia="zh-CN"/>
              </w:rPr>
            </w:pPr>
            <w:r>
              <w:rPr>
                <w:rFonts w:hint="eastAsia" w:ascii="宋体" w:hAnsi="宋体" w:eastAsia="宋体"/>
                <w:spacing w:val="-6"/>
                <w:sz w:val="21"/>
                <w:szCs w:val="21"/>
                <w:lang w:val="en-US" w:eastAsia="zh-CN"/>
              </w:rPr>
              <w:t>4</w:t>
            </w:r>
          </w:p>
        </w:tc>
        <w:tc>
          <w:tcPr>
            <w:tcW w:w="7216" w:type="dxa"/>
            <w:vAlign w:val="center"/>
          </w:tcPr>
          <w:p>
            <w:pPr>
              <w:spacing w:line="288" w:lineRule="auto"/>
              <w:rPr>
                <w:rFonts w:hint="eastAsia" w:ascii="宋体" w:hAnsi="宋体"/>
                <w:spacing w:val="-6"/>
                <w:sz w:val="21"/>
                <w:szCs w:val="21"/>
              </w:rPr>
            </w:pPr>
            <w:r>
              <w:rPr>
                <w:rFonts w:hint="eastAsia" w:ascii="宋体" w:hAnsi="宋体"/>
                <w:spacing w:val="-6"/>
                <w:sz w:val="21"/>
                <w:szCs w:val="21"/>
                <w:lang w:eastAsia="zh-CN"/>
              </w:rPr>
              <w:t>有</w:t>
            </w:r>
            <w:r>
              <w:rPr>
                <w:rFonts w:hint="eastAsia" w:ascii="宋体" w:hAnsi="宋体"/>
                <w:spacing w:val="-6"/>
                <w:sz w:val="21"/>
                <w:szCs w:val="21"/>
                <w:lang w:val="en-US" w:eastAsia="zh-CN"/>
              </w:rPr>
              <w:t>幼儿家具</w:t>
            </w:r>
            <w:r>
              <w:rPr>
                <w:rFonts w:hint="eastAsia" w:ascii="宋体" w:hAnsi="宋体"/>
                <w:spacing w:val="-6"/>
                <w:sz w:val="21"/>
                <w:szCs w:val="21"/>
              </w:rPr>
              <w:t>专利证书，每提供一个得0.5分，最高的</w:t>
            </w:r>
            <w:r>
              <w:rPr>
                <w:rFonts w:hint="eastAsia" w:ascii="宋体" w:hAnsi="宋体"/>
                <w:spacing w:val="-6"/>
                <w:sz w:val="21"/>
                <w:szCs w:val="21"/>
                <w:lang w:val="en-US" w:eastAsia="zh-CN"/>
              </w:rPr>
              <w:t>4</w:t>
            </w:r>
            <w:r>
              <w:rPr>
                <w:rFonts w:hint="eastAsia" w:ascii="宋体" w:hAnsi="宋体"/>
                <w:spacing w:val="-6"/>
                <w:sz w:val="21"/>
                <w:szCs w:val="21"/>
              </w:rPr>
              <w:t>分。</w:t>
            </w:r>
          </w:p>
          <w:p>
            <w:pPr>
              <w:spacing w:line="288" w:lineRule="auto"/>
              <w:rPr>
                <w:rFonts w:hint="eastAsia" w:ascii="宋体" w:hAnsi="宋体"/>
                <w:spacing w:val="-6"/>
                <w:sz w:val="21"/>
                <w:szCs w:val="21"/>
              </w:rPr>
            </w:pPr>
            <w:r>
              <w:rPr>
                <w:rFonts w:hint="eastAsia" w:ascii="宋体" w:hAnsi="宋体"/>
                <w:spacing w:val="-6"/>
                <w:sz w:val="21"/>
                <w:szCs w:val="21"/>
              </w:rPr>
              <w:t>（提供相关证书复印件，原件备查,无原件不得分）。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781" w:type="dxa"/>
            <w:gridSpan w:val="3"/>
            <w:vAlign w:val="center"/>
          </w:tcPr>
          <w:p>
            <w:pPr>
              <w:pStyle w:val="10"/>
              <w:spacing w:line="288" w:lineRule="auto"/>
              <w:ind w:firstLine="0"/>
              <w:rPr>
                <w:rFonts w:hAnsi="宋体"/>
                <w:spacing w:val="-6"/>
                <w:sz w:val="21"/>
                <w:szCs w:val="21"/>
              </w:rPr>
            </w:pPr>
            <w:r>
              <w:rPr>
                <w:rFonts w:hint="eastAsia" w:hAnsi="宋体"/>
                <w:b/>
                <w:spacing w:val="-6"/>
                <w:sz w:val="21"/>
                <w:szCs w:val="21"/>
              </w:rPr>
              <w:t>技术分</w:t>
            </w:r>
            <w:r>
              <w:rPr>
                <w:rFonts w:hAnsi="宋体"/>
                <w:b/>
                <w:spacing w:val="-6"/>
                <w:sz w:val="21"/>
                <w:szCs w:val="21"/>
              </w:rPr>
              <w:t>（4</w:t>
            </w:r>
            <w:r>
              <w:rPr>
                <w:rFonts w:hint="eastAsia" w:hAnsi="宋体"/>
                <w:b/>
                <w:spacing w:val="-6"/>
                <w:sz w:val="21"/>
                <w:szCs w:val="21"/>
                <w:lang w:val="en-US" w:eastAsia="zh-CN"/>
              </w:rPr>
              <w:t>9</w:t>
            </w:r>
            <w:r>
              <w:rPr>
                <w:rFonts w:hAnsi="宋体"/>
                <w:b/>
                <w:spacing w:val="-6"/>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00" w:type="dxa"/>
            <w:vAlign w:val="center"/>
          </w:tcPr>
          <w:p>
            <w:pPr>
              <w:spacing w:line="288" w:lineRule="auto"/>
              <w:jc w:val="center"/>
              <w:rPr>
                <w:rFonts w:ascii="宋体" w:hAnsi="宋体"/>
                <w:spacing w:val="-6"/>
                <w:sz w:val="21"/>
                <w:szCs w:val="21"/>
              </w:rPr>
            </w:pPr>
            <w:r>
              <w:rPr>
                <w:rFonts w:hint="eastAsia" w:ascii="宋体" w:hAnsi="宋体"/>
                <w:spacing w:val="-6"/>
                <w:sz w:val="21"/>
                <w:szCs w:val="21"/>
              </w:rPr>
              <w:t>样品</w:t>
            </w:r>
          </w:p>
        </w:tc>
        <w:tc>
          <w:tcPr>
            <w:tcW w:w="765" w:type="dxa"/>
            <w:vAlign w:val="center"/>
          </w:tcPr>
          <w:p>
            <w:pPr>
              <w:spacing w:line="288" w:lineRule="auto"/>
              <w:jc w:val="center"/>
              <w:rPr>
                <w:rFonts w:hint="default" w:ascii="宋体" w:hAnsi="宋体" w:eastAsia="宋体"/>
                <w:spacing w:val="-6"/>
                <w:sz w:val="21"/>
                <w:szCs w:val="21"/>
                <w:lang w:val="en-US" w:eastAsia="zh-CN"/>
              </w:rPr>
            </w:pPr>
            <w:r>
              <w:rPr>
                <w:rFonts w:hint="eastAsia" w:ascii="宋体" w:hAnsi="宋体"/>
                <w:spacing w:val="-6"/>
                <w:sz w:val="21"/>
                <w:szCs w:val="21"/>
                <w:lang w:val="en-US" w:eastAsia="zh-CN"/>
              </w:rPr>
              <w:t>25</w:t>
            </w:r>
          </w:p>
        </w:tc>
        <w:tc>
          <w:tcPr>
            <w:tcW w:w="7216" w:type="dxa"/>
            <w:vAlign w:val="center"/>
          </w:tcPr>
          <w:p>
            <w:pPr>
              <w:widowControl/>
              <w:jc w:val="left"/>
              <w:rPr>
                <w:rFonts w:ascii="宋体" w:hAnsi="宋体" w:cs="宋体"/>
                <w:kern w:val="0"/>
                <w:sz w:val="21"/>
                <w:szCs w:val="21"/>
              </w:rPr>
            </w:pPr>
            <w:r>
              <w:rPr>
                <w:rFonts w:hint="eastAsia" w:ascii="宋体" w:hAnsi="宋体" w:cs="宋体"/>
                <w:kern w:val="0"/>
                <w:sz w:val="21"/>
                <w:szCs w:val="21"/>
              </w:rPr>
              <w:t>（1）样品制作工艺及质量（10分）优得</w:t>
            </w:r>
            <w:r>
              <w:rPr>
                <w:rFonts w:hint="eastAsia" w:ascii="宋体" w:hAnsi="宋体" w:cs="宋体"/>
                <w:kern w:val="0"/>
                <w:sz w:val="21"/>
                <w:szCs w:val="21"/>
                <w:lang w:val="en-US" w:eastAsia="zh-CN"/>
              </w:rPr>
              <w:t>6.1</w:t>
            </w:r>
            <w:r>
              <w:rPr>
                <w:rFonts w:hint="eastAsia" w:ascii="宋体" w:hAnsi="宋体" w:cs="宋体"/>
                <w:kern w:val="0"/>
                <w:sz w:val="21"/>
                <w:szCs w:val="21"/>
              </w:rPr>
              <w:t>-</w:t>
            </w:r>
            <w:r>
              <w:rPr>
                <w:rFonts w:hint="eastAsia" w:ascii="宋体" w:hAnsi="宋体" w:cs="宋体"/>
                <w:kern w:val="0"/>
                <w:sz w:val="21"/>
                <w:szCs w:val="21"/>
                <w:lang w:val="en-US" w:eastAsia="zh-CN"/>
              </w:rPr>
              <w:t>10</w:t>
            </w:r>
            <w:r>
              <w:rPr>
                <w:rFonts w:hint="eastAsia" w:ascii="宋体" w:hAnsi="宋体" w:cs="宋体"/>
                <w:kern w:val="0"/>
                <w:sz w:val="21"/>
                <w:szCs w:val="21"/>
              </w:rPr>
              <w:t>分，一般得</w:t>
            </w:r>
            <w:r>
              <w:rPr>
                <w:rFonts w:hint="eastAsia" w:ascii="宋体" w:hAnsi="宋体" w:cs="宋体"/>
                <w:kern w:val="0"/>
                <w:sz w:val="21"/>
                <w:szCs w:val="21"/>
                <w:lang w:val="en-US" w:eastAsia="zh-CN"/>
              </w:rPr>
              <w:t>3.1</w:t>
            </w:r>
            <w:r>
              <w:rPr>
                <w:rFonts w:hint="eastAsia" w:ascii="宋体" w:hAnsi="宋体" w:cs="宋体"/>
                <w:kern w:val="0"/>
                <w:sz w:val="21"/>
                <w:szCs w:val="21"/>
              </w:rPr>
              <w:t>-</w:t>
            </w:r>
            <w:r>
              <w:rPr>
                <w:rFonts w:hint="eastAsia" w:ascii="宋体" w:hAnsi="宋体" w:cs="宋体"/>
                <w:kern w:val="0"/>
                <w:sz w:val="21"/>
                <w:szCs w:val="21"/>
                <w:lang w:val="en-US" w:eastAsia="zh-CN"/>
              </w:rPr>
              <w:t>6</w:t>
            </w:r>
            <w:r>
              <w:rPr>
                <w:rFonts w:hint="eastAsia" w:ascii="宋体" w:hAnsi="宋体" w:cs="宋体"/>
                <w:kern w:val="0"/>
                <w:sz w:val="21"/>
                <w:szCs w:val="21"/>
              </w:rPr>
              <w:t>分，差得3-</w:t>
            </w:r>
            <w:r>
              <w:rPr>
                <w:rFonts w:ascii="宋体" w:hAnsi="宋体" w:cs="宋体"/>
                <w:kern w:val="0"/>
                <w:sz w:val="21"/>
                <w:szCs w:val="21"/>
              </w:rPr>
              <w:t>0</w:t>
            </w:r>
            <w:r>
              <w:rPr>
                <w:rFonts w:hint="eastAsia" w:ascii="宋体" w:hAnsi="宋体" w:cs="宋体"/>
                <w:kern w:val="0"/>
                <w:sz w:val="21"/>
                <w:szCs w:val="21"/>
              </w:rPr>
              <w:t>分；</w:t>
            </w:r>
          </w:p>
          <w:p>
            <w:pPr>
              <w:widowControl/>
              <w:jc w:val="left"/>
              <w:rPr>
                <w:rFonts w:ascii="宋体" w:hAnsi="宋体" w:cs="宋体"/>
                <w:kern w:val="0"/>
                <w:sz w:val="21"/>
                <w:szCs w:val="21"/>
              </w:rPr>
            </w:pPr>
            <w:r>
              <w:rPr>
                <w:rFonts w:hint="eastAsia" w:ascii="宋体" w:hAnsi="宋体" w:cs="宋体"/>
                <w:kern w:val="0"/>
                <w:sz w:val="21"/>
                <w:szCs w:val="21"/>
              </w:rPr>
              <w:t>（2）样品安装工艺及质量（4分）优得</w:t>
            </w:r>
            <w:r>
              <w:rPr>
                <w:rFonts w:hint="eastAsia" w:ascii="宋体" w:hAnsi="宋体" w:cs="宋体"/>
                <w:kern w:val="0"/>
                <w:sz w:val="21"/>
                <w:szCs w:val="21"/>
                <w:lang w:val="en-US" w:eastAsia="zh-CN"/>
              </w:rPr>
              <w:t>3.1-</w:t>
            </w:r>
            <w:r>
              <w:rPr>
                <w:rFonts w:ascii="宋体" w:hAnsi="宋体" w:cs="宋体"/>
                <w:kern w:val="0"/>
                <w:sz w:val="21"/>
                <w:szCs w:val="21"/>
              </w:rPr>
              <w:t>4</w:t>
            </w:r>
            <w:r>
              <w:rPr>
                <w:rFonts w:hint="eastAsia" w:ascii="宋体" w:hAnsi="宋体" w:cs="宋体"/>
                <w:kern w:val="0"/>
                <w:sz w:val="21"/>
                <w:szCs w:val="21"/>
              </w:rPr>
              <w:t>分，一般得</w:t>
            </w:r>
            <w:r>
              <w:rPr>
                <w:rFonts w:hint="eastAsia" w:ascii="宋体" w:hAnsi="宋体" w:cs="宋体"/>
                <w:kern w:val="0"/>
                <w:sz w:val="21"/>
                <w:szCs w:val="21"/>
                <w:lang w:val="en-US" w:eastAsia="zh-CN"/>
              </w:rPr>
              <w:t>1.1</w:t>
            </w:r>
            <w:r>
              <w:rPr>
                <w:rFonts w:hint="eastAsia" w:ascii="宋体" w:hAnsi="宋体" w:cs="宋体"/>
                <w:kern w:val="0"/>
                <w:sz w:val="21"/>
                <w:szCs w:val="21"/>
              </w:rPr>
              <w:t>-</w:t>
            </w:r>
            <w:r>
              <w:rPr>
                <w:rFonts w:hint="eastAsia" w:ascii="宋体" w:hAnsi="宋体" w:cs="宋体"/>
                <w:kern w:val="0"/>
                <w:sz w:val="21"/>
                <w:szCs w:val="21"/>
                <w:lang w:val="en-US" w:eastAsia="zh-CN"/>
              </w:rPr>
              <w:t>3</w:t>
            </w:r>
            <w:r>
              <w:rPr>
                <w:rFonts w:hint="eastAsia" w:ascii="宋体" w:hAnsi="宋体" w:cs="宋体"/>
                <w:kern w:val="0"/>
                <w:sz w:val="21"/>
                <w:szCs w:val="21"/>
              </w:rPr>
              <w:t>分，差得1-</w:t>
            </w:r>
            <w:r>
              <w:rPr>
                <w:rFonts w:ascii="宋体" w:hAnsi="宋体" w:cs="宋体"/>
                <w:kern w:val="0"/>
                <w:sz w:val="21"/>
                <w:szCs w:val="21"/>
              </w:rPr>
              <w:t>0</w:t>
            </w:r>
            <w:r>
              <w:rPr>
                <w:rFonts w:hint="eastAsia" w:ascii="宋体" w:hAnsi="宋体" w:cs="宋体"/>
                <w:kern w:val="0"/>
                <w:sz w:val="21"/>
                <w:szCs w:val="21"/>
              </w:rPr>
              <w:t>分；</w:t>
            </w:r>
          </w:p>
          <w:p>
            <w:pPr>
              <w:widowControl/>
              <w:jc w:val="left"/>
              <w:rPr>
                <w:rFonts w:ascii="宋体" w:hAnsi="宋体" w:cs="宋体"/>
                <w:kern w:val="0"/>
                <w:sz w:val="21"/>
                <w:szCs w:val="21"/>
              </w:rPr>
            </w:pPr>
            <w:r>
              <w:rPr>
                <w:rFonts w:hint="eastAsia" w:ascii="宋体" w:hAnsi="宋体" w:cs="宋体"/>
                <w:kern w:val="0"/>
                <w:sz w:val="21"/>
                <w:szCs w:val="21"/>
              </w:rPr>
              <w:t>（3）样品五金件质量（3分）优得</w:t>
            </w:r>
            <w:r>
              <w:rPr>
                <w:rFonts w:hint="eastAsia" w:ascii="宋体" w:hAnsi="宋体" w:cs="宋体"/>
                <w:kern w:val="0"/>
                <w:sz w:val="21"/>
                <w:szCs w:val="21"/>
                <w:lang w:val="en-US" w:eastAsia="zh-CN"/>
              </w:rPr>
              <w:t>2.1-</w:t>
            </w:r>
            <w:r>
              <w:rPr>
                <w:rFonts w:hint="eastAsia" w:ascii="宋体" w:hAnsi="宋体" w:cs="宋体"/>
                <w:kern w:val="0"/>
                <w:sz w:val="21"/>
                <w:szCs w:val="21"/>
              </w:rPr>
              <w:t>3分，一般得</w:t>
            </w:r>
            <w:r>
              <w:rPr>
                <w:rFonts w:hint="eastAsia" w:ascii="宋体" w:hAnsi="宋体" w:cs="宋体"/>
                <w:kern w:val="0"/>
                <w:sz w:val="21"/>
                <w:szCs w:val="21"/>
                <w:lang w:val="en-US" w:eastAsia="zh-CN"/>
              </w:rPr>
              <w:t>1.1</w:t>
            </w:r>
            <w:r>
              <w:rPr>
                <w:rFonts w:hint="eastAsia" w:ascii="宋体" w:hAnsi="宋体" w:cs="宋体"/>
                <w:kern w:val="0"/>
                <w:sz w:val="21"/>
                <w:szCs w:val="21"/>
              </w:rPr>
              <w:t>-</w:t>
            </w:r>
            <w:r>
              <w:rPr>
                <w:rFonts w:hint="eastAsia" w:ascii="宋体" w:hAnsi="宋体" w:cs="宋体"/>
                <w:kern w:val="0"/>
                <w:sz w:val="21"/>
                <w:szCs w:val="21"/>
                <w:lang w:val="en-US" w:eastAsia="zh-CN"/>
              </w:rPr>
              <w:t>2.0</w:t>
            </w:r>
            <w:r>
              <w:rPr>
                <w:rFonts w:hint="eastAsia" w:ascii="宋体" w:hAnsi="宋体" w:cs="宋体"/>
                <w:kern w:val="0"/>
                <w:sz w:val="21"/>
                <w:szCs w:val="21"/>
              </w:rPr>
              <w:t>分，差得</w:t>
            </w:r>
            <w:r>
              <w:rPr>
                <w:rFonts w:ascii="宋体" w:hAnsi="宋体" w:cs="宋体"/>
                <w:kern w:val="0"/>
                <w:sz w:val="21"/>
                <w:szCs w:val="21"/>
              </w:rPr>
              <w:t>0</w:t>
            </w:r>
            <w:r>
              <w:rPr>
                <w:rFonts w:hint="eastAsia" w:ascii="宋体" w:hAnsi="宋体" w:cs="宋体"/>
                <w:kern w:val="0"/>
                <w:sz w:val="21"/>
                <w:szCs w:val="21"/>
                <w:lang w:val="en-US" w:eastAsia="zh-CN"/>
              </w:rPr>
              <w:t>-1</w:t>
            </w:r>
            <w:r>
              <w:rPr>
                <w:rFonts w:hint="eastAsia" w:ascii="宋体" w:hAnsi="宋体" w:cs="宋体"/>
                <w:kern w:val="0"/>
                <w:sz w:val="21"/>
                <w:szCs w:val="21"/>
              </w:rPr>
              <w:t>分；</w:t>
            </w:r>
          </w:p>
          <w:p>
            <w:pPr>
              <w:widowControl/>
              <w:jc w:val="left"/>
              <w:rPr>
                <w:rFonts w:ascii="宋体" w:hAnsi="宋体" w:cs="宋体"/>
                <w:kern w:val="0"/>
                <w:sz w:val="21"/>
                <w:szCs w:val="21"/>
              </w:rPr>
            </w:pPr>
            <w:r>
              <w:rPr>
                <w:rFonts w:hint="eastAsia" w:ascii="宋体" w:hAnsi="宋体" w:cs="宋体"/>
                <w:kern w:val="0"/>
                <w:sz w:val="21"/>
                <w:szCs w:val="21"/>
              </w:rPr>
              <w:t>（4）样品材质（板材、金属材料等）质量（5分）优得</w:t>
            </w:r>
            <w:r>
              <w:rPr>
                <w:rFonts w:hint="eastAsia" w:ascii="宋体" w:hAnsi="宋体" w:cs="宋体"/>
                <w:kern w:val="0"/>
                <w:sz w:val="21"/>
                <w:szCs w:val="21"/>
                <w:lang w:val="en-US" w:eastAsia="zh-CN"/>
              </w:rPr>
              <w:t>3.1</w:t>
            </w:r>
            <w:r>
              <w:rPr>
                <w:rFonts w:hint="eastAsia" w:ascii="宋体" w:hAnsi="宋体" w:cs="宋体"/>
                <w:kern w:val="0"/>
                <w:sz w:val="21"/>
                <w:szCs w:val="21"/>
              </w:rPr>
              <w:t>-</w:t>
            </w:r>
            <w:r>
              <w:rPr>
                <w:rFonts w:hint="eastAsia" w:ascii="宋体" w:hAnsi="宋体" w:cs="宋体"/>
                <w:kern w:val="0"/>
                <w:sz w:val="21"/>
                <w:szCs w:val="21"/>
                <w:lang w:val="en-US" w:eastAsia="zh-CN"/>
              </w:rPr>
              <w:t>5</w:t>
            </w:r>
            <w:r>
              <w:rPr>
                <w:rFonts w:hint="eastAsia" w:ascii="宋体" w:hAnsi="宋体" w:cs="宋体"/>
                <w:kern w:val="0"/>
                <w:sz w:val="21"/>
                <w:szCs w:val="21"/>
              </w:rPr>
              <w:t>分，一般得</w:t>
            </w:r>
            <w:r>
              <w:rPr>
                <w:rFonts w:hint="eastAsia" w:ascii="宋体" w:hAnsi="宋体" w:cs="宋体"/>
                <w:kern w:val="0"/>
                <w:sz w:val="21"/>
                <w:szCs w:val="21"/>
                <w:lang w:val="en-US" w:eastAsia="zh-CN"/>
              </w:rPr>
              <w:t>1.1</w:t>
            </w:r>
            <w:r>
              <w:rPr>
                <w:rFonts w:hint="eastAsia" w:ascii="宋体" w:hAnsi="宋体" w:cs="宋体"/>
                <w:kern w:val="0"/>
                <w:sz w:val="21"/>
                <w:szCs w:val="21"/>
              </w:rPr>
              <w:t>-</w:t>
            </w:r>
            <w:r>
              <w:rPr>
                <w:rFonts w:hint="eastAsia" w:ascii="宋体" w:hAnsi="宋体" w:cs="宋体"/>
                <w:kern w:val="0"/>
                <w:sz w:val="21"/>
                <w:szCs w:val="21"/>
                <w:lang w:val="en-US" w:eastAsia="zh-CN"/>
              </w:rPr>
              <w:t>3</w:t>
            </w:r>
            <w:r>
              <w:rPr>
                <w:rFonts w:hint="eastAsia" w:ascii="宋体" w:hAnsi="宋体" w:cs="宋体"/>
                <w:kern w:val="0"/>
                <w:sz w:val="21"/>
                <w:szCs w:val="21"/>
              </w:rPr>
              <w:t>分，差得1-</w:t>
            </w:r>
            <w:r>
              <w:rPr>
                <w:rFonts w:ascii="宋体" w:hAnsi="宋体" w:cs="宋体"/>
                <w:kern w:val="0"/>
                <w:sz w:val="21"/>
                <w:szCs w:val="21"/>
              </w:rPr>
              <w:t>0</w:t>
            </w:r>
            <w:r>
              <w:rPr>
                <w:rFonts w:hint="eastAsia" w:ascii="宋体" w:hAnsi="宋体" w:cs="宋体"/>
                <w:kern w:val="0"/>
                <w:sz w:val="21"/>
                <w:szCs w:val="21"/>
              </w:rPr>
              <w:t>分；</w:t>
            </w:r>
          </w:p>
          <w:p>
            <w:pPr>
              <w:widowControl/>
              <w:jc w:val="left"/>
              <w:rPr>
                <w:rFonts w:ascii="宋体" w:hAnsi="宋体" w:cs="宋体"/>
                <w:kern w:val="0"/>
                <w:sz w:val="21"/>
                <w:szCs w:val="21"/>
              </w:rPr>
            </w:pPr>
            <w:r>
              <w:rPr>
                <w:rFonts w:hint="eastAsia" w:ascii="宋体" w:hAnsi="宋体" w:cs="宋体"/>
                <w:kern w:val="0"/>
                <w:sz w:val="21"/>
                <w:szCs w:val="21"/>
              </w:rPr>
              <w:t>（5）样品总体感官美观、舒适性（3分）优得</w:t>
            </w:r>
            <w:r>
              <w:rPr>
                <w:rFonts w:hint="eastAsia" w:ascii="宋体" w:hAnsi="宋体" w:cs="宋体"/>
                <w:kern w:val="0"/>
                <w:sz w:val="21"/>
                <w:szCs w:val="21"/>
                <w:lang w:val="en-US" w:eastAsia="zh-CN"/>
              </w:rPr>
              <w:t>2.1-</w:t>
            </w:r>
            <w:r>
              <w:rPr>
                <w:rFonts w:ascii="宋体" w:hAnsi="宋体" w:cs="宋体"/>
                <w:kern w:val="0"/>
                <w:sz w:val="21"/>
                <w:szCs w:val="21"/>
              </w:rPr>
              <w:t>3</w:t>
            </w:r>
            <w:r>
              <w:rPr>
                <w:rFonts w:hint="eastAsia" w:ascii="宋体" w:hAnsi="宋体" w:cs="宋体"/>
                <w:kern w:val="0"/>
                <w:sz w:val="21"/>
                <w:szCs w:val="21"/>
              </w:rPr>
              <w:t>分，一般得</w:t>
            </w:r>
            <w:r>
              <w:rPr>
                <w:rFonts w:hint="eastAsia" w:ascii="宋体" w:hAnsi="宋体" w:cs="宋体"/>
                <w:kern w:val="0"/>
                <w:sz w:val="21"/>
                <w:szCs w:val="21"/>
                <w:lang w:val="en-US" w:eastAsia="zh-CN"/>
              </w:rPr>
              <w:t>1.1-</w:t>
            </w:r>
            <w:r>
              <w:rPr>
                <w:rFonts w:ascii="宋体" w:hAnsi="宋体" w:cs="宋体"/>
                <w:kern w:val="0"/>
                <w:sz w:val="21"/>
                <w:szCs w:val="21"/>
              </w:rPr>
              <w:t>2</w:t>
            </w:r>
            <w:r>
              <w:rPr>
                <w:rFonts w:hint="eastAsia" w:ascii="宋体" w:hAnsi="宋体" w:cs="宋体"/>
                <w:kern w:val="0"/>
                <w:sz w:val="21"/>
                <w:szCs w:val="21"/>
              </w:rPr>
              <w:t>分，差得1-</w:t>
            </w:r>
            <w:r>
              <w:rPr>
                <w:rFonts w:ascii="宋体" w:hAnsi="宋体" w:cs="宋体"/>
                <w:kern w:val="0"/>
                <w:sz w:val="21"/>
                <w:szCs w:val="21"/>
              </w:rPr>
              <w:t>0</w:t>
            </w:r>
            <w:r>
              <w:rPr>
                <w:rFonts w:hint="eastAsia" w:ascii="宋体" w:hAnsi="宋体" w:cs="宋体"/>
                <w:kern w:val="0"/>
                <w:sz w:val="21"/>
                <w:szCs w:val="21"/>
              </w:rPr>
              <w:t>分；</w:t>
            </w:r>
          </w:p>
          <w:p>
            <w:pPr>
              <w:widowControl/>
              <w:jc w:val="left"/>
              <w:rPr>
                <w:rFonts w:ascii="宋体" w:hAnsi="宋体" w:cs="宋体"/>
                <w:kern w:val="0"/>
                <w:sz w:val="21"/>
                <w:szCs w:val="21"/>
              </w:rPr>
            </w:pPr>
            <w:r>
              <w:rPr>
                <w:rFonts w:hint="eastAsia" w:ascii="宋体" w:hAnsi="宋体" w:cs="宋体"/>
                <w:kern w:val="0"/>
                <w:sz w:val="21"/>
                <w:szCs w:val="21"/>
              </w:rPr>
              <w:t>（未提供样品、未按招标要求制作或提供样品种类数量不全的，样品分为0分）。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00" w:type="dxa"/>
            <w:vAlign w:val="center"/>
          </w:tcPr>
          <w:p>
            <w:pPr>
              <w:spacing w:line="288" w:lineRule="auto"/>
              <w:jc w:val="center"/>
              <w:rPr>
                <w:rFonts w:ascii="宋体" w:hAnsi="宋体"/>
                <w:sz w:val="21"/>
                <w:szCs w:val="21"/>
              </w:rPr>
            </w:pPr>
            <w:r>
              <w:rPr>
                <w:rFonts w:hint="eastAsia" w:ascii="宋体" w:hAnsi="宋体"/>
                <w:sz w:val="21"/>
                <w:szCs w:val="21"/>
              </w:rPr>
              <w:t>检验报告</w:t>
            </w:r>
          </w:p>
        </w:tc>
        <w:tc>
          <w:tcPr>
            <w:tcW w:w="765" w:type="dxa"/>
            <w:vAlign w:val="center"/>
          </w:tcPr>
          <w:p>
            <w:pPr>
              <w:spacing w:line="288" w:lineRule="auto"/>
              <w:jc w:val="center"/>
              <w:rPr>
                <w:rFonts w:hint="default" w:ascii="宋体" w:hAnsi="宋体" w:eastAsiaTheme="minorEastAsia"/>
                <w:spacing w:val="-6"/>
                <w:sz w:val="21"/>
                <w:szCs w:val="21"/>
                <w:lang w:val="en-US" w:eastAsia="zh-CN"/>
              </w:rPr>
            </w:pPr>
            <w:r>
              <w:rPr>
                <w:rFonts w:hint="eastAsia" w:ascii="宋体" w:hAnsi="宋体"/>
                <w:spacing w:val="-6"/>
                <w:sz w:val="21"/>
                <w:szCs w:val="21"/>
                <w:lang w:val="en-US" w:eastAsia="zh-CN"/>
              </w:rPr>
              <w:t>12</w:t>
            </w:r>
          </w:p>
        </w:tc>
        <w:tc>
          <w:tcPr>
            <w:tcW w:w="7216" w:type="dxa"/>
            <w:vAlign w:val="center"/>
          </w:tcPr>
          <w:p>
            <w:pPr>
              <w:widowControl/>
              <w:jc w:val="left"/>
              <w:rPr>
                <w:rFonts w:hint="eastAsia" w:ascii="宋体" w:hAnsi="宋体" w:eastAsia="宋体" w:cs="宋体"/>
                <w:kern w:val="0"/>
                <w:sz w:val="21"/>
                <w:szCs w:val="21"/>
                <w:lang w:eastAsia="zh-CN"/>
              </w:rPr>
            </w:pPr>
            <w:r>
              <w:rPr>
                <w:rFonts w:hint="eastAsia" w:ascii="宋体" w:hAnsi="宋体" w:cs="宋体"/>
                <w:kern w:val="0"/>
                <w:sz w:val="21"/>
                <w:szCs w:val="21"/>
              </w:rPr>
              <w:t>1、2017年1月1日以后的材料检测报告（提供经省级及以上检验部门出具的检测报告），包括（胶合板、刨花板、实木板、五金件、木蜡油、油漆、封边条、塑料连接件</w:t>
            </w:r>
            <w:r>
              <w:rPr>
                <w:rFonts w:hint="eastAsia" w:ascii="宋体" w:hAnsi="宋体" w:cs="宋体"/>
                <w:kern w:val="0"/>
                <w:sz w:val="21"/>
                <w:szCs w:val="21"/>
                <w:lang w:eastAsia="zh-CN"/>
              </w:rPr>
              <w:t>、皮革</w:t>
            </w:r>
            <w:r>
              <w:rPr>
                <w:rFonts w:hint="eastAsia" w:ascii="宋体" w:hAnsi="宋体" w:cs="宋体"/>
                <w:kern w:val="0"/>
                <w:sz w:val="21"/>
                <w:szCs w:val="21"/>
              </w:rPr>
              <w:t>）合格的检测报告，每份得1分，共</w:t>
            </w:r>
            <w:r>
              <w:rPr>
                <w:rFonts w:hint="eastAsia" w:ascii="宋体" w:hAnsi="宋体" w:cs="宋体"/>
                <w:kern w:val="0"/>
                <w:sz w:val="21"/>
                <w:szCs w:val="21"/>
                <w:lang w:val="en-US" w:eastAsia="zh-CN"/>
              </w:rPr>
              <w:t>9</w:t>
            </w:r>
            <w:r>
              <w:rPr>
                <w:rFonts w:hint="eastAsia" w:ascii="宋体" w:hAnsi="宋体" w:cs="宋体"/>
                <w:kern w:val="0"/>
                <w:sz w:val="21"/>
                <w:szCs w:val="21"/>
              </w:rPr>
              <w:t>分。</w:t>
            </w:r>
            <w:r>
              <w:rPr>
                <w:rFonts w:hint="eastAsia" w:ascii="宋体" w:hAnsi="宋体"/>
                <w:spacing w:val="-6"/>
                <w:sz w:val="21"/>
                <w:szCs w:val="21"/>
              </w:rPr>
              <w:t>原件备查,无原件不得分</w:t>
            </w:r>
            <w:r>
              <w:rPr>
                <w:rFonts w:hint="eastAsia" w:ascii="宋体" w:hAnsi="宋体"/>
                <w:spacing w:val="-6"/>
                <w:sz w:val="21"/>
                <w:szCs w:val="21"/>
                <w:lang w:eastAsia="zh-CN"/>
              </w:rPr>
              <w:t>。</w:t>
            </w:r>
          </w:p>
          <w:p>
            <w:pPr>
              <w:widowControl/>
              <w:jc w:val="left"/>
              <w:rPr>
                <w:rFonts w:ascii="宋体" w:hAnsi="宋体" w:cs="宋体"/>
                <w:kern w:val="0"/>
                <w:sz w:val="21"/>
                <w:szCs w:val="21"/>
              </w:rPr>
            </w:pPr>
            <w:r>
              <w:rPr>
                <w:rFonts w:hint="eastAsia" w:ascii="宋体" w:hAnsi="宋体" w:cs="宋体"/>
                <w:kern w:val="0"/>
                <w:sz w:val="21"/>
                <w:szCs w:val="21"/>
              </w:rPr>
              <w:t>2、2017年1月1日以后的成品（桌、椅、柜）检测报告（提供经省级及以上检验部门出具的检测报告），每份得1分，共3分。</w:t>
            </w:r>
            <w:r>
              <w:rPr>
                <w:rFonts w:hint="eastAsia" w:ascii="宋体" w:hAnsi="宋体"/>
                <w:spacing w:val="-6"/>
                <w:sz w:val="21"/>
                <w:szCs w:val="21"/>
              </w:rPr>
              <w:t>原件备查,无原件不得分</w:t>
            </w: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00" w:type="dxa"/>
            <w:vAlign w:val="center"/>
          </w:tcPr>
          <w:p>
            <w:pPr>
              <w:widowControl/>
              <w:jc w:val="center"/>
              <w:rPr>
                <w:rFonts w:hint="eastAsia" w:ascii="宋体" w:hAnsi="宋体" w:cs="宋体" w:eastAsiaTheme="minorEastAsia"/>
                <w:color w:val="auto"/>
                <w:kern w:val="0"/>
                <w:sz w:val="21"/>
                <w:szCs w:val="21"/>
                <w:lang w:val="en-US" w:eastAsia="zh-CN"/>
              </w:rPr>
            </w:pPr>
            <w:r>
              <w:rPr>
                <w:rFonts w:hint="eastAsia" w:ascii="宋体" w:hAnsi="宋体" w:cs="宋体"/>
                <w:color w:val="auto"/>
                <w:kern w:val="0"/>
                <w:sz w:val="21"/>
                <w:szCs w:val="21"/>
                <w:lang w:val="en-US" w:eastAsia="zh-CN"/>
              </w:rPr>
              <w:t>效果图</w:t>
            </w:r>
          </w:p>
        </w:tc>
        <w:tc>
          <w:tcPr>
            <w:tcW w:w="765" w:type="dxa"/>
            <w:vAlign w:val="center"/>
          </w:tcPr>
          <w:p>
            <w:pPr>
              <w:widowControl/>
              <w:jc w:val="center"/>
              <w:rPr>
                <w:rFonts w:hint="eastAsia" w:ascii="宋体" w:hAnsi="宋体" w:cs="宋体" w:eastAsiaTheme="minorEastAsia"/>
                <w:color w:val="auto"/>
                <w:kern w:val="0"/>
                <w:sz w:val="21"/>
                <w:szCs w:val="21"/>
                <w:lang w:val="en-US" w:eastAsia="zh-CN"/>
              </w:rPr>
            </w:pPr>
            <w:r>
              <w:rPr>
                <w:rFonts w:hint="eastAsia" w:ascii="宋体" w:hAnsi="宋体" w:cs="宋体"/>
                <w:color w:val="auto"/>
                <w:kern w:val="0"/>
                <w:sz w:val="21"/>
                <w:szCs w:val="21"/>
                <w:lang w:val="en-US" w:eastAsia="zh-CN"/>
              </w:rPr>
              <w:t>5</w:t>
            </w:r>
          </w:p>
        </w:tc>
        <w:tc>
          <w:tcPr>
            <w:tcW w:w="7216" w:type="dxa"/>
            <w:vAlign w:val="center"/>
          </w:tcPr>
          <w:p>
            <w:pPr>
              <w:widowControl/>
              <w:jc w:val="left"/>
              <w:rPr>
                <w:rFonts w:hint="eastAsia" w:ascii="宋体" w:hAnsi="宋体" w:cs="宋体" w:eastAsiaTheme="minorEastAsia"/>
                <w:color w:val="auto"/>
                <w:kern w:val="0"/>
                <w:sz w:val="21"/>
                <w:szCs w:val="21"/>
                <w:lang w:val="en-US" w:eastAsia="zh-CN"/>
              </w:rPr>
            </w:pPr>
            <w:r>
              <w:rPr>
                <w:rFonts w:hint="eastAsia" w:ascii="宋体" w:hAnsi="宋体" w:cs="宋体"/>
                <w:kern w:val="0"/>
                <w:sz w:val="21"/>
                <w:szCs w:val="21"/>
              </w:rPr>
              <w:t>根据现场勘察及各教室CAD图，绘制产品摆放效果图。优得</w:t>
            </w:r>
            <w:r>
              <w:rPr>
                <w:rFonts w:hint="eastAsia" w:ascii="宋体" w:hAnsi="宋体" w:cs="宋体"/>
                <w:kern w:val="0"/>
                <w:sz w:val="21"/>
                <w:szCs w:val="21"/>
                <w:lang w:val="en-US" w:eastAsia="zh-CN"/>
              </w:rPr>
              <w:t>3.1</w:t>
            </w:r>
            <w:r>
              <w:rPr>
                <w:rFonts w:hint="eastAsia" w:ascii="宋体" w:hAnsi="宋体" w:cs="宋体"/>
                <w:kern w:val="0"/>
                <w:sz w:val="21"/>
                <w:szCs w:val="21"/>
              </w:rPr>
              <w:t>-</w:t>
            </w:r>
            <w:r>
              <w:rPr>
                <w:rFonts w:hint="eastAsia" w:ascii="宋体" w:hAnsi="宋体" w:cs="宋体"/>
                <w:kern w:val="0"/>
                <w:sz w:val="21"/>
                <w:szCs w:val="21"/>
                <w:lang w:val="en-US" w:eastAsia="zh-CN"/>
              </w:rPr>
              <w:t>5</w:t>
            </w:r>
            <w:r>
              <w:rPr>
                <w:rFonts w:hint="eastAsia" w:ascii="宋体" w:hAnsi="宋体" w:cs="宋体"/>
                <w:kern w:val="0"/>
                <w:sz w:val="21"/>
                <w:szCs w:val="21"/>
              </w:rPr>
              <w:t>分，一般得</w:t>
            </w:r>
            <w:r>
              <w:rPr>
                <w:rFonts w:hint="eastAsia" w:ascii="宋体" w:hAnsi="宋体" w:cs="宋体"/>
                <w:kern w:val="0"/>
                <w:sz w:val="21"/>
                <w:szCs w:val="21"/>
                <w:lang w:val="en-US" w:eastAsia="zh-CN"/>
              </w:rPr>
              <w:t>1.1</w:t>
            </w:r>
            <w:r>
              <w:rPr>
                <w:rFonts w:hint="eastAsia" w:ascii="宋体" w:hAnsi="宋体" w:cs="宋体"/>
                <w:kern w:val="0"/>
                <w:sz w:val="21"/>
                <w:szCs w:val="21"/>
              </w:rPr>
              <w:t>-</w:t>
            </w:r>
            <w:r>
              <w:rPr>
                <w:rFonts w:hint="eastAsia" w:ascii="宋体" w:hAnsi="宋体" w:cs="宋体"/>
                <w:kern w:val="0"/>
                <w:sz w:val="21"/>
                <w:szCs w:val="21"/>
                <w:lang w:val="en-US" w:eastAsia="zh-CN"/>
              </w:rPr>
              <w:t>3</w:t>
            </w:r>
            <w:r>
              <w:rPr>
                <w:rFonts w:hint="eastAsia" w:ascii="宋体" w:hAnsi="宋体" w:cs="宋体"/>
                <w:kern w:val="0"/>
                <w:sz w:val="21"/>
                <w:szCs w:val="21"/>
              </w:rPr>
              <w:t>分，差得1-</w:t>
            </w:r>
            <w:r>
              <w:rPr>
                <w:rFonts w:ascii="宋体" w:hAnsi="宋体" w:cs="宋体"/>
                <w:kern w:val="0"/>
                <w:sz w:val="21"/>
                <w:szCs w:val="21"/>
              </w:rPr>
              <w:t>0</w:t>
            </w:r>
            <w:r>
              <w:rPr>
                <w:rFonts w:hint="eastAsia" w:ascii="宋体" w:hAnsi="宋体" w:cs="宋体"/>
                <w:kern w:val="0"/>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00" w:type="dxa"/>
            <w:vAlign w:val="center"/>
          </w:tcPr>
          <w:p>
            <w:pPr>
              <w:widowControl/>
              <w:jc w:val="center"/>
              <w:rPr>
                <w:rFonts w:ascii="宋体" w:hAnsi="宋体" w:cs="宋体"/>
                <w:kern w:val="0"/>
                <w:sz w:val="21"/>
                <w:szCs w:val="21"/>
              </w:rPr>
            </w:pPr>
            <w:r>
              <w:rPr>
                <w:rFonts w:hint="eastAsia" w:ascii="宋体" w:hAnsi="宋体" w:cs="宋体"/>
                <w:kern w:val="0"/>
                <w:sz w:val="21"/>
                <w:szCs w:val="21"/>
              </w:rPr>
              <w:t>生产设备水平</w:t>
            </w:r>
          </w:p>
        </w:tc>
        <w:tc>
          <w:tcPr>
            <w:tcW w:w="765" w:type="dxa"/>
            <w:vAlign w:val="center"/>
          </w:tcPr>
          <w:p>
            <w:pPr>
              <w:widowControl/>
              <w:jc w:val="center"/>
              <w:rPr>
                <w:rFonts w:hint="eastAsia" w:ascii="宋体" w:hAnsi="宋体" w:cs="宋体" w:eastAsiaTheme="minorEastAsia"/>
                <w:kern w:val="0"/>
                <w:sz w:val="21"/>
                <w:szCs w:val="21"/>
                <w:lang w:eastAsia="zh-CN"/>
              </w:rPr>
            </w:pPr>
            <w:r>
              <w:rPr>
                <w:rFonts w:hint="eastAsia" w:ascii="宋体" w:hAnsi="宋体" w:cs="宋体"/>
                <w:kern w:val="0"/>
                <w:sz w:val="21"/>
                <w:szCs w:val="21"/>
                <w:lang w:val="en-US" w:eastAsia="zh-CN"/>
              </w:rPr>
              <w:t>2</w:t>
            </w:r>
          </w:p>
        </w:tc>
        <w:tc>
          <w:tcPr>
            <w:tcW w:w="7216" w:type="dxa"/>
            <w:vAlign w:val="center"/>
          </w:tcPr>
          <w:p>
            <w:pPr>
              <w:widowControl/>
              <w:jc w:val="left"/>
              <w:rPr>
                <w:rFonts w:ascii="宋体" w:hAnsi="宋体" w:cs="宋体"/>
                <w:kern w:val="0"/>
                <w:sz w:val="21"/>
                <w:szCs w:val="21"/>
              </w:rPr>
            </w:pPr>
            <w:r>
              <w:rPr>
                <w:rFonts w:hint="eastAsia" w:ascii="宋体" w:hAnsi="宋体" w:cs="宋体"/>
                <w:kern w:val="0"/>
                <w:sz w:val="21"/>
                <w:szCs w:val="21"/>
              </w:rPr>
              <w:t>根据投标人现有主要设备情况综合评分，得0分～2分。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00" w:type="dxa"/>
            <w:vAlign w:val="center"/>
          </w:tcPr>
          <w:p>
            <w:pPr>
              <w:widowControl/>
              <w:jc w:val="center"/>
              <w:rPr>
                <w:rFonts w:ascii="宋体" w:hAnsi="宋体" w:cs="宋体"/>
                <w:kern w:val="0"/>
                <w:sz w:val="21"/>
                <w:szCs w:val="21"/>
              </w:rPr>
            </w:pPr>
            <w:r>
              <w:rPr>
                <w:rFonts w:hint="eastAsia" w:ascii="宋体" w:hAnsi="宋体" w:cs="宋体"/>
                <w:kern w:val="0"/>
                <w:sz w:val="21"/>
                <w:szCs w:val="21"/>
              </w:rPr>
              <w:t>供货保证体系与措施</w:t>
            </w:r>
          </w:p>
        </w:tc>
        <w:tc>
          <w:tcPr>
            <w:tcW w:w="765" w:type="dxa"/>
            <w:vAlign w:val="center"/>
          </w:tcPr>
          <w:p>
            <w:pPr>
              <w:widowControl/>
              <w:jc w:val="center"/>
              <w:rPr>
                <w:rFonts w:ascii="宋体" w:hAnsi="宋体" w:cs="宋体"/>
                <w:kern w:val="0"/>
                <w:sz w:val="21"/>
                <w:szCs w:val="21"/>
              </w:rPr>
            </w:pPr>
            <w:r>
              <w:rPr>
                <w:rFonts w:ascii="宋体" w:hAnsi="宋体" w:cs="宋体"/>
                <w:kern w:val="0"/>
                <w:sz w:val="21"/>
                <w:szCs w:val="21"/>
              </w:rPr>
              <w:t>3</w:t>
            </w:r>
          </w:p>
        </w:tc>
        <w:tc>
          <w:tcPr>
            <w:tcW w:w="7216" w:type="dxa"/>
            <w:vAlign w:val="center"/>
          </w:tcPr>
          <w:p>
            <w:pPr>
              <w:widowControl/>
              <w:jc w:val="left"/>
              <w:rPr>
                <w:rFonts w:ascii="宋体" w:hAnsi="宋体" w:cs="宋体"/>
                <w:kern w:val="0"/>
                <w:sz w:val="21"/>
                <w:szCs w:val="21"/>
              </w:rPr>
            </w:pPr>
            <w:r>
              <w:rPr>
                <w:rFonts w:hint="eastAsia" w:ascii="宋体" w:hAnsi="宋体" w:cs="宋体"/>
                <w:kern w:val="0"/>
                <w:sz w:val="21"/>
                <w:szCs w:val="21"/>
              </w:rPr>
              <w:t>供货保证方案的可操作性、产品环保性，包括物品供货、验货、安装调试、验收、工作进度表、确保按时交付、正常运行的措施情况的综合评审，优得</w:t>
            </w:r>
            <w:r>
              <w:rPr>
                <w:rFonts w:hint="eastAsia" w:ascii="宋体" w:hAnsi="宋体" w:cs="宋体"/>
                <w:kern w:val="0"/>
                <w:sz w:val="21"/>
                <w:szCs w:val="21"/>
                <w:lang w:val="en-US" w:eastAsia="zh-CN"/>
              </w:rPr>
              <w:t>2.1-</w:t>
            </w:r>
            <w:r>
              <w:rPr>
                <w:rFonts w:ascii="宋体" w:hAnsi="宋体" w:cs="宋体"/>
                <w:kern w:val="0"/>
                <w:sz w:val="21"/>
                <w:szCs w:val="21"/>
              </w:rPr>
              <w:t>3</w:t>
            </w:r>
            <w:r>
              <w:rPr>
                <w:rFonts w:hint="eastAsia" w:ascii="宋体" w:hAnsi="宋体" w:cs="宋体"/>
                <w:kern w:val="0"/>
                <w:sz w:val="21"/>
                <w:szCs w:val="21"/>
              </w:rPr>
              <w:t>分，一般得</w:t>
            </w:r>
            <w:r>
              <w:rPr>
                <w:rFonts w:hint="eastAsia" w:ascii="宋体" w:hAnsi="宋体" w:cs="宋体"/>
                <w:kern w:val="0"/>
                <w:sz w:val="21"/>
                <w:szCs w:val="21"/>
                <w:lang w:val="en-US" w:eastAsia="zh-CN"/>
              </w:rPr>
              <w:t>1.1-</w:t>
            </w:r>
            <w:r>
              <w:rPr>
                <w:rFonts w:ascii="宋体" w:hAnsi="宋体" w:cs="宋体"/>
                <w:kern w:val="0"/>
                <w:sz w:val="21"/>
                <w:szCs w:val="21"/>
              </w:rPr>
              <w:t>2</w:t>
            </w:r>
            <w:r>
              <w:rPr>
                <w:rFonts w:hint="eastAsia" w:ascii="宋体" w:hAnsi="宋体" w:cs="宋体"/>
                <w:kern w:val="0"/>
                <w:sz w:val="21"/>
                <w:szCs w:val="21"/>
              </w:rPr>
              <w:t>分，差得1-</w:t>
            </w:r>
            <w:r>
              <w:rPr>
                <w:rFonts w:ascii="宋体" w:hAnsi="宋体" w:cs="宋体"/>
                <w:kern w:val="0"/>
                <w:sz w:val="21"/>
                <w:szCs w:val="21"/>
              </w:rPr>
              <w:t>0</w:t>
            </w:r>
            <w:r>
              <w:rPr>
                <w:rFonts w:hint="eastAsia" w:ascii="宋体" w:hAnsi="宋体" w:cs="宋体"/>
                <w:kern w:val="0"/>
                <w:sz w:val="21"/>
                <w:szCs w:val="21"/>
              </w:rPr>
              <w:t>分</w:t>
            </w:r>
            <w:r>
              <w:rPr>
                <w:rFonts w:hint="eastAsia" w:ascii="宋体" w:hAnsi="宋体" w:cs="宋体"/>
                <w:kern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00" w:type="dxa"/>
            <w:vAlign w:val="center"/>
          </w:tcPr>
          <w:p>
            <w:pPr>
              <w:spacing w:line="288" w:lineRule="auto"/>
              <w:jc w:val="center"/>
              <w:rPr>
                <w:rFonts w:ascii="宋体" w:hAnsi="宋体"/>
                <w:sz w:val="21"/>
                <w:szCs w:val="21"/>
              </w:rPr>
            </w:pPr>
            <w:r>
              <w:rPr>
                <w:rFonts w:hint="eastAsia" w:ascii="宋体" w:hAnsi="宋体"/>
                <w:sz w:val="21"/>
                <w:szCs w:val="21"/>
              </w:rPr>
              <w:t>售后服务</w:t>
            </w:r>
          </w:p>
        </w:tc>
        <w:tc>
          <w:tcPr>
            <w:tcW w:w="765" w:type="dxa"/>
            <w:vAlign w:val="center"/>
          </w:tcPr>
          <w:p>
            <w:pPr>
              <w:spacing w:line="288" w:lineRule="auto"/>
              <w:jc w:val="center"/>
              <w:rPr>
                <w:rFonts w:ascii="宋体" w:hAnsi="宋体"/>
                <w:spacing w:val="-6"/>
                <w:sz w:val="21"/>
                <w:szCs w:val="21"/>
              </w:rPr>
            </w:pPr>
            <w:r>
              <w:rPr>
                <w:rFonts w:hint="eastAsia" w:ascii="宋体" w:hAnsi="宋体"/>
                <w:spacing w:val="-6"/>
                <w:sz w:val="21"/>
                <w:szCs w:val="21"/>
              </w:rPr>
              <w:t>2</w:t>
            </w:r>
          </w:p>
        </w:tc>
        <w:tc>
          <w:tcPr>
            <w:tcW w:w="7216" w:type="dxa"/>
            <w:vAlign w:val="center"/>
          </w:tcPr>
          <w:p>
            <w:pPr>
              <w:spacing w:line="288" w:lineRule="auto"/>
              <w:rPr>
                <w:rFonts w:ascii="宋体" w:hAnsi="宋体"/>
                <w:bCs/>
                <w:sz w:val="21"/>
                <w:szCs w:val="21"/>
              </w:rPr>
            </w:pPr>
            <w:r>
              <w:rPr>
                <w:rFonts w:hint="eastAsia" w:ascii="宋体" w:hAnsi="宋体"/>
                <w:bCs/>
                <w:sz w:val="21"/>
                <w:szCs w:val="21"/>
              </w:rPr>
              <w:t>根据售后服务体系（至少包括服务保证、服务方案、服务范围、服务承诺的可行性、服务承诺落实的保障措施、配附件及备品备件情况、质量保证期内、外的服务体系等）得0-2分。</w:t>
            </w:r>
          </w:p>
        </w:tc>
      </w:tr>
    </w:tbl>
    <w:p>
      <w:pPr>
        <w:pStyle w:val="2"/>
        <w:rPr>
          <w:rFonts w:hint="eastAsia"/>
        </w:rPr>
      </w:pPr>
    </w:p>
    <w:p>
      <w:pPr>
        <w:widowControl/>
        <w:spacing w:line="400" w:lineRule="exact"/>
        <w:jc w:val="left"/>
        <w:rPr>
          <w:rFonts w:ascii="宋体" w:hAnsi="宋体" w:cs="宋体"/>
          <w:kern w:val="0"/>
          <w:sz w:val="24"/>
        </w:rPr>
      </w:pPr>
      <w:r>
        <w:rPr>
          <w:rFonts w:ascii="宋体" w:hAnsi="宋体" w:cs="宋体"/>
          <w:kern w:val="0"/>
          <w:sz w:val="24"/>
        </w:rPr>
        <w:t>注：1）上述证明材料中的单位名称与</w:t>
      </w:r>
      <w:r>
        <w:rPr>
          <w:rFonts w:hint="eastAsia" w:ascii="宋体" w:hAnsi="宋体" w:cs="宋体"/>
          <w:kern w:val="0"/>
          <w:sz w:val="24"/>
        </w:rPr>
        <w:t>供应商</w:t>
      </w:r>
      <w:r>
        <w:rPr>
          <w:rFonts w:ascii="宋体" w:hAnsi="宋体" w:cs="宋体"/>
          <w:kern w:val="0"/>
          <w:sz w:val="24"/>
        </w:rPr>
        <w:t>的名称必须一致。</w:t>
      </w:r>
      <w:r>
        <w:rPr>
          <w:rFonts w:ascii="宋体" w:hAnsi="宋体" w:cs="宋体"/>
          <w:kern w:val="0"/>
          <w:sz w:val="24"/>
        </w:rPr>
        <w:br w:type="textWrapping"/>
      </w:r>
    </w:p>
    <w:p>
      <w:pPr>
        <w:pStyle w:val="2"/>
        <w:rPr>
          <w:rFonts w:ascii="宋体" w:hAnsi="宋体" w:cs="宋体"/>
          <w:kern w:val="0"/>
          <w:sz w:val="24"/>
        </w:rPr>
      </w:pPr>
    </w:p>
    <w:p>
      <w:pPr>
        <w:pStyle w:val="2"/>
        <w:rPr>
          <w:rFonts w:ascii="宋体" w:hAnsi="宋体" w:cs="宋体"/>
          <w:kern w:val="0"/>
          <w:sz w:val="24"/>
        </w:rPr>
      </w:pPr>
    </w:p>
    <w:p>
      <w:pPr>
        <w:pStyle w:val="2"/>
        <w:rPr>
          <w:rFonts w:ascii="宋体" w:hAnsi="宋体" w:cs="宋体"/>
          <w:kern w:val="0"/>
          <w:sz w:val="24"/>
        </w:rPr>
      </w:pPr>
    </w:p>
    <w:p>
      <w:pPr>
        <w:pStyle w:val="2"/>
        <w:rPr>
          <w:rFonts w:ascii="宋体" w:hAnsi="宋体" w:cs="宋体"/>
          <w:kern w:val="0"/>
          <w:sz w:val="24"/>
        </w:rPr>
      </w:pPr>
    </w:p>
    <w:p>
      <w:pPr>
        <w:pStyle w:val="2"/>
        <w:rPr>
          <w:rFonts w:ascii="宋体" w:hAnsi="宋体" w:cs="宋体"/>
          <w:kern w:val="0"/>
          <w:sz w:val="24"/>
        </w:rPr>
      </w:pPr>
    </w:p>
    <w:p>
      <w:pPr>
        <w:pStyle w:val="2"/>
        <w:rPr>
          <w:rFonts w:ascii="宋体" w:hAnsi="宋体" w:cs="宋体"/>
          <w:kern w:val="0"/>
          <w:sz w:val="24"/>
        </w:rPr>
      </w:pPr>
    </w:p>
    <w:p>
      <w:pPr>
        <w:pStyle w:val="2"/>
        <w:rPr>
          <w:rFonts w:ascii="宋体" w:hAnsi="宋体" w:cs="宋体"/>
          <w:kern w:val="0"/>
          <w:sz w:val="24"/>
        </w:rPr>
      </w:pPr>
    </w:p>
    <w:p>
      <w:pPr>
        <w:pStyle w:val="2"/>
        <w:rPr>
          <w:rFonts w:ascii="宋体" w:hAnsi="宋体" w:cs="宋体"/>
          <w:kern w:val="0"/>
          <w:sz w:val="24"/>
        </w:rPr>
      </w:pPr>
    </w:p>
    <w:p>
      <w:pPr>
        <w:pStyle w:val="2"/>
        <w:rPr>
          <w:rFonts w:ascii="宋体" w:hAnsi="宋体" w:cs="宋体"/>
          <w:kern w:val="0"/>
          <w:sz w:val="24"/>
        </w:rPr>
      </w:pPr>
    </w:p>
    <w:p>
      <w:pPr>
        <w:pStyle w:val="2"/>
        <w:rPr>
          <w:rFonts w:ascii="宋体" w:hAnsi="宋体" w:cs="宋体"/>
          <w:kern w:val="0"/>
          <w:sz w:val="24"/>
        </w:rPr>
      </w:pPr>
    </w:p>
    <w:p>
      <w:pPr>
        <w:pStyle w:val="2"/>
        <w:rPr>
          <w:rFonts w:ascii="宋体" w:hAnsi="宋体" w:cs="宋体"/>
          <w:kern w:val="0"/>
          <w:sz w:val="24"/>
        </w:rPr>
      </w:pPr>
    </w:p>
    <w:p>
      <w:pPr>
        <w:pStyle w:val="2"/>
        <w:rPr>
          <w:rFonts w:ascii="宋体" w:hAnsi="宋体" w:cs="宋体"/>
          <w:kern w:val="0"/>
          <w:sz w:val="24"/>
        </w:rPr>
      </w:pPr>
    </w:p>
    <w:p>
      <w:pPr>
        <w:pStyle w:val="2"/>
        <w:rPr>
          <w:rFonts w:ascii="宋体" w:hAnsi="宋体" w:cs="宋体"/>
          <w:kern w:val="0"/>
          <w:sz w:val="24"/>
        </w:rPr>
      </w:pPr>
    </w:p>
    <w:p>
      <w:pPr>
        <w:pStyle w:val="2"/>
        <w:rPr>
          <w:rFonts w:ascii="宋体" w:hAnsi="宋体" w:cs="宋体"/>
          <w:kern w:val="0"/>
          <w:sz w:val="24"/>
        </w:rPr>
      </w:pPr>
    </w:p>
    <w:p>
      <w:pPr>
        <w:pStyle w:val="2"/>
        <w:rPr>
          <w:rFonts w:ascii="宋体" w:hAnsi="宋体" w:cs="宋体"/>
          <w:kern w:val="0"/>
          <w:sz w:val="24"/>
        </w:rPr>
      </w:pPr>
    </w:p>
    <w:p>
      <w:pPr>
        <w:pStyle w:val="2"/>
        <w:rPr>
          <w:rFonts w:ascii="宋体" w:hAnsi="宋体" w:cs="宋体"/>
          <w:kern w:val="0"/>
          <w:sz w:val="24"/>
        </w:rPr>
      </w:pPr>
    </w:p>
    <w:p>
      <w:pPr>
        <w:pStyle w:val="2"/>
        <w:rPr>
          <w:rFonts w:ascii="宋体" w:hAnsi="宋体" w:cs="宋体"/>
          <w:kern w:val="0"/>
          <w:sz w:val="24"/>
        </w:rPr>
      </w:pPr>
    </w:p>
    <w:p>
      <w:pPr>
        <w:pStyle w:val="2"/>
        <w:rPr>
          <w:rFonts w:ascii="宋体" w:hAnsi="宋体" w:cs="宋体"/>
          <w:kern w:val="0"/>
          <w:sz w:val="24"/>
        </w:rPr>
      </w:pPr>
    </w:p>
    <w:p>
      <w:pPr>
        <w:pStyle w:val="2"/>
        <w:rPr>
          <w:rFonts w:ascii="宋体" w:hAnsi="宋体" w:cs="宋体"/>
          <w:kern w:val="0"/>
          <w:sz w:val="24"/>
        </w:rPr>
      </w:pPr>
    </w:p>
    <w:p>
      <w:pPr>
        <w:pStyle w:val="2"/>
        <w:rPr>
          <w:rFonts w:ascii="宋体" w:hAnsi="宋体" w:cs="宋体"/>
          <w:kern w:val="0"/>
          <w:sz w:val="24"/>
        </w:rPr>
      </w:pPr>
    </w:p>
    <w:p>
      <w:pPr>
        <w:pStyle w:val="2"/>
        <w:rPr>
          <w:rFonts w:ascii="宋体" w:hAnsi="宋体" w:cs="宋体"/>
          <w:kern w:val="0"/>
          <w:sz w:val="24"/>
        </w:rPr>
      </w:pPr>
    </w:p>
    <w:p>
      <w:pPr>
        <w:pStyle w:val="2"/>
        <w:rPr>
          <w:rFonts w:ascii="宋体" w:hAnsi="宋体" w:cs="宋体"/>
          <w:kern w:val="0"/>
          <w:sz w:val="24"/>
        </w:rPr>
      </w:pPr>
    </w:p>
    <w:p>
      <w:pPr>
        <w:pStyle w:val="2"/>
        <w:rPr>
          <w:rFonts w:ascii="宋体" w:hAnsi="宋体" w:cs="宋体"/>
          <w:kern w:val="0"/>
          <w:sz w:val="24"/>
        </w:rPr>
      </w:pPr>
    </w:p>
    <w:p>
      <w:pPr>
        <w:pStyle w:val="2"/>
        <w:rPr>
          <w:rFonts w:ascii="宋体" w:hAnsi="宋体" w:cs="宋体"/>
          <w:kern w:val="0"/>
          <w:sz w:val="24"/>
        </w:rPr>
      </w:pPr>
    </w:p>
    <w:p>
      <w:pPr>
        <w:pStyle w:val="2"/>
        <w:rPr>
          <w:rFonts w:ascii="宋体" w:hAnsi="宋体" w:cs="宋体"/>
          <w:kern w:val="0"/>
          <w:sz w:val="24"/>
        </w:rPr>
      </w:pPr>
    </w:p>
    <w:p>
      <w:pPr>
        <w:pStyle w:val="2"/>
        <w:rPr>
          <w:rFonts w:ascii="宋体" w:hAnsi="宋体" w:cs="宋体"/>
          <w:kern w:val="0"/>
          <w:sz w:val="24"/>
        </w:rPr>
      </w:pPr>
    </w:p>
    <w:p>
      <w:pPr>
        <w:pStyle w:val="2"/>
        <w:rPr>
          <w:rFonts w:ascii="宋体" w:hAnsi="宋体" w:cs="宋体"/>
          <w:kern w:val="0"/>
          <w:sz w:val="24"/>
        </w:rPr>
      </w:pPr>
    </w:p>
    <w:p>
      <w:pPr>
        <w:pStyle w:val="2"/>
        <w:rPr>
          <w:rFonts w:ascii="宋体" w:hAnsi="宋体" w:cs="宋体"/>
          <w:kern w:val="0"/>
          <w:sz w:val="24"/>
        </w:rPr>
      </w:pPr>
    </w:p>
    <w:p>
      <w:pPr>
        <w:pStyle w:val="2"/>
        <w:rPr>
          <w:rFonts w:ascii="宋体" w:hAnsi="宋体" w:cs="宋体"/>
          <w:kern w:val="0"/>
          <w:sz w:val="24"/>
        </w:rPr>
      </w:pPr>
    </w:p>
    <w:p>
      <w:pPr>
        <w:pStyle w:val="2"/>
        <w:rPr>
          <w:rFonts w:ascii="宋体" w:hAnsi="宋体" w:cs="宋体"/>
          <w:kern w:val="0"/>
          <w:sz w:val="24"/>
        </w:rPr>
      </w:pPr>
    </w:p>
    <w:p>
      <w:pPr>
        <w:numPr>
          <w:ilvl w:val="0"/>
          <w:numId w:val="4"/>
        </w:numPr>
        <w:spacing w:line="360" w:lineRule="auto"/>
        <w:jc w:val="center"/>
        <w:rPr>
          <w:rFonts w:asciiTheme="minorEastAsia" w:hAnsiTheme="minorEastAsia" w:eastAsiaTheme="minorEastAsia"/>
          <w:b/>
          <w:sz w:val="36"/>
          <w:szCs w:val="36"/>
        </w:rPr>
      </w:pPr>
      <w:r>
        <w:rPr>
          <w:rFonts w:hint="eastAsia" w:asciiTheme="minorEastAsia" w:hAnsiTheme="minorEastAsia" w:eastAsiaTheme="minorEastAsia"/>
          <w:b/>
          <w:sz w:val="36"/>
          <w:szCs w:val="36"/>
        </w:rPr>
        <w:t>公开招标需求</w:t>
      </w:r>
    </w:p>
    <w:p>
      <w:pPr>
        <w:tabs>
          <w:tab w:val="left" w:pos="1320"/>
        </w:tabs>
        <w:wordWrap w:val="0"/>
        <w:adjustRightInd w:val="0"/>
        <w:spacing w:line="360" w:lineRule="auto"/>
        <w:ind w:firstLine="480" w:firstLineChars="200"/>
        <w:textAlignment w:val="baseline"/>
        <w:rPr>
          <w:rFonts w:hint="eastAsia" w:ascii="宋体" w:hAnsi="宋体"/>
          <w:b/>
          <w:sz w:val="24"/>
          <w:szCs w:val="24"/>
        </w:rPr>
      </w:pPr>
      <w:r>
        <w:rPr>
          <w:rFonts w:hint="eastAsia" w:ascii="宋体" w:hAnsi="宋体" w:eastAsia="Times New Roman"/>
          <w:b/>
          <w:sz w:val="24"/>
          <w:szCs w:val="24"/>
        </w:rPr>
        <w:t>一、</w:t>
      </w:r>
      <w:r>
        <w:rPr>
          <w:rFonts w:hint="eastAsia" w:ascii="宋体" w:hAnsi="宋体"/>
          <w:b/>
          <w:sz w:val="24"/>
          <w:szCs w:val="24"/>
        </w:rPr>
        <w:t>产品技术要求</w:t>
      </w:r>
    </w:p>
    <w:p>
      <w:pPr>
        <w:widowControl/>
        <w:spacing w:line="360" w:lineRule="auto"/>
        <w:ind w:left="60" w:right="60" w:firstLine="540"/>
        <w:jc w:val="left"/>
        <w:rPr>
          <w:rFonts w:hint="eastAsia" w:ascii="宋体" w:hAnsi="宋体" w:eastAsia="Times New Roman"/>
          <w:sz w:val="24"/>
          <w:szCs w:val="24"/>
        </w:rPr>
      </w:pPr>
      <w:r>
        <w:rPr>
          <w:rFonts w:hint="eastAsia" w:ascii="宋体" w:hAnsi="宋体" w:eastAsia="Times New Roman"/>
          <w:sz w:val="24"/>
          <w:szCs w:val="24"/>
        </w:rPr>
        <w:t>投标人须按有关标准及规范完成本次招标</w:t>
      </w:r>
      <w:r>
        <w:rPr>
          <w:rFonts w:hint="eastAsia" w:ascii="宋体" w:hAnsi="宋体" w:eastAsia="Times New Roman"/>
          <w:sz w:val="24"/>
          <w:szCs w:val="24"/>
          <w:lang w:eastAsia="zh-CN"/>
        </w:rPr>
        <w:t>三门县中心幼儿园平安路分园幼儿桌椅及教玩具采购项目</w:t>
      </w:r>
      <w:r>
        <w:rPr>
          <w:rFonts w:hint="eastAsia" w:ascii="宋体" w:hAnsi="宋体" w:eastAsia="Times New Roman"/>
          <w:sz w:val="24"/>
          <w:szCs w:val="24"/>
        </w:rPr>
        <w:t>所包含的的</w:t>
      </w:r>
      <w:r>
        <w:rPr>
          <w:rFonts w:hint="eastAsia" w:ascii="宋体" w:hAnsi="宋体" w:eastAsia="Times New Roman"/>
          <w:sz w:val="24"/>
          <w:szCs w:val="24"/>
          <w:lang w:eastAsia="zh-CN"/>
        </w:rPr>
        <w:t>幼教玩具</w:t>
      </w:r>
      <w:r>
        <w:rPr>
          <w:rFonts w:hint="eastAsia" w:ascii="宋体" w:hAnsi="宋体" w:eastAsia="Times New Roman"/>
          <w:sz w:val="24"/>
          <w:szCs w:val="24"/>
        </w:rPr>
        <w:t>的</w:t>
      </w:r>
      <w:r>
        <w:rPr>
          <w:rFonts w:hint="eastAsia" w:ascii="宋体" w:hAnsi="宋体" w:eastAsia="Times New Roman"/>
          <w:sz w:val="24"/>
          <w:szCs w:val="24"/>
          <w:lang w:eastAsia="zh-CN"/>
        </w:rPr>
        <w:t>供应、安装、调试、检测、验收直至交付使用及售后服务。</w:t>
      </w:r>
    </w:p>
    <w:p>
      <w:pPr>
        <w:wordWrap w:val="0"/>
        <w:adjustRightInd w:val="0"/>
        <w:snapToGrid w:val="0"/>
        <w:spacing w:line="380" w:lineRule="atLeast"/>
        <w:ind w:firstLine="480" w:firstLineChars="200"/>
        <w:textAlignment w:val="baseline"/>
        <w:rPr>
          <w:rFonts w:hint="eastAsia" w:ascii="宋体" w:hAnsi="宋体" w:eastAsia="Times New Roman"/>
          <w:sz w:val="24"/>
          <w:szCs w:val="24"/>
        </w:rPr>
      </w:pPr>
      <w:r>
        <w:rPr>
          <w:rFonts w:hint="eastAsia" w:ascii="宋体" w:hAnsi="宋体" w:eastAsia="Times New Roman"/>
          <w:sz w:val="24"/>
          <w:szCs w:val="24"/>
        </w:rPr>
        <w:t>根据招标文件，各投标人须按国家有关标准及规范完成下列工作：</w:t>
      </w:r>
    </w:p>
    <w:p>
      <w:pPr>
        <w:wordWrap w:val="0"/>
        <w:adjustRightInd w:val="0"/>
        <w:snapToGrid w:val="0"/>
        <w:spacing w:line="440" w:lineRule="exact"/>
        <w:ind w:firstLine="480" w:firstLineChars="200"/>
        <w:textAlignment w:val="baseline"/>
        <w:rPr>
          <w:rFonts w:hint="eastAsia" w:ascii="宋体" w:hAnsi="宋体" w:eastAsia="Times New Roman"/>
          <w:b/>
          <w:kern w:val="0"/>
          <w:sz w:val="24"/>
          <w:szCs w:val="24"/>
        </w:rPr>
      </w:pPr>
      <w:r>
        <w:rPr>
          <w:rFonts w:hint="eastAsia" w:ascii="宋体" w:hAnsi="宋体" w:eastAsia="Times New Roman"/>
          <w:b/>
          <w:kern w:val="0"/>
          <w:sz w:val="24"/>
          <w:szCs w:val="24"/>
        </w:rPr>
        <w:t>（一）设备（材料）要求</w:t>
      </w:r>
    </w:p>
    <w:p>
      <w:pPr>
        <w:tabs>
          <w:tab w:val="left" w:pos="1365"/>
        </w:tabs>
        <w:wordWrap w:val="0"/>
        <w:adjustRightInd w:val="0"/>
        <w:spacing w:line="440" w:lineRule="exact"/>
        <w:ind w:firstLine="480" w:firstLineChars="200"/>
        <w:jc w:val="left"/>
        <w:textAlignment w:val="baseline"/>
        <w:rPr>
          <w:rFonts w:hint="eastAsia" w:ascii="宋体" w:hAnsi="宋体" w:eastAsia="Times New Roman"/>
          <w:sz w:val="24"/>
          <w:szCs w:val="24"/>
        </w:rPr>
      </w:pPr>
      <w:r>
        <w:rPr>
          <w:rFonts w:hint="eastAsia" w:ascii="宋体" w:hAnsi="宋体" w:eastAsia="Times New Roman"/>
          <w:sz w:val="24"/>
          <w:szCs w:val="24"/>
        </w:rPr>
        <w:t>1、投标人投标提供的</w:t>
      </w:r>
      <w:r>
        <w:rPr>
          <w:rFonts w:hint="eastAsia" w:ascii="宋体" w:hAnsi="宋体" w:eastAsia="宋体"/>
          <w:sz w:val="24"/>
          <w:szCs w:val="24"/>
          <w:lang w:val="en-US" w:eastAsia="zh-CN"/>
        </w:rPr>
        <w:t>产品</w:t>
      </w:r>
      <w:r>
        <w:rPr>
          <w:rFonts w:hint="eastAsia" w:ascii="宋体" w:hAnsi="宋体" w:eastAsia="Times New Roman"/>
          <w:sz w:val="24"/>
          <w:szCs w:val="24"/>
        </w:rPr>
        <w:t>必须是厂商原装的、全新的，型号、性能及指标符合国家及招标文件提出的有关技术、质量、安全标准。</w:t>
      </w:r>
    </w:p>
    <w:p>
      <w:pPr>
        <w:tabs>
          <w:tab w:val="left" w:pos="1365"/>
        </w:tabs>
        <w:wordWrap w:val="0"/>
        <w:adjustRightInd w:val="0"/>
        <w:spacing w:line="440" w:lineRule="exact"/>
        <w:ind w:firstLine="480" w:firstLineChars="200"/>
        <w:jc w:val="left"/>
        <w:textAlignment w:val="baseline"/>
        <w:rPr>
          <w:rFonts w:ascii="宋体" w:hAnsi="宋体" w:eastAsia="Times New Roman"/>
          <w:sz w:val="24"/>
          <w:szCs w:val="24"/>
        </w:rPr>
      </w:pPr>
      <w:r>
        <w:rPr>
          <w:rFonts w:hint="eastAsia" w:ascii="宋体" w:hAnsi="宋体" w:eastAsia="Times New Roman"/>
          <w:sz w:val="24"/>
          <w:szCs w:val="24"/>
        </w:rPr>
        <w:t>2、所有</w:t>
      </w:r>
      <w:r>
        <w:rPr>
          <w:rFonts w:hint="eastAsia" w:ascii="宋体" w:hAnsi="宋体" w:eastAsia="宋体"/>
          <w:sz w:val="24"/>
          <w:szCs w:val="24"/>
          <w:lang w:val="en-US" w:eastAsia="zh-CN"/>
        </w:rPr>
        <w:t>产品</w:t>
      </w:r>
      <w:r>
        <w:rPr>
          <w:rFonts w:hint="eastAsia" w:ascii="宋体" w:hAnsi="宋体" w:eastAsia="Times New Roman"/>
          <w:sz w:val="24"/>
          <w:szCs w:val="24"/>
        </w:rPr>
        <w:t>在</w:t>
      </w:r>
      <w:r>
        <w:rPr>
          <w:rFonts w:hint="eastAsia" w:ascii="宋体" w:hAnsi="宋体" w:eastAsia="宋体"/>
          <w:sz w:val="24"/>
          <w:szCs w:val="24"/>
          <w:lang w:val="en-US" w:eastAsia="zh-CN"/>
        </w:rPr>
        <w:t>收货开箱</w:t>
      </w:r>
      <w:r>
        <w:rPr>
          <w:rFonts w:hint="eastAsia" w:ascii="宋体" w:hAnsi="宋体" w:eastAsia="Times New Roman"/>
          <w:sz w:val="24"/>
          <w:szCs w:val="24"/>
        </w:rPr>
        <w:t>检验时必须完好，无破损，配置与装箱单相符。数量、质量及性能不低于本招标文件提出的要求。</w:t>
      </w:r>
    </w:p>
    <w:p>
      <w:pPr>
        <w:tabs>
          <w:tab w:val="left" w:pos="1365"/>
        </w:tabs>
        <w:wordWrap w:val="0"/>
        <w:adjustRightInd w:val="0"/>
        <w:spacing w:line="440" w:lineRule="exact"/>
        <w:ind w:firstLine="480" w:firstLineChars="200"/>
        <w:jc w:val="left"/>
        <w:textAlignment w:val="baseline"/>
        <w:rPr>
          <w:rFonts w:hint="eastAsia" w:ascii="宋体" w:hAnsi="宋体" w:eastAsia="Times New Roman"/>
          <w:sz w:val="24"/>
          <w:szCs w:val="24"/>
        </w:rPr>
      </w:pPr>
      <w:r>
        <w:rPr>
          <w:rFonts w:hint="eastAsia" w:ascii="宋体" w:hAnsi="宋体" w:eastAsia="Times New Roman"/>
          <w:sz w:val="24"/>
          <w:szCs w:val="24"/>
        </w:rPr>
        <w:t>3、</w:t>
      </w:r>
      <w:r>
        <w:rPr>
          <w:rFonts w:hint="eastAsia" w:ascii="宋体" w:hAnsi="宋体" w:eastAsia="宋体"/>
          <w:sz w:val="24"/>
          <w:szCs w:val="24"/>
          <w:lang w:val="en-US" w:eastAsia="zh-CN"/>
        </w:rPr>
        <w:t>产品</w:t>
      </w:r>
      <w:r>
        <w:rPr>
          <w:rFonts w:hint="eastAsia" w:ascii="宋体" w:hAnsi="宋体" w:eastAsia="Times New Roman"/>
          <w:sz w:val="24"/>
          <w:szCs w:val="24"/>
        </w:rPr>
        <w:t>外观清洁，标记编号以及盘面显示等字体清晰，明确。铭牌、使用指示、警告指示应以中文或英文及易懂的通用符号来表示；应准确无误地表明</w:t>
      </w:r>
      <w:r>
        <w:rPr>
          <w:rFonts w:hint="eastAsia" w:ascii="宋体" w:hAnsi="宋体" w:eastAsia="宋体"/>
          <w:sz w:val="24"/>
          <w:szCs w:val="24"/>
          <w:lang w:val="en-US" w:eastAsia="zh-CN"/>
        </w:rPr>
        <w:t>产品</w:t>
      </w:r>
      <w:r>
        <w:rPr>
          <w:rFonts w:hint="eastAsia" w:ascii="宋体" w:hAnsi="宋体" w:eastAsia="Times New Roman"/>
          <w:sz w:val="24"/>
          <w:szCs w:val="24"/>
        </w:rPr>
        <w:t>之型号、规格、制造厂及生产或出厂日期。</w:t>
      </w:r>
    </w:p>
    <w:p>
      <w:pPr>
        <w:tabs>
          <w:tab w:val="left" w:pos="1365"/>
        </w:tabs>
        <w:wordWrap w:val="0"/>
        <w:adjustRightInd w:val="0"/>
        <w:spacing w:line="440" w:lineRule="exact"/>
        <w:ind w:firstLine="480" w:firstLineChars="200"/>
        <w:jc w:val="left"/>
        <w:textAlignment w:val="baseline"/>
        <w:rPr>
          <w:rFonts w:hint="eastAsia" w:ascii="宋体" w:hAnsi="宋体" w:eastAsia="Times New Roman"/>
          <w:sz w:val="24"/>
          <w:szCs w:val="24"/>
        </w:rPr>
      </w:pPr>
      <w:r>
        <w:rPr>
          <w:rFonts w:hint="eastAsia" w:ascii="宋体" w:hAnsi="宋体" w:eastAsia="Times New Roman"/>
          <w:sz w:val="24"/>
          <w:szCs w:val="24"/>
        </w:rPr>
        <w:t>4、对于影响</w:t>
      </w:r>
      <w:r>
        <w:rPr>
          <w:rFonts w:hint="eastAsia" w:ascii="宋体" w:hAnsi="宋体" w:eastAsia="宋体"/>
          <w:sz w:val="24"/>
          <w:szCs w:val="24"/>
          <w:lang w:val="en-US" w:eastAsia="zh-CN"/>
        </w:rPr>
        <w:t>产品</w:t>
      </w:r>
      <w:r>
        <w:rPr>
          <w:rFonts w:hint="eastAsia" w:ascii="宋体" w:hAnsi="宋体" w:eastAsia="Times New Roman"/>
          <w:sz w:val="24"/>
          <w:szCs w:val="24"/>
        </w:rPr>
        <w:t>正常工作的必要组成部分，无论在技术规范中指出与否，投标人都应提供并在投标文件中明确列出。</w:t>
      </w:r>
    </w:p>
    <w:p>
      <w:pPr>
        <w:tabs>
          <w:tab w:val="left" w:pos="1365"/>
        </w:tabs>
        <w:wordWrap w:val="0"/>
        <w:adjustRightInd w:val="0"/>
        <w:spacing w:line="440" w:lineRule="exact"/>
        <w:ind w:firstLine="480" w:firstLineChars="200"/>
        <w:jc w:val="left"/>
        <w:textAlignment w:val="baseline"/>
        <w:rPr>
          <w:rFonts w:hint="eastAsia" w:ascii="宋体" w:hAnsi="宋体" w:eastAsia="Times New Roman"/>
          <w:sz w:val="24"/>
          <w:szCs w:val="24"/>
        </w:rPr>
      </w:pPr>
      <w:r>
        <w:rPr>
          <w:rFonts w:hint="eastAsia" w:ascii="宋体" w:hAnsi="宋体" w:eastAsia="Times New Roman"/>
          <w:sz w:val="24"/>
          <w:szCs w:val="24"/>
        </w:rPr>
        <w:t>5、所有货物提供出厂合格证等质量证明文件，国外生产的必须有合法的进货渠道证明，如海关报关单、原产地证明、商检证明等。</w:t>
      </w:r>
    </w:p>
    <w:p>
      <w:pPr>
        <w:wordWrap w:val="0"/>
        <w:adjustRightInd w:val="0"/>
        <w:snapToGrid w:val="0"/>
        <w:spacing w:line="440" w:lineRule="exact"/>
        <w:ind w:firstLine="480" w:firstLineChars="200"/>
        <w:textAlignment w:val="baseline"/>
        <w:rPr>
          <w:rFonts w:hint="eastAsia" w:ascii="宋体" w:hAnsi="宋体" w:eastAsia="Times New Roman"/>
          <w:b/>
          <w:kern w:val="0"/>
          <w:sz w:val="24"/>
          <w:szCs w:val="24"/>
        </w:rPr>
      </w:pPr>
      <w:r>
        <w:rPr>
          <w:rFonts w:hint="eastAsia" w:ascii="宋体" w:hAnsi="宋体" w:eastAsia="Times New Roman"/>
          <w:b/>
          <w:kern w:val="0"/>
          <w:sz w:val="24"/>
          <w:szCs w:val="24"/>
        </w:rPr>
        <w:t>（二）</w:t>
      </w:r>
      <w:r>
        <w:rPr>
          <w:rFonts w:hint="eastAsia" w:ascii="宋体" w:hAnsi="宋体"/>
          <w:b/>
          <w:kern w:val="0"/>
          <w:sz w:val="24"/>
          <w:szCs w:val="24"/>
        </w:rPr>
        <w:t>制作</w:t>
      </w:r>
      <w:r>
        <w:rPr>
          <w:rFonts w:hint="eastAsia" w:ascii="宋体" w:hAnsi="宋体" w:eastAsia="Times New Roman"/>
          <w:b/>
          <w:kern w:val="0"/>
          <w:sz w:val="24"/>
          <w:szCs w:val="24"/>
        </w:rPr>
        <w:t>要求：</w:t>
      </w:r>
    </w:p>
    <w:p>
      <w:pPr>
        <w:tabs>
          <w:tab w:val="left" w:pos="1365"/>
        </w:tabs>
        <w:wordWrap w:val="0"/>
        <w:adjustRightInd w:val="0"/>
        <w:spacing w:line="440" w:lineRule="exact"/>
        <w:ind w:firstLine="480" w:firstLineChars="200"/>
        <w:jc w:val="left"/>
        <w:textAlignment w:val="baseline"/>
        <w:rPr>
          <w:rFonts w:hint="eastAsia" w:ascii="宋体" w:hAnsi="宋体" w:eastAsia="Times New Roman"/>
          <w:sz w:val="24"/>
          <w:szCs w:val="24"/>
        </w:rPr>
      </w:pPr>
      <w:r>
        <w:rPr>
          <w:rFonts w:hint="eastAsia" w:ascii="宋体" w:hAnsi="宋体" w:eastAsia="宋体"/>
          <w:sz w:val="24"/>
          <w:szCs w:val="24"/>
          <w:lang w:eastAsia="zh-CN"/>
        </w:rPr>
        <w:t>幼教玩具</w:t>
      </w:r>
      <w:r>
        <w:rPr>
          <w:rFonts w:hint="eastAsia" w:ascii="宋体" w:hAnsi="宋体" w:eastAsia="Times New Roman"/>
          <w:sz w:val="24"/>
          <w:szCs w:val="24"/>
        </w:rPr>
        <w:t>产品必须精工制作，</w:t>
      </w:r>
      <w:r>
        <w:rPr>
          <w:rFonts w:hint="eastAsia" w:ascii="宋体" w:hAnsi="宋体" w:eastAsia="宋体"/>
          <w:sz w:val="24"/>
          <w:szCs w:val="24"/>
          <w:lang w:val="en-US" w:eastAsia="zh-CN"/>
        </w:rPr>
        <w:t>符合国家相关标准</w:t>
      </w:r>
      <w:r>
        <w:rPr>
          <w:rFonts w:hint="eastAsia" w:ascii="宋体" w:hAnsi="宋体" w:eastAsia="Times New Roman"/>
          <w:sz w:val="24"/>
          <w:szCs w:val="24"/>
        </w:rPr>
        <w:t>。</w:t>
      </w:r>
    </w:p>
    <w:p>
      <w:pPr>
        <w:wordWrap w:val="0"/>
        <w:adjustRightInd w:val="0"/>
        <w:snapToGrid w:val="0"/>
        <w:spacing w:line="440" w:lineRule="exact"/>
        <w:ind w:firstLine="480" w:firstLineChars="200"/>
        <w:textAlignment w:val="baseline"/>
        <w:rPr>
          <w:rFonts w:hint="eastAsia" w:ascii="宋体" w:hAnsi="宋体" w:eastAsia="Times New Roman"/>
          <w:b/>
          <w:kern w:val="0"/>
          <w:sz w:val="24"/>
          <w:szCs w:val="24"/>
        </w:rPr>
      </w:pPr>
      <w:r>
        <w:rPr>
          <w:rFonts w:hint="eastAsia" w:ascii="宋体" w:hAnsi="宋体" w:eastAsia="Times New Roman"/>
          <w:b/>
          <w:kern w:val="0"/>
          <w:sz w:val="24"/>
          <w:szCs w:val="24"/>
        </w:rPr>
        <w:t>（三）数量调整</w:t>
      </w:r>
    </w:p>
    <w:p>
      <w:pPr>
        <w:wordWrap w:val="0"/>
        <w:adjustRightInd w:val="0"/>
        <w:snapToGrid w:val="0"/>
        <w:spacing w:line="440" w:lineRule="exact"/>
        <w:ind w:firstLine="480" w:firstLineChars="200"/>
        <w:textAlignment w:val="baseline"/>
        <w:rPr>
          <w:rFonts w:hint="eastAsia" w:ascii="宋体" w:hAnsi="宋体" w:eastAsia="Times New Roman"/>
          <w:kern w:val="0"/>
          <w:sz w:val="24"/>
          <w:szCs w:val="24"/>
        </w:rPr>
      </w:pPr>
      <w:r>
        <w:rPr>
          <w:rFonts w:hint="eastAsia" w:ascii="宋体" w:hAnsi="宋体" w:eastAsia="Times New Roman"/>
          <w:kern w:val="0"/>
          <w:sz w:val="24"/>
          <w:szCs w:val="24"/>
        </w:rPr>
        <w:t>采购人保留在签约时调整部分方案及定购</w:t>
      </w:r>
      <w:r>
        <w:rPr>
          <w:rFonts w:hint="eastAsia" w:ascii="宋体" w:hAnsi="宋体" w:eastAsia="宋体"/>
          <w:kern w:val="0"/>
          <w:sz w:val="24"/>
          <w:szCs w:val="24"/>
          <w:lang w:val="en-US" w:eastAsia="zh-CN"/>
        </w:rPr>
        <w:t>产品</w:t>
      </w:r>
      <w:r>
        <w:rPr>
          <w:rFonts w:hint="eastAsia" w:ascii="宋体" w:hAnsi="宋体" w:eastAsia="Times New Roman"/>
          <w:kern w:val="0"/>
          <w:sz w:val="24"/>
          <w:szCs w:val="24"/>
        </w:rPr>
        <w:t>数量和服务的权力，投标人应对系统方案中</w:t>
      </w:r>
      <w:r>
        <w:rPr>
          <w:rFonts w:hint="eastAsia" w:ascii="宋体" w:hAnsi="宋体" w:eastAsia="宋体"/>
          <w:kern w:val="0"/>
          <w:sz w:val="24"/>
          <w:szCs w:val="24"/>
          <w:lang w:val="en-US" w:eastAsia="zh-CN"/>
        </w:rPr>
        <w:t>产品</w:t>
      </w:r>
      <w:r>
        <w:rPr>
          <w:rFonts w:hint="eastAsia" w:ascii="宋体" w:hAnsi="宋体" w:eastAsia="Times New Roman"/>
          <w:kern w:val="0"/>
          <w:sz w:val="24"/>
          <w:szCs w:val="24"/>
        </w:rPr>
        <w:t>和服务明细报价，按投标单价不变的前提下进行调整，双方不得拒绝。</w:t>
      </w:r>
    </w:p>
    <w:p>
      <w:pPr>
        <w:wordWrap w:val="0"/>
        <w:adjustRightInd w:val="0"/>
        <w:snapToGrid w:val="0"/>
        <w:spacing w:line="440" w:lineRule="exact"/>
        <w:ind w:firstLine="480" w:firstLineChars="200"/>
        <w:textAlignment w:val="baseline"/>
        <w:rPr>
          <w:rFonts w:hint="eastAsia" w:ascii="宋体" w:hAnsi="宋体" w:eastAsia="Times New Roman"/>
          <w:b/>
          <w:kern w:val="0"/>
          <w:sz w:val="24"/>
          <w:szCs w:val="24"/>
        </w:rPr>
      </w:pPr>
      <w:r>
        <w:rPr>
          <w:rFonts w:hint="eastAsia" w:ascii="宋体" w:hAnsi="宋体" w:eastAsia="Times New Roman"/>
          <w:b/>
          <w:kern w:val="0"/>
          <w:sz w:val="24"/>
          <w:szCs w:val="24"/>
        </w:rPr>
        <w:t>（</w:t>
      </w:r>
      <w:r>
        <w:rPr>
          <w:rFonts w:hint="eastAsia" w:ascii="宋体" w:hAnsi="宋体" w:eastAsia="宋体"/>
          <w:b/>
          <w:kern w:val="0"/>
          <w:sz w:val="24"/>
          <w:szCs w:val="24"/>
          <w:lang w:val="en-US" w:eastAsia="zh-CN"/>
        </w:rPr>
        <w:t>四</w:t>
      </w:r>
      <w:r>
        <w:rPr>
          <w:rFonts w:hint="eastAsia" w:ascii="宋体" w:hAnsi="宋体" w:eastAsia="Times New Roman"/>
          <w:b/>
          <w:kern w:val="0"/>
          <w:sz w:val="24"/>
          <w:szCs w:val="24"/>
        </w:rPr>
        <w:t>）安装及调试、验收</w:t>
      </w:r>
    </w:p>
    <w:p>
      <w:pPr>
        <w:wordWrap w:val="0"/>
        <w:adjustRightInd w:val="0"/>
        <w:snapToGrid w:val="0"/>
        <w:spacing w:line="440" w:lineRule="exact"/>
        <w:ind w:firstLine="480" w:firstLineChars="200"/>
        <w:textAlignment w:val="baseline"/>
        <w:rPr>
          <w:rFonts w:hint="eastAsia" w:ascii="宋体" w:hAnsi="宋体" w:eastAsia="Times New Roman"/>
          <w:kern w:val="0"/>
          <w:sz w:val="24"/>
          <w:szCs w:val="24"/>
        </w:rPr>
      </w:pPr>
      <w:r>
        <w:rPr>
          <w:rFonts w:hint="eastAsia" w:ascii="宋体" w:hAnsi="宋体" w:eastAsia="Times New Roman"/>
          <w:kern w:val="0"/>
          <w:sz w:val="24"/>
          <w:szCs w:val="24"/>
          <w:lang w:val="en-US" w:eastAsia="zh-CN"/>
        </w:rPr>
        <w:t>1、</w:t>
      </w:r>
      <w:r>
        <w:rPr>
          <w:rFonts w:hint="eastAsia" w:ascii="宋体" w:hAnsi="宋体" w:eastAsia="Times New Roman"/>
          <w:kern w:val="0"/>
          <w:sz w:val="24"/>
          <w:szCs w:val="24"/>
        </w:rPr>
        <w:t>验收以采购文件和技术文件、投标文件、合同及安装技术要求为依据。</w:t>
      </w:r>
    </w:p>
    <w:p>
      <w:pPr>
        <w:wordWrap w:val="0"/>
        <w:adjustRightInd w:val="0"/>
        <w:snapToGrid w:val="0"/>
        <w:spacing w:line="440" w:lineRule="exact"/>
        <w:ind w:firstLine="480" w:firstLineChars="200"/>
        <w:textAlignment w:val="baseline"/>
        <w:rPr>
          <w:rFonts w:hint="eastAsia" w:ascii="宋体" w:hAnsi="宋体" w:eastAsia="Times New Roman"/>
          <w:kern w:val="0"/>
          <w:sz w:val="24"/>
          <w:szCs w:val="24"/>
        </w:rPr>
      </w:pPr>
      <w:r>
        <w:rPr>
          <w:rFonts w:hint="eastAsia" w:ascii="宋体" w:hAnsi="宋体" w:eastAsia="Times New Roman"/>
          <w:kern w:val="0"/>
          <w:sz w:val="24"/>
          <w:szCs w:val="24"/>
          <w:lang w:val="en-US" w:eastAsia="zh-CN"/>
        </w:rPr>
        <w:t>2、</w:t>
      </w:r>
      <w:r>
        <w:rPr>
          <w:rFonts w:hint="eastAsia" w:ascii="宋体" w:hAnsi="宋体" w:eastAsia="Times New Roman"/>
          <w:kern w:val="0"/>
          <w:sz w:val="24"/>
          <w:szCs w:val="24"/>
        </w:rPr>
        <w:t xml:space="preserve"> 供货安装完成后，中标供应商应该向采购人提交申请验收报告，并且提供主要货物的出厂合格证书（或报告）、检测报告等完整的技术档案资料，若中标供应商未能按照上述要求履行的，导致无法及时验收的，则须由中标供应商承担一切责任。</w:t>
      </w:r>
    </w:p>
    <w:p>
      <w:pPr>
        <w:wordWrap w:val="0"/>
        <w:adjustRightInd w:val="0"/>
        <w:snapToGrid w:val="0"/>
        <w:spacing w:line="440" w:lineRule="exact"/>
        <w:ind w:firstLine="480" w:firstLineChars="200"/>
        <w:textAlignment w:val="baseline"/>
        <w:rPr>
          <w:rFonts w:hint="eastAsia" w:ascii="宋体" w:hAnsi="宋体" w:eastAsia="Times New Roman"/>
          <w:kern w:val="0"/>
          <w:sz w:val="24"/>
          <w:szCs w:val="24"/>
        </w:rPr>
      </w:pPr>
      <w:r>
        <w:rPr>
          <w:rFonts w:hint="eastAsia" w:ascii="宋体" w:hAnsi="宋体" w:eastAsia="Times New Roman"/>
          <w:kern w:val="0"/>
          <w:sz w:val="24"/>
          <w:szCs w:val="24"/>
          <w:lang w:val="en-US" w:eastAsia="zh-CN"/>
        </w:rPr>
        <w:t>3、</w:t>
      </w:r>
      <w:r>
        <w:rPr>
          <w:rFonts w:hint="eastAsia" w:ascii="宋体" w:hAnsi="宋体" w:eastAsia="Times New Roman"/>
          <w:kern w:val="0"/>
          <w:sz w:val="24"/>
          <w:szCs w:val="24"/>
        </w:rPr>
        <w:t>验收必须符合国家、地方有关规范、标准及设计要求。</w:t>
      </w:r>
    </w:p>
    <w:p>
      <w:pPr>
        <w:wordWrap w:val="0"/>
        <w:adjustRightInd w:val="0"/>
        <w:snapToGrid w:val="0"/>
        <w:spacing w:line="440" w:lineRule="exact"/>
        <w:ind w:firstLine="480" w:firstLineChars="200"/>
        <w:textAlignment w:val="baseline"/>
        <w:rPr>
          <w:rFonts w:hint="eastAsia" w:ascii="宋体" w:hAnsi="宋体" w:eastAsia="Times New Roman"/>
          <w:kern w:val="0"/>
          <w:sz w:val="24"/>
          <w:szCs w:val="24"/>
        </w:rPr>
      </w:pPr>
      <w:r>
        <w:rPr>
          <w:rFonts w:hint="eastAsia" w:ascii="宋体" w:hAnsi="宋体" w:eastAsia="Times New Roman"/>
          <w:kern w:val="0"/>
          <w:sz w:val="24"/>
          <w:szCs w:val="24"/>
          <w:lang w:val="en-US" w:eastAsia="zh-CN"/>
        </w:rPr>
        <w:t>4、</w:t>
      </w:r>
      <w:r>
        <w:rPr>
          <w:rFonts w:hint="eastAsia" w:ascii="宋体" w:hAnsi="宋体" w:eastAsia="Times New Roman"/>
          <w:kern w:val="0"/>
          <w:sz w:val="24"/>
          <w:szCs w:val="24"/>
        </w:rPr>
        <w:t>符合验收条件的，由采购人组织有关部门按照国家、地方有关规范、标准及设计要求进行验收。验收后中标供应商应按照验收中提出的意见整改。</w:t>
      </w:r>
    </w:p>
    <w:p>
      <w:pPr>
        <w:wordWrap w:val="0"/>
        <w:adjustRightInd w:val="0"/>
        <w:snapToGrid w:val="0"/>
        <w:spacing w:line="440" w:lineRule="exact"/>
        <w:ind w:firstLine="480" w:firstLineChars="200"/>
        <w:textAlignment w:val="baseline"/>
        <w:rPr>
          <w:rFonts w:hint="eastAsia" w:ascii="宋体" w:hAnsi="宋体" w:eastAsia="Times New Roman"/>
          <w:kern w:val="0"/>
          <w:sz w:val="24"/>
          <w:szCs w:val="24"/>
        </w:rPr>
      </w:pPr>
      <w:r>
        <w:rPr>
          <w:rFonts w:hint="eastAsia" w:ascii="宋体" w:hAnsi="宋体" w:eastAsia="Times New Roman"/>
          <w:kern w:val="0"/>
          <w:sz w:val="24"/>
          <w:szCs w:val="24"/>
          <w:lang w:val="en-US" w:eastAsia="zh-CN"/>
        </w:rPr>
        <w:t>5、</w:t>
      </w:r>
      <w:r>
        <w:rPr>
          <w:rFonts w:hint="eastAsia" w:ascii="宋体" w:hAnsi="宋体" w:eastAsia="Times New Roman"/>
          <w:kern w:val="0"/>
          <w:sz w:val="24"/>
          <w:szCs w:val="24"/>
        </w:rPr>
        <w:t>整改完毕且复验合格后将本项目货物交给采购人使用，完成日期以通过复验日期为准。</w:t>
      </w:r>
    </w:p>
    <w:p>
      <w:pPr>
        <w:wordWrap w:val="0"/>
        <w:adjustRightInd w:val="0"/>
        <w:snapToGrid w:val="0"/>
        <w:spacing w:line="440" w:lineRule="exact"/>
        <w:ind w:firstLine="480" w:firstLineChars="200"/>
        <w:textAlignment w:val="baseline"/>
        <w:rPr>
          <w:rFonts w:hint="eastAsia" w:ascii="宋体" w:hAnsi="宋体" w:eastAsia="Times New Roman"/>
          <w:kern w:val="0"/>
          <w:sz w:val="24"/>
          <w:szCs w:val="24"/>
        </w:rPr>
      </w:pPr>
      <w:r>
        <w:rPr>
          <w:rFonts w:hint="eastAsia" w:ascii="宋体" w:hAnsi="宋体" w:eastAsia="Times New Roman"/>
          <w:kern w:val="0"/>
          <w:sz w:val="24"/>
          <w:szCs w:val="24"/>
          <w:lang w:val="en-US" w:eastAsia="zh-CN"/>
        </w:rPr>
        <w:t>6、</w:t>
      </w:r>
      <w:r>
        <w:rPr>
          <w:rFonts w:hint="eastAsia" w:ascii="宋体" w:hAnsi="宋体" w:eastAsia="Times New Roman"/>
          <w:kern w:val="0"/>
          <w:sz w:val="24"/>
          <w:szCs w:val="24"/>
        </w:rPr>
        <w:t>采购人在中标供应商送货、安装、调试后对货物服务进行检查验收，如果发现数量不足或有质量、技术等问题，中标供应商应负责根据合同及采购人的要求采取补足或更换等处理措施，并承担由此发生的一切损失和费用。验收合格后，采购人在验收单上签字并加盖单位公章。</w:t>
      </w:r>
    </w:p>
    <w:p>
      <w:pPr>
        <w:tabs>
          <w:tab w:val="left" w:pos="482"/>
        </w:tabs>
        <w:wordWrap w:val="0"/>
        <w:adjustRightInd w:val="0"/>
        <w:spacing w:line="440" w:lineRule="exact"/>
        <w:ind w:firstLine="480" w:firstLineChars="200"/>
        <w:jc w:val="left"/>
        <w:textAlignment w:val="baseline"/>
        <w:rPr>
          <w:rFonts w:hint="eastAsia" w:ascii="宋体" w:hAnsi="宋体" w:eastAsia="Times New Roman"/>
          <w:b/>
          <w:kern w:val="0"/>
          <w:sz w:val="24"/>
          <w:szCs w:val="24"/>
        </w:rPr>
      </w:pPr>
      <w:r>
        <w:rPr>
          <w:rFonts w:hint="eastAsia" w:ascii="宋体" w:hAnsi="宋体" w:eastAsia="Times New Roman"/>
          <w:b/>
          <w:kern w:val="0"/>
          <w:sz w:val="24"/>
          <w:szCs w:val="24"/>
        </w:rPr>
        <w:t>（</w:t>
      </w:r>
      <w:r>
        <w:rPr>
          <w:rFonts w:hint="eastAsia" w:ascii="宋体" w:hAnsi="宋体" w:eastAsia="宋体"/>
          <w:b/>
          <w:kern w:val="0"/>
          <w:sz w:val="24"/>
          <w:szCs w:val="24"/>
          <w:lang w:val="en-US" w:eastAsia="zh-CN"/>
        </w:rPr>
        <w:t>五</w:t>
      </w:r>
      <w:r>
        <w:rPr>
          <w:rFonts w:hint="eastAsia" w:ascii="宋体" w:hAnsi="宋体" w:eastAsia="Times New Roman"/>
          <w:b/>
          <w:kern w:val="0"/>
          <w:sz w:val="24"/>
          <w:szCs w:val="24"/>
        </w:rPr>
        <w:t>）售后服务</w:t>
      </w:r>
    </w:p>
    <w:p>
      <w:pPr>
        <w:tabs>
          <w:tab w:val="left" w:pos="1365"/>
        </w:tabs>
        <w:wordWrap w:val="0"/>
        <w:adjustRightInd w:val="0"/>
        <w:spacing w:line="440" w:lineRule="exact"/>
        <w:ind w:firstLine="480" w:firstLineChars="200"/>
        <w:jc w:val="left"/>
        <w:textAlignment w:val="baseline"/>
        <w:rPr>
          <w:rFonts w:hint="eastAsia" w:ascii="宋体" w:hAnsi="宋体" w:eastAsia="Times New Roman"/>
          <w:sz w:val="24"/>
          <w:szCs w:val="24"/>
        </w:rPr>
      </w:pPr>
      <w:r>
        <w:rPr>
          <w:rFonts w:hint="eastAsia" w:ascii="宋体" w:hAnsi="宋体" w:eastAsia="Times New Roman"/>
          <w:sz w:val="24"/>
          <w:szCs w:val="24"/>
          <w:lang w:val="en-US" w:eastAsia="zh-CN"/>
        </w:rPr>
        <w:t>1、</w:t>
      </w:r>
      <w:r>
        <w:rPr>
          <w:rFonts w:hint="eastAsia" w:ascii="宋体" w:hAnsi="宋体" w:eastAsia="Times New Roman"/>
          <w:sz w:val="24"/>
          <w:szCs w:val="24"/>
        </w:rPr>
        <w:t>中标供应商须提供从验收合格之日起，</w:t>
      </w:r>
      <w:r>
        <w:rPr>
          <w:rFonts w:hint="eastAsia" w:ascii="宋体" w:hAnsi="宋体" w:eastAsia="Times New Roman"/>
          <w:sz w:val="24"/>
          <w:szCs w:val="24"/>
          <w:u w:val="single"/>
        </w:rPr>
        <w:t>1年的免费质保期和1年的免费维修保养服务</w:t>
      </w:r>
      <w:r>
        <w:rPr>
          <w:rFonts w:hint="eastAsia" w:ascii="宋体" w:hAnsi="宋体" w:eastAsia="Times New Roman"/>
          <w:sz w:val="24"/>
          <w:szCs w:val="24"/>
        </w:rPr>
        <w:t>。供应商承诺超过本要求的，以优惠者为准。无论在质保期内还是质保期满后，中标供应商负责对其实施的项目提供现场服务。要求中标供应商在接到采购人的电话后2小时内响应，4小时内到达现场，并最迟在第2个工作日内排除故障，48小时内无法修复的，必须采取临时调换等措施，以保证采购人的正常使用。临时调换的设备要求不低于原有的设备要求。</w:t>
      </w:r>
    </w:p>
    <w:p>
      <w:pPr>
        <w:tabs>
          <w:tab w:val="left" w:pos="1365"/>
        </w:tabs>
        <w:wordWrap w:val="0"/>
        <w:adjustRightInd w:val="0"/>
        <w:spacing w:line="440" w:lineRule="exact"/>
        <w:ind w:firstLine="480" w:firstLineChars="200"/>
        <w:jc w:val="left"/>
        <w:textAlignment w:val="baseline"/>
        <w:rPr>
          <w:rFonts w:hint="eastAsia" w:ascii="宋体" w:hAnsi="宋体" w:eastAsia="Times New Roman"/>
          <w:sz w:val="24"/>
          <w:szCs w:val="24"/>
        </w:rPr>
      </w:pPr>
      <w:r>
        <w:rPr>
          <w:rFonts w:hint="eastAsia" w:ascii="宋体" w:hAnsi="宋体" w:eastAsia="Times New Roman"/>
          <w:sz w:val="24"/>
          <w:szCs w:val="24"/>
          <w:lang w:val="en-US" w:eastAsia="zh-CN"/>
        </w:rPr>
        <w:t>2、</w:t>
      </w:r>
      <w:r>
        <w:rPr>
          <w:rFonts w:hint="eastAsia" w:ascii="宋体" w:hAnsi="宋体" w:eastAsia="Times New Roman"/>
          <w:sz w:val="24"/>
          <w:szCs w:val="24"/>
        </w:rPr>
        <w:t>供应商若有其他服务承诺，也将一并执行。</w:t>
      </w:r>
    </w:p>
    <w:p>
      <w:pPr>
        <w:tabs>
          <w:tab w:val="left" w:pos="1365"/>
        </w:tabs>
        <w:wordWrap w:val="0"/>
        <w:adjustRightInd w:val="0"/>
        <w:spacing w:line="440" w:lineRule="exact"/>
        <w:ind w:firstLine="480" w:firstLineChars="200"/>
        <w:jc w:val="left"/>
        <w:textAlignment w:val="baseline"/>
        <w:rPr>
          <w:rFonts w:hint="eastAsia" w:ascii="宋体" w:hAnsi="宋体" w:eastAsia="Times New Roman"/>
          <w:sz w:val="24"/>
          <w:szCs w:val="24"/>
        </w:rPr>
      </w:pPr>
      <w:r>
        <w:rPr>
          <w:rFonts w:hint="eastAsia" w:ascii="宋体" w:hAnsi="宋体" w:eastAsia="Times New Roman"/>
          <w:sz w:val="24"/>
          <w:szCs w:val="24"/>
          <w:lang w:val="en-US" w:eastAsia="zh-CN"/>
        </w:rPr>
        <w:t>3、</w:t>
      </w:r>
      <w:r>
        <w:rPr>
          <w:rFonts w:hint="eastAsia" w:ascii="宋体" w:hAnsi="宋体" w:eastAsia="Times New Roman"/>
          <w:sz w:val="24"/>
          <w:szCs w:val="24"/>
        </w:rPr>
        <w:t>中标供应商必须将公司的服务热线明确告知采购人。</w:t>
      </w:r>
    </w:p>
    <w:p>
      <w:pPr>
        <w:keepNext w:val="0"/>
        <w:keepLines w:val="0"/>
        <w:pageBreakBefore w:val="0"/>
        <w:widowControl w:val="0"/>
        <w:kinsoku/>
        <w:wordWrap w:val="0"/>
        <w:overflowPunct/>
        <w:topLinePunct w:val="0"/>
        <w:autoSpaceDE/>
        <w:autoSpaceDN/>
        <w:bidi w:val="0"/>
        <w:adjustRightInd w:val="0"/>
        <w:snapToGrid w:val="0"/>
        <w:spacing w:line="360" w:lineRule="auto"/>
        <w:textAlignment w:val="baseline"/>
        <w:rPr>
          <w:rFonts w:hint="eastAsia" w:ascii="宋体" w:hAnsi="宋体" w:eastAsia="Times New Roman"/>
          <w:b/>
          <w:sz w:val="22"/>
          <w:szCs w:val="22"/>
        </w:rPr>
      </w:pPr>
      <w:r>
        <w:rPr>
          <w:rFonts w:hint="eastAsia" w:ascii="宋体" w:hAnsi="宋体"/>
          <w:b/>
          <w:sz w:val="22"/>
          <w:szCs w:val="22"/>
        </w:rPr>
        <w:t>二、</w:t>
      </w:r>
      <w:r>
        <w:rPr>
          <w:rFonts w:hint="eastAsia" w:ascii="宋体" w:hAnsi="宋体" w:eastAsia="Times New Roman"/>
          <w:b/>
          <w:sz w:val="22"/>
          <w:szCs w:val="22"/>
        </w:rPr>
        <w:t>设备采购清单</w:t>
      </w:r>
    </w:p>
    <w:tbl>
      <w:tblPr>
        <w:tblStyle w:val="20"/>
        <w:tblpPr w:leftFromText="180" w:rightFromText="180" w:vertAnchor="text" w:horzAnchor="page" w:tblpX="1359" w:tblpY="1595"/>
        <w:tblOverlap w:val="never"/>
        <w:tblW w:w="88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591"/>
        <w:gridCol w:w="5670"/>
        <w:gridCol w:w="1290"/>
        <w:gridCol w:w="615"/>
        <w:gridCol w:w="6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53" w:hRule="atLeast"/>
          <w:tblHeader/>
        </w:trPr>
        <w:tc>
          <w:tcPr>
            <w:tcW w:w="591" w:type="dxa"/>
            <w:tcBorders>
              <w:top w:val="single" w:color="000000" w:sz="4" w:space="0"/>
              <w:left w:val="single" w:color="000000" w:sz="4" w:space="0"/>
              <w:bottom w:val="single" w:color="000000" w:sz="4" w:space="0"/>
              <w:right w:val="single" w:color="000000" w:sz="4" w:space="0"/>
            </w:tcBorders>
            <w:shd w:val="clear" w:color="auto" w:fill="C0C0C0"/>
            <w:noWrap w:val="0"/>
            <w:vAlign w:val="center"/>
          </w:tcPr>
          <w:p>
            <w:pPr>
              <w:keepNext w:val="0"/>
              <w:keepLines w:val="0"/>
              <w:widowControl/>
              <w:suppressLineNumbers w:val="0"/>
              <w:jc w:val="center"/>
              <w:textAlignment w:val="center"/>
              <w:rPr>
                <w:rFonts w:hint="eastAsia" w:ascii="宋体" w:hAnsi="宋体" w:eastAsia="宋体" w:cs="宋体"/>
                <w:b/>
                <w:bCs w:val="0"/>
                <w:i w:val="0"/>
                <w:color w:val="4F81BD" w:themeColor="accent1"/>
                <w:sz w:val="18"/>
                <w:szCs w:val="18"/>
                <w:u w:val="none"/>
                <w:shd w:val="clear" w:color="auto" w:fill="auto"/>
              </w:rPr>
            </w:pPr>
            <w:r>
              <w:rPr>
                <w:rFonts w:hint="eastAsia" w:ascii="宋体" w:hAnsi="宋体" w:cs="宋体"/>
                <w:b/>
                <w:bCs w:val="0"/>
                <w:i w:val="0"/>
                <w:color w:val="4F81BD" w:themeColor="accent1"/>
                <w:kern w:val="0"/>
                <w:sz w:val="18"/>
                <w:szCs w:val="18"/>
                <w:u w:val="none"/>
                <w:shd w:val="clear" w:color="auto" w:fill="auto"/>
                <w:lang w:val="en-US" w:eastAsia="zh-CN" w:bidi="ar"/>
              </w:rPr>
              <w:t>序号</w:t>
            </w:r>
          </w:p>
        </w:tc>
        <w:tc>
          <w:tcPr>
            <w:tcW w:w="5670" w:type="dxa"/>
            <w:tcBorders>
              <w:top w:val="single" w:color="000000" w:sz="4" w:space="0"/>
              <w:left w:val="single" w:color="000000" w:sz="4" w:space="0"/>
              <w:bottom w:val="single" w:color="000000" w:sz="4" w:space="0"/>
              <w:right w:val="single" w:color="000000" w:sz="4" w:space="0"/>
            </w:tcBorders>
            <w:shd w:val="clear" w:color="auto" w:fill="C0C0C0"/>
            <w:noWrap w:val="0"/>
            <w:vAlign w:val="center"/>
          </w:tcPr>
          <w:p>
            <w:pPr>
              <w:keepNext w:val="0"/>
              <w:keepLines w:val="0"/>
              <w:widowControl/>
              <w:suppressLineNumbers w:val="0"/>
              <w:jc w:val="center"/>
              <w:textAlignment w:val="center"/>
              <w:rPr>
                <w:rFonts w:hint="eastAsia" w:ascii="宋体" w:hAnsi="宋体" w:eastAsia="宋体" w:cs="宋体"/>
                <w:b/>
                <w:bCs w:val="0"/>
                <w:i w:val="0"/>
                <w:color w:val="4F81BD" w:themeColor="accent1"/>
                <w:sz w:val="18"/>
                <w:szCs w:val="18"/>
                <w:u w:val="none"/>
                <w:shd w:val="clear" w:color="auto" w:fill="auto"/>
              </w:rPr>
            </w:pPr>
            <w:r>
              <w:rPr>
                <w:rFonts w:hint="eastAsia" w:ascii="宋体" w:hAnsi="宋体" w:cs="宋体"/>
                <w:b/>
                <w:bCs w:val="0"/>
                <w:i w:val="0"/>
                <w:color w:val="4F81BD" w:themeColor="accent1"/>
                <w:kern w:val="0"/>
                <w:sz w:val="18"/>
                <w:szCs w:val="18"/>
                <w:u w:val="none"/>
                <w:shd w:val="clear" w:color="auto" w:fill="auto"/>
                <w:lang w:val="en-US" w:eastAsia="zh-CN" w:bidi="ar"/>
              </w:rPr>
              <w:t>产品名称及参数</w:t>
            </w:r>
          </w:p>
        </w:tc>
        <w:tc>
          <w:tcPr>
            <w:tcW w:w="1290" w:type="dxa"/>
            <w:tcBorders>
              <w:top w:val="single" w:color="000000" w:sz="4" w:space="0"/>
              <w:left w:val="single" w:color="000000" w:sz="4" w:space="0"/>
              <w:bottom w:val="single" w:color="000000" w:sz="4" w:space="0"/>
              <w:right w:val="single" w:color="000000" w:sz="4" w:space="0"/>
            </w:tcBorders>
            <w:shd w:val="clear" w:color="auto" w:fill="C0C0C0"/>
            <w:noWrap w:val="0"/>
            <w:vAlign w:val="center"/>
          </w:tcPr>
          <w:p>
            <w:pPr>
              <w:keepNext w:val="0"/>
              <w:keepLines w:val="0"/>
              <w:widowControl/>
              <w:suppressLineNumbers w:val="0"/>
              <w:jc w:val="center"/>
              <w:textAlignment w:val="center"/>
              <w:rPr>
                <w:rFonts w:hint="eastAsia" w:ascii="宋体" w:hAnsi="宋体" w:eastAsia="宋体" w:cs="宋体"/>
                <w:b/>
                <w:bCs w:val="0"/>
                <w:i w:val="0"/>
                <w:color w:val="4F81BD" w:themeColor="accent1"/>
                <w:sz w:val="18"/>
                <w:szCs w:val="18"/>
                <w:u w:val="none"/>
                <w:shd w:val="clear" w:color="auto" w:fill="auto"/>
              </w:rPr>
            </w:pPr>
            <w:r>
              <w:rPr>
                <w:rFonts w:hint="eastAsia" w:ascii="宋体" w:hAnsi="宋体" w:eastAsia="宋体" w:cs="宋体"/>
                <w:b/>
                <w:bCs w:val="0"/>
                <w:i w:val="0"/>
                <w:color w:val="4F81BD" w:themeColor="accent1"/>
                <w:kern w:val="0"/>
                <w:sz w:val="18"/>
                <w:szCs w:val="18"/>
                <w:u w:val="none"/>
                <w:shd w:val="clear" w:color="auto" w:fill="auto"/>
                <w:lang w:val="en-US" w:eastAsia="zh-CN" w:bidi="ar"/>
              </w:rPr>
              <w:t>参考图片</w:t>
            </w:r>
          </w:p>
        </w:tc>
        <w:tc>
          <w:tcPr>
            <w:tcW w:w="615" w:type="dxa"/>
            <w:tcBorders>
              <w:top w:val="single" w:color="000000" w:sz="4" w:space="0"/>
              <w:left w:val="single" w:color="000000" w:sz="4" w:space="0"/>
              <w:bottom w:val="single" w:color="000000" w:sz="4" w:space="0"/>
              <w:right w:val="single" w:color="000000" w:sz="4" w:space="0"/>
            </w:tcBorders>
            <w:shd w:val="clear" w:color="auto" w:fill="C0C0C0"/>
            <w:noWrap w:val="0"/>
            <w:vAlign w:val="center"/>
          </w:tcPr>
          <w:p>
            <w:pPr>
              <w:keepNext w:val="0"/>
              <w:keepLines w:val="0"/>
              <w:widowControl/>
              <w:suppressLineNumbers w:val="0"/>
              <w:jc w:val="center"/>
              <w:textAlignment w:val="center"/>
              <w:rPr>
                <w:rFonts w:hint="eastAsia" w:ascii="宋体" w:hAnsi="宋体" w:eastAsia="宋体" w:cs="宋体"/>
                <w:b/>
                <w:bCs w:val="0"/>
                <w:i w:val="0"/>
                <w:color w:val="4F81BD" w:themeColor="accent1"/>
                <w:sz w:val="18"/>
                <w:szCs w:val="18"/>
                <w:u w:val="none"/>
                <w:shd w:val="clear" w:color="auto" w:fill="auto"/>
              </w:rPr>
            </w:pPr>
            <w:r>
              <w:rPr>
                <w:rFonts w:hint="eastAsia" w:ascii="宋体" w:hAnsi="宋体" w:eastAsia="宋体" w:cs="宋体"/>
                <w:b/>
                <w:bCs w:val="0"/>
                <w:i w:val="0"/>
                <w:color w:val="4F81BD" w:themeColor="accent1"/>
                <w:kern w:val="0"/>
                <w:sz w:val="18"/>
                <w:szCs w:val="18"/>
                <w:u w:val="none"/>
                <w:shd w:val="clear" w:color="auto" w:fill="auto"/>
                <w:lang w:val="en-US" w:eastAsia="zh-CN" w:bidi="ar"/>
              </w:rPr>
              <w:t>单位</w:t>
            </w:r>
          </w:p>
        </w:tc>
        <w:tc>
          <w:tcPr>
            <w:tcW w:w="674" w:type="dxa"/>
            <w:tcBorders>
              <w:top w:val="single" w:color="000000" w:sz="4" w:space="0"/>
              <w:left w:val="single" w:color="000000" w:sz="4" w:space="0"/>
              <w:bottom w:val="single" w:color="000000" w:sz="4" w:space="0"/>
              <w:right w:val="single" w:color="000000" w:sz="4" w:space="0"/>
            </w:tcBorders>
            <w:shd w:val="clear" w:color="auto" w:fill="C0C0C0"/>
            <w:noWrap w:val="0"/>
            <w:vAlign w:val="center"/>
          </w:tcPr>
          <w:p>
            <w:pPr>
              <w:keepNext w:val="0"/>
              <w:keepLines w:val="0"/>
              <w:widowControl/>
              <w:suppressLineNumbers w:val="0"/>
              <w:jc w:val="center"/>
              <w:textAlignment w:val="center"/>
              <w:rPr>
                <w:rFonts w:hint="eastAsia" w:ascii="宋体" w:hAnsi="宋体" w:eastAsia="宋体" w:cs="宋体"/>
                <w:b/>
                <w:bCs w:val="0"/>
                <w:i w:val="0"/>
                <w:color w:val="4F81BD" w:themeColor="accent1"/>
                <w:sz w:val="18"/>
                <w:szCs w:val="18"/>
                <w:u w:val="none"/>
                <w:shd w:val="clear" w:color="auto" w:fill="auto"/>
              </w:rPr>
            </w:pPr>
            <w:r>
              <w:rPr>
                <w:rFonts w:hint="eastAsia" w:ascii="宋体" w:hAnsi="宋体" w:eastAsia="宋体" w:cs="宋体"/>
                <w:b/>
                <w:bCs w:val="0"/>
                <w:i w:val="0"/>
                <w:color w:val="4F81BD" w:themeColor="accent1"/>
                <w:kern w:val="0"/>
                <w:sz w:val="18"/>
                <w:szCs w:val="18"/>
                <w:u w:val="none"/>
                <w:shd w:val="clear" w:color="auto" w:fill="auto"/>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36" w:hRule="atLeast"/>
        </w:trPr>
        <w:tc>
          <w:tcPr>
            <w:tcW w:w="5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b/>
                <w:bCs w:val="0"/>
                <w:i w:val="0"/>
                <w:color w:val="000000"/>
                <w:sz w:val="22"/>
                <w:szCs w:val="22"/>
                <w:u w:val="none"/>
              </w:rPr>
            </w:pP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b/>
                <w:bCs w:val="0"/>
                <w:i w:val="0"/>
                <w:color w:val="000000"/>
                <w:kern w:val="0"/>
                <w:sz w:val="22"/>
                <w:szCs w:val="22"/>
                <w:u w:val="none"/>
                <w:lang w:val="en-US" w:eastAsia="zh-CN" w:bidi="ar"/>
              </w:rPr>
            </w:pPr>
            <w:r>
              <w:rPr>
                <w:rFonts w:hint="eastAsia" w:ascii="宋体" w:hAnsi="宋体" w:cs="宋体"/>
                <w:b/>
                <w:bCs w:val="0"/>
                <w:i w:val="0"/>
                <w:color w:val="000000"/>
                <w:kern w:val="0"/>
                <w:sz w:val="22"/>
                <w:szCs w:val="22"/>
                <w:u w:val="none"/>
                <w:lang w:val="en-US" w:eastAsia="zh-CN" w:bidi="ar"/>
              </w:rPr>
              <w:t>中班</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b/>
                <w:bCs w:val="0"/>
                <w:i w:val="0"/>
                <w:color w:val="000000"/>
                <w:kern w:val="0"/>
                <w:sz w:val="22"/>
                <w:szCs w:val="22"/>
                <w:u w:val="none"/>
                <w:lang w:val="en-US" w:eastAsia="zh-CN" w:bidi="ar"/>
              </w:rPr>
            </w:pP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b/>
                <w:bCs w:val="0"/>
                <w:i w:val="0"/>
                <w:color w:val="000000"/>
                <w:kern w:val="0"/>
                <w:sz w:val="22"/>
                <w:szCs w:val="22"/>
                <w:u w:val="none"/>
                <w:lang w:val="en-US" w:eastAsia="zh-CN" w:bidi="ar"/>
              </w:rPr>
            </w:pP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b/>
                <w:bCs w:val="0"/>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71"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1</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tabs>
                <w:tab w:val="center" w:pos="1732"/>
              </w:tabs>
              <w:jc w:val="left"/>
              <w:textAlignment w:val="center"/>
              <w:rPr>
                <w:rFonts w:hint="eastAsia" w:ascii="宋体" w:hAnsi="宋体" w:cs="宋体"/>
                <w:b/>
                <w:bCs w:val="0"/>
                <w:i w:val="0"/>
                <w:color w:val="000000"/>
                <w:kern w:val="0"/>
                <w:sz w:val="20"/>
                <w:szCs w:val="20"/>
                <w:u w:val="none"/>
                <w:lang w:val="en-US" w:eastAsia="zh-CN" w:bidi="ar"/>
              </w:rPr>
            </w:pPr>
            <w:r>
              <w:rPr>
                <w:rFonts w:hint="eastAsia" w:ascii="宋体" w:hAnsi="宋体" w:eastAsia="宋体" w:cs="宋体"/>
                <w:b/>
                <w:bCs w:val="0"/>
                <w:i w:val="0"/>
                <w:color w:val="000000"/>
                <w:kern w:val="0"/>
                <w:sz w:val="20"/>
                <w:szCs w:val="20"/>
                <w:u w:val="none"/>
                <w:lang w:val="en-US" w:eastAsia="zh-CN" w:bidi="ar"/>
              </w:rPr>
              <w:t>童话王国实木6人桌面</w:t>
            </w:r>
            <w:r>
              <w:rPr>
                <w:rFonts w:hint="eastAsia" w:ascii="宋体" w:hAnsi="宋体" w:cs="宋体"/>
                <w:b/>
                <w:bCs w:val="0"/>
                <w:i w:val="0"/>
                <w:color w:val="000000"/>
                <w:kern w:val="0"/>
                <w:sz w:val="20"/>
                <w:szCs w:val="20"/>
                <w:u w:val="none"/>
                <w:lang w:val="en-US" w:eastAsia="zh-CN" w:bidi="ar"/>
              </w:rPr>
              <w:tab/>
            </w:r>
          </w:p>
          <w:p>
            <w:pPr>
              <w:keepNext w:val="0"/>
              <w:keepLines w:val="0"/>
              <w:widowControl/>
              <w:numPr>
                <w:ilvl w:val="0"/>
                <w:numId w:val="0"/>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桌面尺寸：120×60cm，高度：49/52/55cm。</w:t>
            </w:r>
          </w:p>
          <w:p>
            <w:pPr>
              <w:keepNext w:val="0"/>
              <w:keepLines w:val="0"/>
              <w:widowControl/>
              <w:numPr>
                <w:ilvl w:val="0"/>
                <w:numId w:val="6"/>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桌面采用30mm厚优质环保松木纹三聚氰胺双贴面橡胶木，甲醛释放量符合GB18580-2017标准要求。（提供饰面实木板甲醛释放量检测报告） </w:t>
            </w:r>
          </w:p>
          <w:p>
            <w:pPr>
              <w:keepNext w:val="0"/>
              <w:keepLines w:val="0"/>
              <w:widowControl/>
              <w:numPr>
                <w:ilvl w:val="0"/>
                <w:numId w:val="0"/>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2、表面耐磨、耐污、耐划伤，易清洁，耐磨测试250R无透底现象。    </w:t>
            </w:r>
          </w:p>
          <w:p>
            <w:pPr>
              <w:keepNext w:val="0"/>
              <w:keepLines w:val="0"/>
              <w:widowControl/>
              <w:numPr>
                <w:ilvl w:val="0"/>
                <w:numId w:val="0"/>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3、原生态木蜡油封边，重金属钡、铅、镉、锑、硒、铬、汞、砷等含量符合国家标准规范的要求。（提供木蜡油8大重金属检测报告）局部及拐角处采用PVC加厚边条进行围护。 </w:t>
            </w:r>
          </w:p>
          <w:p>
            <w:pPr>
              <w:keepNext w:val="0"/>
              <w:keepLines w:val="0"/>
              <w:widowControl/>
              <w:numPr>
                <w:ilvl w:val="0"/>
                <w:numId w:val="0"/>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4、桌脚采用直径80mm新西兰松木，表面喷涂高环保的清水油漆，重金属钡、铅、镉、锑、硒、铬、汞、砷等含量符合国家标准规范的要求。（提供油漆8大重金属检测报告）桌面背面设置有4个ABS塑料连接件，桌脚使用螺旋安装方式与桌面连接，方便拆卸 。桌脚底部安装有高度30mm的可调节塑料件，可通过调整塑料件的数量来改变桌面的整体高度。   </w:t>
            </w:r>
          </w:p>
          <w:p>
            <w:pPr>
              <w:keepNext w:val="0"/>
              <w:keepLines w:val="0"/>
              <w:widowControl/>
              <w:numPr>
                <w:ilvl w:val="0"/>
                <w:numId w:val="0"/>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5、五金件选用环保五金，安全无毒。符合国家标准规范的要求，钡、铅、镉、锑、硒、铬、汞、砷等含量控制指标完全符合要求。（提供五金件8大重金属检测报告）    </w:t>
            </w:r>
          </w:p>
          <w:p>
            <w:pPr>
              <w:keepNext w:val="0"/>
              <w:keepLines w:val="0"/>
              <w:widowControl/>
              <w:numPr>
                <w:ilvl w:val="0"/>
                <w:numId w:val="0"/>
              </w:numPr>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6、结构稳固，不易倾倒。圆角设计，符合GB28007-2011儿童家具通用技术条件的要求。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826135" cy="686435"/>
                  <wp:effectExtent l="0" t="0" r="12065" b="18415"/>
                  <wp:docPr id="102" name="Picture 16" descr="C:\Users\Administrator\AppData\Roaming\Tencent\Users\250482485\QQ\WinTemp\RichOle\1J}Q7_@KH%9}`9%TC}5QE1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6" descr="C:\Users\Administrator\AppData\Roaming\Tencent\Users\250482485\QQ\WinTemp\RichOle\1J}Q7_@KH%9}`9%TC}5QE1W.png"/>
                          <pic:cNvPicPr>
                            <a:picLocks noChangeAspect="1" noChangeArrowheads="1"/>
                          </pic:cNvPicPr>
                        </pic:nvPicPr>
                        <pic:blipFill>
                          <a:blip r:embed="rId12" cstate="print"/>
                          <a:srcRect/>
                          <a:stretch>
                            <a:fillRect/>
                          </a:stretch>
                        </pic:blipFill>
                        <pic:spPr>
                          <a:xfrm>
                            <a:off x="0" y="0"/>
                            <a:ext cx="826135" cy="686435"/>
                          </a:xfrm>
                          <a:prstGeom prst="rect">
                            <a:avLst/>
                          </a:prstGeom>
                          <a:noFill/>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张</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i w:val="0"/>
                <w:color w:val="000000"/>
                <w:sz w:val="22"/>
                <w:szCs w:val="22"/>
                <w:u w:val="none"/>
                <w:lang w:val="en-US"/>
              </w:rPr>
            </w:pPr>
            <w:r>
              <w:rPr>
                <w:rFonts w:hint="eastAsia" w:ascii="宋体" w:hAnsi="宋体" w:cs="宋体"/>
                <w:b/>
                <w:i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4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2</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bCs w:val="0"/>
                <w:i w:val="0"/>
                <w:color w:val="000000"/>
                <w:kern w:val="0"/>
                <w:sz w:val="20"/>
                <w:szCs w:val="20"/>
                <w:u w:val="none"/>
                <w:lang w:val="en-US" w:eastAsia="zh-CN" w:bidi="ar"/>
              </w:rPr>
            </w:pPr>
            <w:r>
              <w:rPr>
                <w:rFonts w:hint="eastAsia" w:ascii="宋体" w:hAnsi="宋体" w:eastAsia="宋体" w:cs="宋体"/>
                <w:b/>
                <w:bCs w:val="0"/>
                <w:i w:val="0"/>
                <w:color w:val="000000"/>
                <w:kern w:val="0"/>
                <w:sz w:val="20"/>
                <w:szCs w:val="20"/>
                <w:u w:val="none"/>
                <w:lang w:val="en-US" w:eastAsia="zh-CN" w:bidi="ar"/>
              </w:rPr>
              <w:t>60小方桌面-百搭</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桌面尺寸：60×60cm。</w:t>
            </w:r>
          </w:p>
          <w:p>
            <w:pPr>
              <w:keepNext w:val="0"/>
              <w:keepLines w:val="0"/>
              <w:widowControl/>
              <w:numPr>
                <w:ilvl w:val="0"/>
                <w:numId w:val="6"/>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桌面采用25mm厚优质环保枫木纹三聚氰胺双贴面高密度刨花板，甲醛释放量符合GB18580-2017标准要求。（提供饰面刨花板甲醛释放量检测报告）  </w:t>
            </w:r>
          </w:p>
          <w:p>
            <w:pPr>
              <w:keepNext w:val="0"/>
              <w:keepLines w:val="0"/>
              <w:widowControl/>
              <w:numPr>
                <w:ilvl w:val="0"/>
                <w:numId w:val="6"/>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耐磨、耐污、耐划伤，易清洁，耐磨测试250R无透底现象。    </w:t>
            </w:r>
          </w:p>
          <w:p>
            <w:pPr>
              <w:keepNext w:val="0"/>
              <w:keepLines w:val="0"/>
              <w:widowControl/>
              <w:numPr>
                <w:ilvl w:val="0"/>
                <w:numId w:val="6"/>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优质PVC边条封边，邻苯二甲酸酯含量符合国家标准规范的要求。 （提供家具封边条邻苯二甲酸酯含量检测报告）   </w:t>
            </w:r>
          </w:p>
          <w:p>
            <w:pPr>
              <w:keepNext w:val="0"/>
              <w:keepLines w:val="0"/>
              <w:widowControl/>
              <w:numPr>
                <w:ilvl w:val="0"/>
                <w:numId w:val="6"/>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桌脚采用直径48mm的桦木，表面喷涂高环保的清水油漆，重金属钡、铅、镉、锑、硒、铬、汞、砷等含量符合国家标准规范的要求。 （提供油漆8大重金属检测报告）桌面背面设置有4个ABS塑料连接件，桌脚使用螺旋安装方式与桌面连接，方便拆卸 。椅腿底部配以耐磨塑胶PP脚套，对地板等地面材料起到保护作用。 </w:t>
            </w:r>
          </w:p>
          <w:p>
            <w:pPr>
              <w:keepNext w:val="0"/>
              <w:keepLines w:val="0"/>
              <w:widowControl/>
              <w:numPr>
                <w:ilvl w:val="0"/>
                <w:numId w:val="6"/>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五金件选用环保五金，安全无毒。符合国家标准规范的要求，钡、铅、镉、锑、硒、铬、汞、砷等含量控制指标完全符合要求。（提供五金件8大重金属检测报告）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6、圆角设计，符合GB28007-2011儿童家具通用技术条件的要求。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855345" cy="734695"/>
                  <wp:effectExtent l="0" t="0" r="1905" b="8255"/>
                  <wp:docPr id="144" name="图片 143" descr="E:\报价用图\2019\KB4-GYB6060T-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3" descr="E:\报价用图\2019\KB4-GYB6060T-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855345" cy="734695"/>
                          </a:xfrm>
                          <a:prstGeom prst="rect">
                            <a:avLst/>
                          </a:prstGeom>
                          <a:noFill/>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张</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i w:val="0"/>
                <w:color w:val="000000"/>
                <w:sz w:val="22"/>
                <w:szCs w:val="22"/>
                <w:u w:val="none"/>
                <w:lang w:val="en-US"/>
              </w:rPr>
            </w:pPr>
            <w:r>
              <w:rPr>
                <w:rFonts w:hint="eastAsia" w:ascii="宋体" w:hAnsi="宋体" w:cs="宋体"/>
                <w:b/>
                <w:i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9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3</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bCs w:val="0"/>
                <w:i w:val="0"/>
                <w:color w:val="000000"/>
                <w:kern w:val="0"/>
                <w:sz w:val="20"/>
                <w:szCs w:val="20"/>
                <w:u w:val="none"/>
                <w:lang w:val="en-US" w:eastAsia="zh-CN" w:bidi="ar"/>
              </w:rPr>
            </w:pPr>
            <w:r>
              <w:rPr>
                <w:rFonts w:hint="eastAsia" w:ascii="宋体" w:hAnsi="宋体" w:eastAsia="宋体" w:cs="宋体"/>
                <w:b/>
                <w:bCs w:val="0"/>
                <w:i w:val="0"/>
                <w:color w:val="000000"/>
                <w:kern w:val="0"/>
                <w:sz w:val="20"/>
                <w:szCs w:val="20"/>
                <w:u w:val="none"/>
                <w:lang w:val="en-US" w:eastAsia="zh-CN" w:bidi="ar"/>
              </w:rPr>
              <w:t>童话王国幼教椅27CM</w:t>
            </w:r>
          </w:p>
          <w:p>
            <w:pPr>
              <w:keepNext w:val="0"/>
              <w:keepLines w:val="0"/>
              <w:widowControl/>
              <w:suppressLineNumbers w:val="0"/>
              <w:jc w:val="left"/>
              <w:textAlignment w:val="center"/>
              <w:rPr>
                <w:rFonts w:hint="eastAsia"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尺寸：座椅高27cm。</w:t>
            </w:r>
          </w:p>
          <w:p>
            <w:pPr>
              <w:keepNext w:val="0"/>
              <w:keepLines w:val="0"/>
              <w:widowControl/>
              <w:numPr>
                <w:ilvl w:val="0"/>
                <w:numId w:val="7"/>
              </w:numPr>
              <w:suppressLineNumbers w:val="0"/>
              <w:jc w:val="left"/>
              <w:textAlignment w:val="center"/>
              <w:rPr>
                <w:rFonts w:hint="eastAsia"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 xml:space="preserve">椅背、椅座采用18mm厚优质环保芬兰松木纹三聚氰胺贴面松木，原生态木蜡油封边，重金属钡、铅、镉、锑、硒、铬、汞、砷等含量符合国家标准规范的要求。（提供木蜡油8大重金属检测报告）侧板采用18mm厚优质环保 芬兰松木，表面木纹拉丝，并环保清水油漆处理，重金属钡、铅、镉、锑、硒、铬、汞、砷等含量符合国家标准规范的要求。（提供油漆8大重金属检测报告）    </w:t>
            </w:r>
          </w:p>
          <w:p>
            <w:pPr>
              <w:keepNext w:val="0"/>
              <w:keepLines w:val="0"/>
              <w:widowControl/>
              <w:numPr>
                <w:ilvl w:val="0"/>
                <w:numId w:val="7"/>
              </w:numPr>
              <w:suppressLineNumbers w:val="0"/>
              <w:ind w:left="0" w:leftChars="0" w:firstLine="0" w:firstLineChars="0"/>
              <w:jc w:val="left"/>
              <w:textAlignment w:val="center"/>
              <w:rPr>
                <w:rFonts w:hint="eastAsia"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 xml:space="preserve">耐磨、耐污、耐划伤，易清洁，耐磨测试250R无透底现象。    </w:t>
            </w:r>
          </w:p>
          <w:p>
            <w:pPr>
              <w:keepNext w:val="0"/>
              <w:keepLines w:val="0"/>
              <w:widowControl/>
              <w:numPr>
                <w:ilvl w:val="0"/>
                <w:numId w:val="7"/>
              </w:numPr>
              <w:suppressLineNumbers w:val="0"/>
              <w:ind w:left="0" w:leftChars="0" w:firstLine="0" w:firstLineChars="0"/>
              <w:jc w:val="left"/>
              <w:textAlignment w:val="center"/>
              <w:rPr>
                <w:rFonts w:hint="eastAsia"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 xml:space="preserve">五金件选用环保五金，安全无毒。符合国家标准规范的要求，钡、铅、镉、锑、硒、铬、汞、砷等含量控制指标完全符合要求。（提供五金件8大重金属检测报告）    </w:t>
            </w:r>
          </w:p>
          <w:p>
            <w:pPr>
              <w:keepNext w:val="0"/>
              <w:keepLines w:val="0"/>
              <w:widowControl/>
              <w:numPr>
                <w:ilvl w:val="0"/>
                <w:numId w:val="7"/>
              </w:numPr>
              <w:suppressLineNumbers w:val="0"/>
              <w:ind w:left="0" w:leftChars="0" w:firstLine="0" w:firstLineChars="0"/>
              <w:jc w:val="left"/>
              <w:textAlignment w:val="center"/>
              <w:rPr>
                <w:rFonts w:hint="eastAsia"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 xml:space="preserve">椅脚底部配以耐磨塑胶PP脚钉，对地板等地面材料起到保护作用。    </w:t>
            </w:r>
          </w:p>
          <w:p>
            <w:pPr>
              <w:keepNext w:val="0"/>
              <w:keepLines w:val="0"/>
              <w:widowControl/>
              <w:numPr>
                <w:ilvl w:val="0"/>
                <w:numId w:val="7"/>
              </w:numPr>
              <w:suppressLineNumbers w:val="0"/>
              <w:ind w:left="0" w:leftChars="0" w:firstLine="0" w:firstLineChars="0"/>
              <w:jc w:val="left"/>
              <w:textAlignment w:val="center"/>
              <w:rPr>
                <w:rFonts w:hint="eastAsia"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 xml:space="preserve">铆接工艺，强度高，可承受200KG的静载2小时，100KG的静载24小时，并可承受20000次的疲劳测试，椅背后倾测试8万次，安全耐用。    </w:t>
            </w:r>
          </w:p>
          <w:p>
            <w:pPr>
              <w:keepNext w:val="0"/>
              <w:keepLines w:val="0"/>
              <w:widowControl/>
              <w:numPr>
                <w:ilvl w:val="0"/>
                <w:numId w:val="7"/>
              </w:numPr>
              <w:suppressLineNumbers w:val="0"/>
              <w:ind w:left="0" w:leftChars="0" w:firstLine="0" w:firstLineChars="0"/>
              <w:jc w:val="left"/>
              <w:textAlignment w:val="center"/>
              <w:rPr>
                <w:rFonts w:hint="eastAsia"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 xml:space="preserve">前后加横档设计，增加了产品的结构强度，承重能力强，且不易断裂破损。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sz w:val="20"/>
                <w:szCs w:val="20"/>
                <w:u w:val="none"/>
              </w:rPr>
            </w:pPr>
            <w:r>
              <w:rPr>
                <w:rFonts w:hint="eastAsia" w:ascii="宋体" w:hAnsi="宋体" w:cs="宋体"/>
                <w:i w:val="0"/>
                <w:color w:val="000000"/>
                <w:kern w:val="0"/>
                <w:sz w:val="20"/>
                <w:szCs w:val="20"/>
                <w:u w:val="none"/>
                <w:lang w:val="en-US" w:eastAsia="zh-CN" w:bidi="ar"/>
              </w:rPr>
              <w:t>7、椅背采用城堡造型，符合系列主题。座位舒适，贴合幼儿身体曲线设计，结构稳固，不易倾翻，符合GB28007-2011儿童家具通用技术条件的要求。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814705" cy="742315"/>
                  <wp:effectExtent l="0" t="0" r="4445" b="635"/>
                  <wp:docPr id="9" name="Picture 17" descr="C:\Users\Administrator\AppData\Roaming\Tencent\Users\250482485\QQ\WinTemp\RichOle\YXUA1[OX7$O3AYB4NW315Y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7" descr="C:\Users\Administrator\AppData\Roaming\Tencent\Users\250482485\QQ\WinTemp\RichOle\YXUA1[OX7$O3AYB4NW315YX.png"/>
                          <pic:cNvPicPr>
                            <a:picLocks noChangeAspect="1" noChangeArrowheads="1"/>
                          </pic:cNvPicPr>
                        </pic:nvPicPr>
                        <pic:blipFill>
                          <a:blip r:embed="rId14" cstate="print"/>
                          <a:srcRect/>
                          <a:stretch>
                            <a:fillRect/>
                          </a:stretch>
                        </pic:blipFill>
                        <pic:spPr>
                          <a:xfrm>
                            <a:off x="0" y="0"/>
                            <a:ext cx="814705" cy="742315"/>
                          </a:xfrm>
                          <a:prstGeom prst="rect">
                            <a:avLst/>
                          </a:prstGeom>
                          <a:noFill/>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把</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i w:val="0"/>
                <w:color w:val="000000"/>
                <w:sz w:val="22"/>
                <w:szCs w:val="22"/>
                <w:u w:val="none"/>
                <w:lang w:val="en-US" w:eastAsia="zh-CN"/>
              </w:rPr>
            </w:pPr>
            <w:r>
              <w:rPr>
                <w:rFonts w:hint="eastAsia" w:ascii="宋体" w:hAnsi="宋体" w:cs="宋体"/>
                <w:b/>
                <w:i w:val="0"/>
                <w:color w:val="000000"/>
                <w:sz w:val="22"/>
                <w:szCs w:val="22"/>
                <w:u w:val="none"/>
                <w:lang w:val="en-US" w:eastAsia="zh-CN"/>
              </w:rPr>
              <w:t>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35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4</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bCs w:val="0"/>
                <w:i w:val="0"/>
                <w:color w:val="000000"/>
                <w:kern w:val="0"/>
                <w:sz w:val="20"/>
                <w:szCs w:val="20"/>
                <w:u w:val="none"/>
                <w:lang w:val="en-US" w:eastAsia="zh-CN" w:bidi="ar"/>
              </w:rPr>
            </w:pPr>
            <w:r>
              <w:rPr>
                <w:rFonts w:hint="eastAsia" w:ascii="宋体" w:hAnsi="宋体" w:eastAsia="宋体" w:cs="宋体"/>
                <w:b/>
                <w:bCs w:val="0"/>
                <w:i w:val="0"/>
                <w:color w:val="000000"/>
                <w:kern w:val="0"/>
                <w:sz w:val="20"/>
                <w:szCs w:val="20"/>
                <w:u w:val="none"/>
                <w:lang w:val="en-US" w:eastAsia="zh-CN" w:bidi="ar"/>
              </w:rPr>
              <w:t>双层l六人床</w:t>
            </w:r>
          </w:p>
          <w:p>
            <w:pPr>
              <w:keepNext w:val="0"/>
              <w:keepLines w:val="0"/>
              <w:widowControl/>
              <w:suppressLineNumbers w:val="0"/>
              <w:jc w:val="left"/>
              <w:rPr>
                <w:rFonts w:hint="eastAsia"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尺寸：140×120×125cm。1、立柱采用优质松木，表面喷涂高环保的清水油漆，重金属钡、铅、镉、锑、硒、铬、汞、砷等含量符合国家标准规范的要求。（提供油漆8大重金属检测报告）围板采用15mm厚优质环保枫木纹三聚氰胺双贴面橡胶木，甲醛释放量符合GB18580-2017标准要求。（提供饰面实木板甲醛释放量检测报告） 床板为9mm枫木纹三聚氰胺双贴面胶合板。   </w:t>
            </w:r>
          </w:p>
          <w:p>
            <w:pPr>
              <w:keepNext w:val="0"/>
              <w:keepLines w:val="0"/>
              <w:widowControl/>
              <w:numPr>
                <w:ilvl w:val="0"/>
                <w:numId w:val="8"/>
              </w:numPr>
              <w:suppressLineNumbers w:val="0"/>
              <w:jc w:val="left"/>
              <w:rPr>
                <w:rFonts w:hint="eastAsia"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原生态木蜡油封边，重金属钡、铅、镉、锑、硒、铬、汞、砷等含量符合国家标准规范的要求。（提供木蜡油8大重金属检测报告）    </w:t>
            </w:r>
          </w:p>
          <w:p>
            <w:pPr>
              <w:keepNext w:val="0"/>
              <w:keepLines w:val="0"/>
              <w:widowControl/>
              <w:numPr>
                <w:ilvl w:val="0"/>
                <w:numId w:val="8"/>
              </w:numPr>
              <w:suppressLineNumbers w:val="0"/>
              <w:ind w:left="0" w:leftChars="0" w:firstLine="0" w:firstLineChars="0"/>
              <w:jc w:val="left"/>
              <w:rPr>
                <w:rFonts w:hint="eastAsia"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五金件选用环保五金，安全无毒。符合国家标准规范的要求，钡、铅、镉、锑、硒、铬、汞、砷等含量控制指标完全符合要求。（提供五金件8大重金属检测报告）    </w:t>
            </w:r>
          </w:p>
          <w:p>
            <w:pPr>
              <w:keepNext w:val="0"/>
              <w:keepLines w:val="0"/>
              <w:widowControl/>
              <w:numPr>
                <w:ilvl w:val="0"/>
                <w:numId w:val="8"/>
              </w:numPr>
              <w:suppressLineNumbers w:val="0"/>
              <w:ind w:left="0" w:leftChars="0" w:firstLine="0" w:firstLineChars="0"/>
              <w:jc w:val="left"/>
              <w:rPr>
                <w:rFonts w:hint="eastAsia"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当床拉出使用，床与床之间设置有插销装置，用于床体之间的固定；</w:t>
            </w:r>
          </w:p>
          <w:p>
            <w:pPr>
              <w:keepNext w:val="0"/>
              <w:keepLines w:val="0"/>
              <w:widowControl/>
              <w:numPr>
                <w:ilvl w:val="0"/>
                <w:numId w:val="8"/>
              </w:numPr>
              <w:suppressLineNumbers w:val="0"/>
              <w:ind w:left="0" w:leftChars="0" w:firstLine="0" w:firstLineChars="0"/>
              <w:jc w:val="left"/>
              <w:rPr>
                <w:rFonts w:hint="eastAsia"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每层抽屉床的底部均配以4个塑料滑轮（其中2个带锁定功能），方便移动及固定。    </w:t>
            </w:r>
          </w:p>
          <w:p>
            <w:pPr>
              <w:keepNext w:val="0"/>
              <w:keepLines w:val="0"/>
              <w:widowControl/>
              <w:numPr>
                <w:numId w:val="0"/>
              </w:numPr>
              <w:suppressLineNumbers w:val="0"/>
              <w:ind w:leftChars="0"/>
              <w:jc w:val="left"/>
            </w:pPr>
            <w:r>
              <w:rPr>
                <w:rFonts w:hint="eastAsia" w:ascii="宋体" w:hAnsi="宋体" w:cs="宋体"/>
                <w:i w:val="0"/>
                <w:color w:val="000000"/>
                <w:kern w:val="0"/>
                <w:sz w:val="20"/>
                <w:szCs w:val="20"/>
                <w:u w:val="none"/>
                <w:lang w:val="en-US" w:eastAsia="zh-CN" w:bidi="ar"/>
              </w:rPr>
              <w:t>6、结构稳固，不易倾倒。全面采用圆角设计，安全缝隙和孔洞均符合GB28007-2011儿童家具通用技术条件的要求。 </w:t>
            </w:r>
            <w:r>
              <w:rPr>
                <w:rFonts w:ascii="宋体" w:hAnsi="宋体" w:eastAsia="宋体" w:cs="宋体"/>
                <w:kern w:val="0"/>
                <w:sz w:val="24"/>
                <w:szCs w:val="24"/>
                <w:lang w:val="en-US" w:eastAsia="zh-CN" w:bidi="ar"/>
              </w:rPr>
              <w:t xml:space="preserve">    </w:t>
            </w:r>
          </w:p>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832485" cy="662305"/>
                  <wp:effectExtent l="0" t="0" r="5715" b="4445"/>
                  <wp:docPr id="10" name="图片 2" descr="15578078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1557807852(1)"/>
                          <pic:cNvPicPr>
                            <a:picLocks noChangeAspect="1"/>
                          </pic:cNvPicPr>
                        </pic:nvPicPr>
                        <pic:blipFill>
                          <a:blip r:embed="rId15"/>
                          <a:stretch>
                            <a:fillRect/>
                          </a:stretch>
                        </pic:blipFill>
                        <pic:spPr>
                          <a:xfrm>
                            <a:off x="0" y="0"/>
                            <a:ext cx="832485" cy="662305"/>
                          </a:xfrm>
                          <a:prstGeom prst="rect">
                            <a:avLst/>
                          </a:prstGeom>
                          <a:noFill/>
                          <a:ln w="9525">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张</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cs="宋体"/>
                <w:b/>
                <w:i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21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5</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b/>
                <w:bCs/>
                <w:i w:val="0"/>
                <w:color w:val="000000"/>
                <w:kern w:val="0"/>
                <w:sz w:val="20"/>
                <w:szCs w:val="20"/>
                <w:u w:val="none"/>
                <w:lang w:val="en-US" w:eastAsia="zh-CN" w:bidi="ar"/>
              </w:rPr>
              <w:t xml:space="preserve">雅典花园城堡入口 </w:t>
            </w:r>
            <w:r>
              <w:rPr>
                <w:rFonts w:hint="eastAsia" w:ascii="宋体" w:hAnsi="宋体" w:eastAsia="宋体" w:cs="宋体"/>
                <w:i w:val="0"/>
                <w:color w:val="000000"/>
                <w:kern w:val="0"/>
                <w:sz w:val="20"/>
                <w:szCs w:val="20"/>
                <w:u w:val="none"/>
                <w:lang w:val="en-US" w:eastAsia="zh-CN" w:bidi="ar"/>
              </w:rPr>
              <w:t xml:space="preserve">   </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尺寸：83×30×183cm。</w:t>
            </w:r>
          </w:p>
          <w:p>
            <w:pPr>
              <w:keepNext w:val="0"/>
              <w:keepLines w:val="0"/>
              <w:widowControl/>
              <w:numPr>
                <w:ilvl w:val="0"/>
                <w:numId w:val="9"/>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主框架采用18mm厚优质环保枫木纹三聚氰胺双贴面橡胶木，甲醛释放量符合GB18580-2017标准要求。（提供饰面实木板甲醛释放量检测报告）</w:t>
            </w:r>
          </w:p>
          <w:p>
            <w:pPr>
              <w:keepNext w:val="0"/>
              <w:keepLines w:val="0"/>
              <w:widowControl/>
              <w:numPr>
                <w:ilvl w:val="0"/>
                <w:numId w:val="9"/>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表面耐磨、耐污、耐划伤，易清洁，耐磨测试250R无透底现象。   </w:t>
            </w:r>
          </w:p>
          <w:p>
            <w:pPr>
              <w:keepNext w:val="0"/>
              <w:keepLines w:val="0"/>
              <w:widowControl/>
              <w:numPr>
                <w:ilvl w:val="0"/>
                <w:numId w:val="9"/>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原生态木蜡油封边，重金属钡、铅、镉、锑、硒、铬、汞、砷等含量符合国家标准规范的要求。</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（提供木蜡油8大重金属检测报告）</w:t>
            </w:r>
          </w:p>
          <w:p>
            <w:pPr>
              <w:keepNext w:val="0"/>
              <w:keepLines w:val="0"/>
              <w:widowControl/>
              <w:numPr>
                <w:ilvl w:val="0"/>
                <w:numId w:val="9"/>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五金件选用环保五金，安全无毒。符合国家标准规范的要求，钡、铅、镉、锑、硒、铬、汞、砷等含量控制指标完全符合要求。（提供五金件8大重金属检测报告）    </w:t>
            </w:r>
          </w:p>
          <w:p>
            <w:pPr>
              <w:keepNext w:val="0"/>
              <w:keepLines w:val="0"/>
              <w:widowControl/>
              <w:numPr>
                <w:ilvl w:val="0"/>
                <w:numId w:val="9"/>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底部配以耐磨塑胶PP脚钉，对地板等地面材料起到保护作用。    </w:t>
            </w:r>
          </w:p>
          <w:p>
            <w:pPr>
              <w:keepNext w:val="0"/>
              <w:keepLines w:val="0"/>
              <w:widowControl/>
              <w:numPr>
                <w:ilvl w:val="0"/>
                <w:numId w:val="9"/>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屋顶上方的苹果树图案部分采用9mm厚胶合板，丝印工艺处理，颜色不易脱落，且所使用的丝印油墨均为环保材料，重金属钡、铅、镉、锑、硒、铬、汞、砷等含量符合国家标准规范的要求。（提供油墨8大重金属检测报告）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7、边角安全防撞设计，对所有的外露面、外漏角进行弧状倒角设计，避免锐角的产生，最大程度的避免儿童磕碰伤害，符合GB28007-2011儿童家具通用技术条件的要求。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847725" cy="953770"/>
                  <wp:effectExtent l="0" t="0" r="9525" b="17780"/>
                  <wp:docPr id="347" name="图片 1" descr="E:\报价用图\2019\KB4-YDCP0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1" descr="E:\报价用图\2019\KB4-YDCP001-3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847725" cy="953770"/>
                          </a:xfrm>
                          <a:prstGeom prst="rect">
                            <a:avLst/>
                          </a:prstGeom>
                          <a:noFill/>
                          <a:ln>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根</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华文中宋" w:hAnsi="华文中宋" w:eastAsia="华文中宋" w:cs="华文中宋"/>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6</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90度中空扇形6格柜-实木  </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尺寸：109×44×81cm。</w:t>
            </w:r>
          </w:p>
          <w:p>
            <w:pPr>
              <w:keepNext w:val="0"/>
              <w:keepLines w:val="0"/>
              <w:widowControl/>
              <w:numPr>
                <w:ilvl w:val="0"/>
                <w:numId w:val="10"/>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主框架采用18mm厚优质环保枫木纹三聚氰胺双贴面橡胶木，甲醛释放量符合GB18580-2017标准要求。层板采用15mm厚枫木纹三聚氰胺双贴面胶合板。 （提供饰面实木板甲醛释放量检测报告）</w:t>
            </w:r>
          </w:p>
          <w:p>
            <w:pPr>
              <w:keepNext w:val="0"/>
              <w:keepLines w:val="0"/>
              <w:widowControl/>
              <w:numPr>
                <w:ilvl w:val="0"/>
                <w:numId w:val="10"/>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表面耐磨、耐污、耐划伤，易清洁，耐磨测试250R无透底现象。</w:t>
            </w:r>
          </w:p>
          <w:p>
            <w:pPr>
              <w:keepNext w:val="0"/>
              <w:keepLines w:val="0"/>
              <w:widowControl/>
              <w:numPr>
                <w:ilvl w:val="0"/>
                <w:numId w:val="10"/>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原生态木蜡油封边，重金属钡、铅、镉、锑、硒、铬、汞、砷等含量符合国家标准规范的要求。（提供木蜡油8大重金属检测报告）</w:t>
            </w:r>
          </w:p>
          <w:p>
            <w:pPr>
              <w:keepNext w:val="0"/>
              <w:keepLines w:val="0"/>
              <w:widowControl/>
              <w:numPr>
                <w:ilvl w:val="0"/>
                <w:numId w:val="10"/>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五金件选用环保五金，安全无毒。符合国家标准规范的要求，钡、铅、镉、锑、硒、铬、汞、砷等含量控制指标完全符合要求。（提供五金件8大重金属检测报告）  </w:t>
            </w:r>
          </w:p>
          <w:p>
            <w:pPr>
              <w:keepNext w:val="0"/>
              <w:keepLines w:val="0"/>
              <w:widowControl/>
              <w:numPr>
                <w:ilvl w:val="0"/>
                <w:numId w:val="10"/>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柜体采用踢脚板设计，即增加了稳定性，又可以防止杂物进入柜底。柜底配以耐磨塑胶PP脚钉，对地板等地面材料起到保护作用。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微软雅黑" w:hAnsi="微软雅黑" w:eastAsia="微软雅黑" w:cs="微软雅黑"/>
                <w:b/>
                <w:i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104140</wp:posOffset>
                  </wp:positionH>
                  <wp:positionV relativeFrom="paragraph">
                    <wp:posOffset>666115</wp:posOffset>
                  </wp:positionV>
                  <wp:extent cx="610235" cy="867410"/>
                  <wp:effectExtent l="0" t="0" r="18415" b="8890"/>
                  <wp:wrapNone/>
                  <wp:docPr id="186" name="图片_3"/>
                  <wp:cNvGraphicFramePr/>
                  <a:graphic xmlns:a="http://schemas.openxmlformats.org/drawingml/2006/main">
                    <a:graphicData uri="http://schemas.openxmlformats.org/drawingml/2006/picture">
                      <pic:pic xmlns:pic="http://schemas.openxmlformats.org/drawingml/2006/picture">
                        <pic:nvPicPr>
                          <pic:cNvPr id="186" name="图片_3"/>
                          <pic:cNvPicPr/>
                        </pic:nvPicPr>
                        <pic:blipFill>
                          <a:blip r:embed="rId17"/>
                          <a:stretch>
                            <a:fillRect/>
                          </a:stretch>
                        </pic:blipFill>
                        <pic:spPr>
                          <a:xfrm>
                            <a:off x="0" y="0"/>
                            <a:ext cx="610235" cy="867410"/>
                          </a:xfrm>
                          <a:prstGeom prst="rect">
                            <a:avLst/>
                          </a:prstGeom>
                          <a:noFill/>
                          <a:ln>
                            <a:noFill/>
                          </a:ln>
                        </pic:spPr>
                      </pic:pic>
                    </a:graphicData>
                  </a:graphic>
                </wp:anchor>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华文中宋" w:hAnsi="华文中宋" w:eastAsia="华文中宋" w:cs="华文中宋"/>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9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7</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花园画板柜  </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尺寸：83×30×131cm。</w:t>
            </w:r>
          </w:p>
          <w:p>
            <w:pPr>
              <w:keepNext w:val="0"/>
              <w:keepLines w:val="0"/>
              <w:widowControl/>
              <w:numPr>
                <w:ilvl w:val="0"/>
                <w:numId w:val="11"/>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采用18mm厚优质环保三聚氰胺双贴面高密度刨花板，甲醛释放量符合GB18580-2017标准要求。（提供饰面刨花板甲醛释放量检测报告） </w:t>
            </w:r>
          </w:p>
          <w:p>
            <w:pPr>
              <w:keepNext w:val="0"/>
              <w:keepLines w:val="0"/>
              <w:widowControl/>
              <w:numPr>
                <w:ilvl w:val="0"/>
                <w:numId w:val="11"/>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表面耐磨、耐污、耐划伤，易清洁，耐磨测试250R无透底现象。 </w:t>
            </w:r>
          </w:p>
          <w:p>
            <w:pPr>
              <w:keepNext w:val="0"/>
              <w:keepLines w:val="0"/>
              <w:widowControl/>
              <w:numPr>
                <w:ilvl w:val="0"/>
                <w:numId w:val="11"/>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原生态木蜡油封边，重金属钡、铅、镉、锑、硒、铬、汞、砷等含量符合国家标准规范的要求。（提供木蜡油8大重金属检测报告）   </w:t>
            </w:r>
          </w:p>
          <w:p>
            <w:pPr>
              <w:keepNext w:val="0"/>
              <w:keepLines w:val="0"/>
              <w:widowControl/>
              <w:numPr>
                <w:ilvl w:val="0"/>
                <w:numId w:val="11"/>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五金件选用环保五金，安全无毒。符合国家标准规范的要求，钡、铅、镉、锑、硒、铬、汞、砷等含量控制指标完全符合要求。（提供五金件8大重金属检测报告）    </w:t>
            </w:r>
          </w:p>
          <w:p>
            <w:pPr>
              <w:keepNext w:val="0"/>
              <w:keepLines w:val="0"/>
              <w:widowControl/>
              <w:numPr>
                <w:ilvl w:val="0"/>
                <w:numId w:val="11"/>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图案采用丝印工艺，颜色不易脱落，且所使用的丝印油墨均为环保材料，重金属钡、铅、镉、锑、硒、铬、汞、砷等含量符合国家标准规范的要求。（提供油墨8大重金属检测报告）    </w:t>
            </w:r>
          </w:p>
          <w:p>
            <w:pPr>
              <w:keepNext w:val="0"/>
              <w:keepLines w:val="0"/>
              <w:widowControl/>
              <w:numPr>
                <w:ilvl w:val="0"/>
                <w:numId w:val="11"/>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双面透明亚克力画板。</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采用踢脚板设计，即增加了稳定性，又可以防止杂物进入柜底。柜体底部配以耐磨塑胶PP脚钉，对地板等地面材料起到保护作用。结构稳固，不易倾倒。全面采用圆角设计，安全缝隙和孔洞均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微软雅黑" w:hAnsi="微软雅黑" w:eastAsia="微软雅黑" w:cs="微软雅黑"/>
                <w:b/>
                <w:i w:val="0"/>
                <w:color w:val="000000"/>
                <w:kern w:val="0"/>
                <w:sz w:val="20"/>
                <w:szCs w:val="20"/>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92075</wp:posOffset>
                  </wp:positionH>
                  <wp:positionV relativeFrom="paragraph">
                    <wp:posOffset>415290</wp:posOffset>
                  </wp:positionV>
                  <wp:extent cx="648970" cy="838200"/>
                  <wp:effectExtent l="0" t="0" r="17780" b="0"/>
                  <wp:wrapNone/>
                  <wp:docPr id="187" name="图片_4"/>
                  <wp:cNvGraphicFramePr/>
                  <a:graphic xmlns:a="http://schemas.openxmlformats.org/drawingml/2006/main">
                    <a:graphicData uri="http://schemas.openxmlformats.org/drawingml/2006/picture">
                      <pic:pic xmlns:pic="http://schemas.openxmlformats.org/drawingml/2006/picture">
                        <pic:nvPicPr>
                          <pic:cNvPr id="187" name="图片_4"/>
                          <pic:cNvPicPr/>
                        </pic:nvPicPr>
                        <pic:blipFill>
                          <a:blip r:embed="rId18"/>
                          <a:stretch>
                            <a:fillRect/>
                          </a:stretch>
                        </pic:blipFill>
                        <pic:spPr>
                          <a:xfrm>
                            <a:off x="0" y="0"/>
                            <a:ext cx="648970" cy="838200"/>
                          </a:xfrm>
                          <a:prstGeom prst="rect">
                            <a:avLst/>
                          </a:prstGeom>
                          <a:noFill/>
                          <a:ln>
                            <a:noFill/>
                          </a:ln>
                        </pic:spPr>
                      </pic:pic>
                    </a:graphicData>
                  </a:graphic>
                </wp:anchor>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华文中宋" w:hAnsi="华文中宋" w:eastAsia="华文中宋" w:cs="华文中宋"/>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9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8</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90度三层小角柜-实木 </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尺寸：30×30×81cm。</w:t>
            </w:r>
          </w:p>
          <w:p>
            <w:pPr>
              <w:keepNext w:val="0"/>
              <w:keepLines w:val="0"/>
              <w:widowControl/>
              <w:numPr>
                <w:ilvl w:val="0"/>
                <w:numId w:val="12"/>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主框架采用18mm厚优质环保枫木纹三聚氰胺双贴面橡胶木，甲醛释放量符合GB18580-2017标准要求。层板采用15mm厚枫木纹三聚氰胺双贴面胶合板。 （提供饰面实木板甲醛释放量检测报告）</w:t>
            </w:r>
          </w:p>
          <w:p>
            <w:pPr>
              <w:keepNext w:val="0"/>
              <w:keepLines w:val="0"/>
              <w:widowControl/>
              <w:numPr>
                <w:ilvl w:val="0"/>
                <w:numId w:val="12"/>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表面耐磨、耐污、耐划伤，易清洁，耐磨测试250R无透底现象。</w:t>
            </w:r>
          </w:p>
          <w:p>
            <w:pPr>
              <w:keepNext w:val="0"/>
              <w:keepLines w:val="0"/>
              <w:widowControl/>
              <w:numPr>
                <w:ilvl w:val="0"/>
                <w:numId w:val="12"/>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原生态木蜡油封边，重金属钡、铅、镉、锑、硒、铬、汞、砷等含量符合国家标准规范的要求。（提供木蜡油8大重金属检测报告）</w:t>
            </w:r>
          </w:p>
          <w:p>
            <w:pPr>
              <w:keepNext w:val="0"/>
              <w:keepLines w:val="0"/>
              <w:widowControl/>
              <w:numPr>
                <w:ilvl w:val="0"/>
                <w:numId w:val="12"/>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五金件选用环保五金，安全无毒。符合国家标准规范的要求，钡、铅、镉、锑、硒、铬、汞、砷等含量控制指标完全符合要求。（提供五金件8大重金属检测报告）  </w:t>
            </w:r>
          </w:p>
          <w:p>
            <w:pPr>
              <w:keepNext w:val="0"/>
              <w:keepLines w:val="0"/>
              <w:widowControl/>
              <w:numPr>
                <w:ilvl w:val="0"/>
                <w:numId w:val="12"/>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柜体采用踢脚板设计，即增加了稳定性，又可以防止杂物进入柜底。柜底配以耐磨塑胶PP脚钉，对地板等地面材料起到保护作用。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微软雅黑" w:hAnsi="微软雅黑" w:eastAsia="微软雅黑" w:cs="微软雅黑"/>
                <w:b/>
                <w:i w:val="0"/>
                <w:color w:val="000000"/>
                <w:kern w:val="0"/>
                <w:sz w:val="20"/>
                <w:szCs w:val="20"/>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46990</wp:posOffset>
                  </wp:positionH>
                  <wp:positionV relativeFrom="paragraph">
                    <wp:posOffset>426720</wp:posOffset>
                  </wp:positionV>
                  <wp:extent cx="706120" cy="1162050"/>
                  <wp:effectExtent l="0" t="0" r="17780" b="0"/>
                  <wp:wrapNone/>
                  <wp:docPr id="188" name="图片_5"/>
                  <wp:cNvGraphicFramePr/>
                  <a:graphic xmlns:a="http://schemas.openxmlformats.org/drawingml/2006/main">
                    <a:graphicData uri="http://schemas.openxmlformats.org/drawingml/2006/picture">
                      <pic:pic xmlns:pic="http://schemas.openxmlformats.org/drawingml/2006/picture">
                        <pic:nvPicPr>
                          <pic:cNvPr id="188" name="图片_5"/>
                          <pic:cNvPicPr/>
                        </pic:nvPicPr>
                        <pic:blipFill>
                          <a:blip r:embed="rId19"/>
                          <a:stretch>
                            <a:fillRect/>
                          </a:stretch>
                        </pic:blipFill>
                        <pic:spPr>
                          <a:xfrm>
                            <a:off x="0" y="0"/>
                            <a:ext cx="706120" cy="1162050"/>
                          </a:xfrm>
                          <a:prstGeom prst="rect">
                            <a:avLst/>
                          </a:prstGeom>
                          <a:noFill/>
                          <a:ln>
                            <a:noFill/>
                          </a:ln>
                        </pic:spPr>
                      </pic:pic>
                    </a:graphicData>
                  </a:graphic>
                </wp:anchor>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华文中宋" w:hAnsi="华文中宋" w:eastAsia="华文中宋" w:cs="华文中宋"/>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21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9</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雅典花园8格中空柜-枫木纹  </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尺寸：110×30×81cm。</w:t>
            </w:r>
          </w:p>
          <w:p>
            <w:pPr>
              <w:keepNext w:val="0"/>
              <w:keepLines w:val="0"/>
              <w:widowControl/>
              <w:numPr>
                <w:ilvl w:val="0"/>
                <w:numId w:val="13"/>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主框架采用18mm厚优质环保枫木纹三聚氰胺双贴面橡胶木，甲醛释放量符合GB18580-2017标准要求。层板采用15mm厚优质环保枫木纹三聚氰胺双贴面橡胶木。 （提供饰面实木板甲醛释放量检测报告）</w:t>
            </w:r>
          </w:p>
          <w:p>
            <w:pPr>
              <w:keepNext w:val="0"/>
              <w:keepLines w:val="0"/>
              <w:widowControl/>
              <w:numPr>
                <w:ilvl w:val="0"/>
                <w:numId w:val="13"/>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表面耐磨、耐污、耐划伤，易清洁，耐磨测试250R无透底现象。  </w:t>
            </w:r>
          </w:p>
          <w:p>
            <w:pPr>
              <w:keepNext w:val="0"/>
              <w:keepLines w:val="0"/>
              <w:widowControl/>
              <w:numPr>
                <w:ilvl w:val="0"/>
                <w:numId w:val="13"/>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原生态木蜡油封边，重金属钡、铅、镉、锑、硒、铬、汞、砷等含量符合国家标准规范的要求。（提供木蜡油8大重金属检测报告）</w:t>
            </w:r>
          </w:p>
          <w:p>
            <w:pPr>
              <w:keepNext w:val="0"/>
              <w:keepLines w:val="0"/>
              <w:widowControl/>
              <w:numPr>
                <w:ilvl w:val="0"/>
                <w:numId w:val="13"/>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五金件选用环保五金，安全无毒。符合国家标准规范的要求，钡、铅、镉、锑、硒、铬、汞、砷等含量控制指标完全符合要求。（提供五金件8大重金属检测报告）   </w:t>
            </w:r>
          </w:p>
          <w:p>
            <w:pPr>
              <w:keepNext w:val="0"/>
              <w:keepLines w:val="0"/>
              <w:widowControl/>
              <w:numPr>
                <w:ilvl w:val="0"/>
                <w:numId w:val="13"/>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柜体采用踢脚板设计，即增加了稳定性，又可以防止杂物进入柜底。柜底配以耐磨塑胶PP脚钉，对地板等地面材料起到保护作用。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柜体内部格局分为三层，上、下层为3格，中层为2格。顶板及侧板内部连接处设置有塑料加固装置。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微软雅黑" w:hAnsi="微软雅黑" w:eastAsia="微软雅黑" w:cs="微软雅黑"/>
                <w:b/>
                <w:i w:val="0"/>
                <w:color w:val="000000"/>
                <w:kern w:val="0"/>
                <w:sz w:val="20"/>
                <w:szCs w:val="20"/>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83820</wp:posOffset>
                  </wp:positionH>
                  <wp:positionV relativeFrom="paragraph">
                    <wp:posOffset>452120</wp:posOffset>
                  </wp:positionV>
                  <wp:extent cx="600710" cy="1009650"/>
                  <wp:effectExtent l="0" t="0" r="8890" b="0"/>
                  <wp:wrapNone/>
                  <wp:docPr id="189" name="图片_7"/>
                  <wp:cNvGraphicFramePr/>
                  <a:graphic xmlns:a="http://schemas.openxmlformats.org/drawingml/2006/main">
                    <a:graphicData uri="http://schemas.openxmlformats.org/drawingml/2006/picture">
                      <pic:pic xmlns:pic="http://schemas.openxmlformats.org/drawingml/2006/picture">
                        <pic:nvPicPr>
                          <pic:cNvPr id="189" name="图片_7"/>
                          <pic:cNvPicPr/>
                        </pic:nvPicPr>
                        <pic:blipFill>
                          <a:blip r:embed="rId20"/>
                          <a:stretch>
                            <a:fillRect/>
                          </a:stretch>
                        </pic:blipFill>
                        <pic:spPr>
                          <a:xfrm>
                            <a:off x="0" y="0"/>
                            <a:ext cx="600710" cy="1009650"/>
                          </a:xfrm>
                          <a:prstGeom prst="rect">
                            <a:avLst/>
                          </a:prstGeom>
                          <a:noFill/>
                          <a:ln>
                            <a:noFill/>
                          </a:ln>
                        </pic:spPr>
                      </pic:pic>
                    </a:graphicData>
                  </a:graphic>
                </wp:anchor>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华文中宋" w:hAnsi="华文中宋" w:eastAsia="华文中宋" w:cs="华文中宋"/>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08"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10</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美劳展示墙柜 1600*400*1400 </w:t>
            </w:r>
          </w:p>
          <w:p>
            <w:pPr>
              <w:keepNext w:val="0"/>
              <w:keepLines w:val="0"/>
              <w:widowControl/>
              <w:numPr>
                <w:ilvl w:val="0"/>
                <w:numId w:val="14"/>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框体采用16mm厚优质环保枫木纹三聚氰胺双贴面高密度刨花板，甲醛释放量符合GB18580-2017标准要求。（提供饰面刨花板甲醛释放量检测报告）   </w:t>
            </w:r>
          </w:p>
          <w:p>
            <w:pPr>
              <w:keepNext w:val="0"/>
              <w:keepLines w:val="0"/>
              <w:widowControl/>
              <w:numPr>
                <w:ilvl w:val="0"/>
                <w:numId w:val="14"/>
              </w:numPr>
              <w:suppressLineNumbers w:val="0"/>
              <w:ind w:left="0" w:leftChars="0" w:firstLine="0" w:firstLineChars="0"/>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耐磨、耐污、耐划伤，易清洁，耐磨测试250R无透底现象。    </w:t>
            </w:r>
          </w:p>
          <w:p>
            <w:pPr>
              <w:keepNext w:val="0"/>
              <w:keepLines w:val="0"/>
              <w:widowControl/>
              <w:numPr>
                <w:ilvl w:val="0"/>
                <w:numId w:val="14"/>
              </w:numPr>
              <w:suppressLineNumbers w:val="0"/>
              <w:ind w:left="0" w:leftChars="0" w:firstLine="0" w:firstLineChars="0"/>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优质PVC边条封边，邻苯二甲酸酯含量符合国家标准规范的要求。 （提供家具封边条邻苯二甲酸酯含量检测报告）   </w:t>
            </w:r>
          </w:p>
          <w:p>
            <w:pPr>
              <w:keepNext w:val="0"/>
              <w:keepLines w:val="0"/>
              <w:widowControl/>
              <w:numPr>
                <w:ilvl w:val="0"/>
                <w:numId w:val="0"/>
              </w:numPr>
              <w:suppressLineNumbers w:val="0"/>
              <w:ind w:leftChars="0"/>
              <w:jc w:val="both"/>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4、五金件选用环保五金，安全无毒。符合国家标准规范的要求，钡、铅、镉、锑、硒、铬、汞、砷等含量控制指标完全符合要求。（提供五金件8大重金属检测报告</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微软雅黑" w:hAnsi="微软雅黑" w:eastAsia="微软雅黑" w:cs="微软雅黑"/>
                <w:b/>
                <w:i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57150</wp:posOffset>
                  </wp:positionH>
                  <wp:positionV relativeFrom="paragraph">
                    <wp:posOffset>352425</wp:posOffset>
                  </wp:positionV>
                  <wp:extent cx="695325" cy="908685"/>
                  <wp:effectExtent l="0" t="0" r="9525" b="5715"/>
                  <wp:wrapNone/>
                  <wp:docPr id="190" name="图片_209"/>
                  <wp:cNvGraphicFramePr/>
                  <a:graphic xmlns:a="http://schemas.openxmlformats.org/drawingml/2006/main">
                    <a:graphicData uri="http://schemas.openxmlformats.org/drawingml/2006/picture">
                      <pic:pic xmlns:pic="http://schemas.openxmlformats.org/drawingml/2006/picture">
                        <pic:nvPicPr>
                          <pic:cNvPr id="190" name="图片_209"/>
                          <pic:cNvPicPr/>
                        </pic:nvPicPr>
                        <pic:blipFill>
                          <a:blip r:embed="rId21"/>
                          <a:stretch>
                            <a:fillRect/>
                          </a:stretch>
                        </pic:blipFill>
                        <pic:spPr>
                          <a:xfrm>
                            <a:off x="0" y="0"/>
                            <a:ext cx="695325" cy="908685"/>
                          </a:xfrm>
                          <a:prstGeom prst="rect">
                            <a:avLst/>
                          </a:prstGeom>
                          <a:noFill/>
                          <a:ln>
                            <a:noFill/>
                          </a:ln>
                        </pic:spPr>
                      </pic:pic>
                    </a:graphicData>
                  </a:graphic>
                </wp:anchor>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华文中宋" w:hAnsi="华文中宋" w:eastAsia="华文中宋" w:cs="华文中宋"/>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08"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11</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 美罗美术综合柜</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尺寸：60×60×65cm。</w:t>
            </w:r>
          </w:p>
          <w:p>
            <w:pPr>
              <w:keepNext w:val="0"/>
              <w:keepLines w:val="0"/>
              <w:widowControl/>
              <w:numPr>
                <w:ilvl w:val="0"/>
                <w:numId w:val="15"/>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采用18mm厚优质环保三聚氰胺双贴面高密度刨花板，甲醛释放量符合GB18580-2017标准要求。（提供饰面刨花板甲醛释放量检测报告）      </w:t>
            </w:r>
          </w:p>
          <w:p>
            <w:pPr>
              <w:keepNext w:val="0"/>
              <w:keepLines w:val="0"/>
              <w:widowControl/>
              <w:numPr>
                <w:ilvl w:val="0"/>
                <w:numId w:val="15"/>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耐磨、耐污、耐划伤，易清洁，耐磨测试250R无透底现象。       </w:t>
            </w:r>
          </w:p>
          <w:p>
            <w:pPr>
              <w:keepNext w:val="0"/>
              <w:keepLines w:val="0"/>
              <w:widowControl/>
              <w:numPr>
                <w:ilvl w:val="0"/>
                <w:numId w:val="15"/>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优质PVC边条封边，邻苯二甲酸酯含量符合国家标准规范的要求。 （提供家具封边条邻苯二甲酸酯含量检测报告）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 4、五金件选用环保五金，安全无毒。符合国家标准规范的要求，钡、铅、镉、锑、硒、铬、汞、砷等含量控制指标完全符合要求。（提供五金件8大重金属检测报告）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5、柜体顶部9宫格储存空间，用于美术用品的摆放。柜体底部配以4个塑料滑轮，便于移动。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6、结构稳固，不易倾倒。圆角设计，安全缝隙和孔洞符合GB28007-2011儿童家具通用技术条件的要求。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51435</wp:posOffset>
                  </wp:positionH>
                  <wp:positionV relativeFrom="paragraph">
                    <wp:posOffset>725805</wp:posOffset>
                  </wp:positionV>
                  <wp:extent cx="714375" cy="905510"/>
                  <wp:effectExtent l="0" t="0" r="9525" b="8890"/>
                  <wp:wrapNone/>
                  <wp:docPr id="293" name="图片_65"/>
                  <wp:cNvGraphicFramePr/>
                  <a:graphic xmlns:a="http://schemas.openxmlformats.org/drawingml/2006/main">
                    <a:graphicData uri="http://schemas.openxmlformats.org/drawingml/2006/picture">
                      <pic:pic xmlns:pic="http://schemas.openxmlformats.org/drawingml/2006/picture">
                        <pic:nvPicPr>
                          <pic:cNvPr id="293" name="图片_65"/>
                          <pic:cNvPicPr/>
                        </pic:nvPicPr>
                        <pic:blipFill>
                          <a:blip r:embed="rId22"/>
                          <a:stretch>
                            <a:fillRect/>
                          </a:stretch>
                        </pic:blipFill>
                        <pic:spPr>
                          <a:xfrm>
                            <a:off x="0" y="0"/>
                            <a:ext cx="714375" cy="905510"/>
                          </a:xfrm>
                          <a:prstGeom prst="rect">
                            <a:avLst/>
                          </a:prstGeom>
                          <a:noFill/>
                          <a:ln>
                            <a:noFill/>
                          </a:ln>
                        </pic:spPr>
                      </pic:pic>
                    </a:graphicData>
                  </a:graphic>
                </wp:anchor>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08"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12</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乔托晾纸架</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尺寸：60×50×80cm。</w:t>
            </w:r>
          </w:p>
          <w:p>
            <w:pPr>
              <w:keepNext w:val="0"/>
              <w:keepLines w:val="0"/>
              <w:widowControl/>
              <w:numPr>
                <w:ilvl w:val="0"/>
                <w:numId w:val="16"/>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框体采用18mm厚优质环保三聚氰胺贴面胶合板，甲醛释放量符合GB18580-2017标准要求。（提供饰面胶合板甲醛释放量检测报告）    </w:t>
            </w:r>
          </w:p>
          <w:p>
            <w:pPr>
              <w:keepNext w:val="0"/>
              <w:keepLines w:val="0"/>
              <w:widowControl/>
              <w:numPr>
                <w:ilvl w:val="0"/>
                <w:numId w:val="16"/>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表面耐磨、耐污、耐划伤，易清洁，耐磨测试250R无透底现象。    </w:t>
            </w:r>
          </w:p>
          <w:p>
            <w:pPr>
              <w:keepNext w:val="0"/>
              <w:keepLines w:val="0"/>
              <w:widowControl/>
              <w:numPr>
                <w:ilvl w:val="0"/>
                <w:numId w:val="16"/>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2"/>
                <w:szCs w:val="22"/>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3619500</wp:posOffset>
                  </wp:positionH>
                  <wp:positionV relativeFrom="paragraph">
                    <wp:posOffset>231775</wp:posOffset>
                  </wp:positionV>
                  <wp:extent cx="704850" cy="981710"/>
                  <wp:effectExtent l="0" t="0" r="0" b="8890"/>
                  <wp:wrapNone/>
                  <wp:docPr id="294" name="图片_66"/>
                  <wp:cNvGraphicFramePr/>
                  <a:graphic xmlns:a="http://schemas.openxmlformats.org/drawingml/2006/main">
                    <a:graphicData uri="http://schemas.openxmlformats.org/drawingml/2006/picture">
                      <pic:pic xmlns:pic="http://schemas.openxmlformats.org/drawingml/2006/picture">
                        <pic:nvPicPr>
                          <pic:cNvPr id="294" name="图片_66"/>
                          <pic:cNvPicPr/>
                        </pic:nvPicPr>
                        <pic:blipFill>
                          <a:blip r:embed="rId23"/>
                          <a:stretch>
                            <a:fillRect/>
                          </a:stretch>
                        </pic:blipFill>
                        <pic:spPr>
                          <a:xfrm>
                            <a:off x="0" y="0"/>
                            <a:ext cx="704850" cy="981710"/>
                          </a:xfrm>
                          <a:prstGeom prst="rect">
                            <a:avLst/>
                          </a:prstGeom>
                          <a:noFill/>
                          <a:ln>
                            <a:noFill/>
                          </a:ln>
                        </pic:spPr>
                      </pic:pic>
                    </a:graphicData>
                  </a:graphic>
                </wp:anchor>
              </w:drawing>
            </w:r>
            <w:r>
              <w:rPr>
                <w:rFonts w:hint="eastAsia" w:ascii="宋体" w:hAnsi="宋体" w:eastAsia="宋体" w:cs="宋体"/>
                <w:i w:val="0"/>
                <w:color w:val="000000"/>
                <w:kern w:val="0"/>
                <w:sz w:val="20"/>
                <w:szCs w:val="20"/>
                <w:u w:val="none"/>
                <w:lang w:val="en-US" w:eastAsia="zh-CN" w:bidi="ar"/>
              </w:rPr>
              <w:t xml:space="preserve">原生态木蜡油封边，重金属钡、铅、镉、锑、硒、铬、汞、砷等含量符合国家标准规范的要求。（提供木蜡油8大重金属检测报告）    </w:t>
            </w:r>
          </w:p>
          <w:p>
            <w:pPr>
              <w:keepNext w:val="0"/>
              <w:keepLines w:val="0"/>
              <w:widowControl/>
              <w:numPr>
                <w:ilvl w:val="0"/>
                <w:numId w:val="16"/>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五金件选用环保五金，安全无毒。符合国家标准规范的要求，钡、铅、镉、锑、硒、铬、汞、砷等含量控制指标完全符合要求。（提供五金件8大重金属检测报告）    </w:t>
            </w:r>
          </w:p>
          <w:p>
            <w:pPr>
              <w:keepNext w:val="0"/>
              <w:keepLines w:val="0"/>
              <w:widowControl/>
              <w:numPr>
                <w:ilvl w:val="0"/>
                <w:numId w:val="16"/>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柜体底部配以耐磨塑胶PP脚钉，对地板等地面材料起到保护作用。    </w:t>
            </w:r>
          </w:p>
          <w:p>
            <w:pPr>
              <w:keepNext w:val="0"/>
              <w:keepLines w:val="0"/>
              <w:widowControl/>
              <w:numPr>
                <w:ilvl w:val="0"/>
                <w:numId w:val="16"/>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晾晒的网片采用加粗钢丝焊接加工再喷漆而成，共分为11层。</w:t>
            </w:r>
          </w:p>
          <w:p>
            <w:pPr>
              <w:keepNext w:val="0"/>
              <w:keepLines w:val="0"/>
              <w:widowControl/>
              <w:numPr>
                <w:ilvl w:val="0"/>
                <w:numId w:val="16"/>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采用踢脚板设计，即增加稳定性，又可以防止杂物进入柜底。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8、结构稳固，不易倾倒，符合GB28007-2011儿童家具通用技术条件的要求。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08"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13</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克利美劳用品柜</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尺寸：60×30×56cm。</w:t>
            </w:r>
          </w:p>
          <w:p>
            <w:pPr>
              <w:keepNext w:val="0"/>
              <w:keepLines w:val="0"/>
              <w:widowControl/>
              <w:numPr>
                <w:ilvl w:val="0"/>
                <w:numId w:val="17"/>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采用18mm厚优质环保三聚氰胺双贴面高密度刨花板，甲醛释放量符合GB18580-2017标准要求。（提供饰面刨花板甲醛释放量检测报告）    </w:t>
            </w:r>
          </w:p>
          <w:p>
            <w:pPr>
              <w:keepNext w:val="0"/>
              <w:keepLines w:val="0"/>
              <w:widowControl/>
              <w:numPr>
                <w:ilvl w:val="0"/>
                <w:numId w:val="17"/>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表面耐磨、耐污、耐划伤，易清洁，耐磨测试250R无透底现象。    </w:t>
            </w:r>
          </w:p>
          <w:p>
            <w:pPr>
              <w:keepNext w:val="0"/>
              <w:keepLines w:val="0"/>
              <w:widowControl/>
              <w:numPr>
                <w:ilvl w:val="0"/>
                <w:numId w:val="17"/>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优质PVC边条封边，邻苯二甲酸酯含量符合国家标准规范的要求。 （提供家具封边条邻苯二甲酸酯含量检测报告）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4、五金件选用环保五金，安全无毒。符合国家标准规范的要求，钡、铅、镉、锑、硒、铬、汞、砷等含量控制指标完全符合要求。（提供五金件8大重金属检测报告）    </w:t>
            </w:r>
          </w:p>
          <w:p>
            <w:pPr>
              <w:keepNext w:val="0"/>
              <w:keepLines w:val="0"/>
              <w:widowControl/>
              <w:numPr>
                <w:ilvl w:val="0"/>
                <w:numId w:val="17"/>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柜体底部配以耐磨塑胶PP脚钉，对地板等地面材料起到保护作用。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6、结构稳固，不易倾倒。圆角设计，安全缝隙和孔洞符合GB28007-2011儿童家具通用技术条件的要求。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47625</wp:posOffset>
                  </wp:positionH>
                  <wp:positionV relativeFrom="paragraph">
                    <wp:posOffset>74930</wp:posOffset>
                  </wp:positionV>
                  <wp:extent cx="743585" cy="1400175"/>
                  <wp:effectExtent l="0" t="0" r="18415" b="9525"/>
                  <wp:wrapNone/>
                  <wp:docPr id="295" name="图片_67"/>
                  <wp:cNvGraphicFramePr/>
                  <a:graphic xmlns:a="http://schemas.openxmlformats.org/drawingml/2006/main">
                    <a:graphicData uri="http://schemas.openxmlformats.org/drawingml/2006/picture">
                      <pic:pic xmlns:pic="http://schemas.openxmlformats.org/drawingml/2006/picture">
                        <pic:nvPicPr>
                          <pic:cNvPr id="295" name="图片_67"/>
                          <pic:cNvPicPr/>
                        </pic:nvPicPr>
                        <pic:blipFill>
                          <a:blip r:embed="rId24"/>
                          <a:stretch>
                            <a:fillRect/>
                          </a:stretch>
                        </pic:blipFill>
                        <pic:spPr>
                          <a:xfrm>
                            <a:off x="0" y="0"/>
                            <a:ext cx="743585" cy="1400175"/>
                          </a:xfrm>
                          <a:prstGeom prst="rect">
                            <a:avLst/>
                          </a:prstGeom>
                          <a:noFill/>
                          <a:ln>
                            <a:noFill/>
                          </a:ln>
                        </pic:spPr>
                      </pic:pic>
                    </a:graphicData>
                  </a:graphic>
                </wp:anchor>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08"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14</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蒙氏收纳桌(枫木纹)</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尺寸：60×35×24cm。</w:t>
            </w:r>
          </w:p>
          <w:p>
            <w:pPr>
              <w:keepNext w:val="0"/>
              <w:keepLines w:val="0"/>
              <w:widowControl/>
              <w:numPr>
                <w:ilvl w:val="0"/>
                <w:numId w:val="18"/>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采用18mm厚优质环保三聚氰胺双贴面高密度刨花板，甲醛释放量符合GB18580-2017标准要求。（提供饰面刨花板甲醛释放量检测报告）    </w:t>
            </w:r>
          </w:p>
          <w:p>
            <w:pPr>
              <w:keepNext w:val="0"/>
              <w:keepLines w:val="0"/>
              <w:widowControl/>
              <w:numPr>
                <w:ilvl w:val="0"/>
                <w:numId w:val="18"/>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表面耐磨、耐污、耐划伤，易清洁，耐磨测试250R无透底现象。    </w:t>
            </w:r>
          </w:p>
          <w:p>
            <w:pPr>
              <w:keepNext w:val="0"/>
              <w:keepLines w:val="0"/>
              <w:widowControl/>
              <w:numPr>
                <w:ilvl w:val="0"/>
                <w:numId w:val="18"/>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优质PVC边条封边，邻苯二甲酸酯含量符合国家标准规范的要求。 （提供家具封边条邻苯二甲酸酯含量检测报告）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4、五金件选用环保五金，安全无毒。符合国家标准规范的要求，钡、铅、镉、锑、硒、铬、汞、砷等含量控制指标完全符合要求。（提供五金件8大重金属检测报告）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5、</w:t>
            </w:r>
            <w:r>
              <w:rPr>
                <w:rFonts w:hint="eastAsia" w:ascii="宋体" w:hAnsi="宋体" w:eastAsia="宋体" w:cs="宋体"/>
                <w:i w:val="0"/>
                <w:color w:val="000000"/>
                <w:kern w:val="0"/>
                <w:sz w:val="20"/>
                <w:szCs w:val="20"/>
                <w:u w:val="none"/>
                <w:lang w:val="en-US" w:eastAsia="zh-CN" w:bidi="ar"/>
              </w:rPr>
              <w:t xml:space="preserve">柜体底部配以耐磨塑胶PP脚钉，对地板等地面材料起到保护作用。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6、结构稳固，不易倾倒。圆角设计，安全缝隙和孔洞符合GB28007-2011儿童家具通用技术条件的要求。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微软雅黑" w:hAnsi="微软雅黑" w:eastAsia="微软雅黑" w:cs="微软雅黑"/>
                <w:b/>
                <w:i w:val="0"/>
                <w:color w:val="000000"/>
                <w:kern w:val="0"/>
                <w:sz w:val="20"/>
                <w:szCs w:val="20"/>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66675</wp:posOffset>
                  </wp:positionH>
                  <wp:positionV relativeFrom="paragraph">
                    <wp:posOffset>790575</wp:posOffset>
                  </wp:positionV>
                  <wp:extent cx="638810" cy="942975"/>
                  <wp:effectExtent l="0" t="0" r="8890" b="9525"/>
                  <wp:wrapNone/>
                  <wp:docPr id="298" name="图片_16"/>
                  <wp:cNvGraphicFramePr/>
                  <a:graphic xmlns:a="http://schemas.openxmlformats.org/drawingml/2006/main">
                    <a:graphicData uri="http://schemas.openxmlformats.org/drawingml/2006/picture">
                      <pic:pic xmlns:pic="http://schemas.openxmlformats.org/drawingml/2006/picture">
                        <pic:nvPicPr>
                          <pic:cNvPr id="298" name="图片_16"/>
                          <pic:cNvPicPr/>
                        </pic:nvPicPr>
                        <pic:blipFill>
                          <a:blip r:embed="rId25"/>
                          <a:stretch>
                            <a:fillRect/>
                          </a:stretch>
                        </pic:blipFill>
                        <pic:spPr>
                          <a:xfrm>
                            <a:off x="0" y="0"/>
                            <a:ext cx="638810" cy="942975"/>
                          </a:xfrm>
                          <a:prstGeom prst="rect">
                            <a:avLst/>
                          </a:prstGeom>
                          <a:noFill/>
                          <a:ln>
                            <a:noFill/>
                          </a:ln>
                        </pic:spPr>
                      </pic:pic>
                    </a:graphicData>
                  </a:graphic>
                </wp:anchor>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华文中宋" w:hAnsi="华文中宋" w:eastAsia="华文中宋" w:cs="华文中宋"/>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08"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15</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挪葳森林-基本图书柜 </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尺寸：83.6×30×85cm。</w:t>
            </w:r>
          </w:p>
          <w:p>
            <w:pPr>
              <w:keepNext w:val="0"/>
              <w:keepLines w:val="0"/>
              <w:widowControl/>
              <w:numPr>
                <w:ilvl w:val="0"/>
                <w:numId w:val="19"/>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采用15mm厚优质环保三聚氰胺贴面胶合板，甲醛释放量符合GB18580-2017标准要求。（提供饰面胶合板甲醛释放量检测报告）    </w:t>
            </w:r>
          </w:p>
          <w:p>
            <w:pPr>
              <w:keepNext w:val="0"/>
              <w:keepLines w:val="0"/>
              <w:widowControl/>
              <w:numPr>
                <w:ilvl w:val="0"/>
                <w:numId w:val="19"/>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表面耐磨、耐污、耐划伤，易清洁，耐磨测试250R无透底现象。    </w:t>
            </w:r>
          </w:p>
          <w:p>
            <w:pPr>
              <w:keepNext w:val="0"/>
              <w:keepLines w:val="0"/>
              <w:widowControl/>
              <w:numPr>
                <w:ilvl w:val="0"/>
                <w:numId w:val="19"/>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原生态木蜡油封边，重金属钡、铅、镉、锑、硒、铬、汞、砷等含量符合国家标准规范的要求。（提供木蜡油8大重金属检测报告）   </w:t>
            </w:r>
          </w:p>
          <w:p>
            <w:pPr>
              <w:keepNext w:val="0"/>
              <w:keepLines w:val="0"/>
              <w:widowControl/>
              <w:numPr>
                <w:ilvl w:val="0"/>
                <w:numId w:val="19"/>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五金件选用环保五金，安全无毒。符合国家标准规范的要求，钡、铅、镉、锑、硒、铬、汞、砷等含量控制指标完全符合要求。（提供五金件8大重金属检测报告）    </w:t>
            </w:r>
          </w:p>
          <w:p>
            <w:pPr>
              <w:keepNext w:val="0"/>
              <w:keepLines w:val="0"/>
              <w:widowControl/>
              <w:numPr>
                <w:ilvl w:val="0"/>
                <w:numId w:val="19"/>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采用错层设计，方便图书的分类摆放及取阅。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6、采用踢脚板设计，即增加稳定性，又可以防止杂物进入柜底。底部配以耐磨塑胶PP脚钉，对地板等地面材料起到保护作用。结构稳固，不易倾倒，符合GB28007-2011儿童家具通用技术条件的要求。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微软雅黑" w:hAnsi="微软雅黑" w:eastAsia="微软雅黑" w:cs="微软雅黑"/>
                <w:b/>
                <w:i w:val="0"/>
                <w:color w:val="000000"/>
                <w:kern w:val="0"/>
                <w:sz w:val="20"/>
                <w:szCs w:val="20"/>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19050</wp:posOffset>
                  </wp:positionH>
                  <wp:positionV relativeFrom="paragraph">
                    <wp:posOffset>76200</wp:posOffset>
                  </wp:positionV>
                  <wp:extent cx="647700" cy="1057275"/>
                  <wp:effectExtent l="0" t="0" r="0" b="9525"/>
                  <wp:wrapNone/>
                  <wp:docPr id="299" name="图片_18"/>
                  <wp:cNvGraphicFramePr/>
                  <a:graphic xmlns:a="http://schemas.openxmlformats.org/drawingml/2006/main">
                    <a:graphicData uri="http://schemas.openxmlformats.org/drawingml/2006/picture">
                      <pic:pic xmlns:pic="http://schemas.openxmlformats.org/drawingml/2006/picture">
                        <pic:nvPicPr>
                          <pic:cNvPr id="299" name="图片_18"/>
                          <pic:cNvPicPr/>
                        </pic:nvPicPr>
                        <pic:blipFill>
                          <a:blip r:embed="rId26"/>
                          <a:stretch>
                            <a:fillRect/>
                          </a:stretch>
                        </pic:blipFill>
                        <pic:spPr>
                          <a:xfrm>
                            <a:off x="0" y="0"/>
                            <a:ext cx="647700" cy="1057275"/>
                          </a:xfrm>
                          <a:prstGeom prst="rect">
                            <a:avLst/>
                          </a:prstGeom>
                          <a:noFill/>
                          <a:ln>
                            <a:noFill/>
                          </a:ln>
                        </pic:spPr>
                      </pic:pic>
                    </a:graphicData>
                  </a:graphic>
                </wp:anchor>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华文中宋" w:hAnsi="华文中宋" w:eastAsia="华文中宋" w:cs="华文中宋"/>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08"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16</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哈佛立式中空双格柜（枫木） </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尺寸：33×30×55cm。</w:t>
            </w:r>
          </w:p>
          <w:p>
            <w:pPr>
              <w:keepNext w:val="0"/>
              <w:keepLines w:val="0"/>
              <w:widowControl/>
              <w:numPr>
                <w:ilvl w:val="0"/>
                <w:numId w:val="20"/>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框体采用16mm厚优质环保枫木纹三聚氰胺双贴面高密度刨花板，甲醛释放量符合GB18580-2017标准要求。（提供饰面刨花板甲醛释放量检测报告）   </w:t>
            </w:r>
          </w:p>
          <w:p>
            <w:pPr>
              <w:keepNext w:val="0"/>
              <w:keepLines w:val="0"/>
              <w:widowControl/>
              <w:numPr>
                <w:ilvl w:val="0"/>
                <w:numId w:val="20"/>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耐磨、耐污、耐划伤，易清洁，耐磨测试250R无透底现象。    </w:t>
            </w:r>
          </w:p>
          <w:p>
            <w:pPr>
              <w:keepNext w:val="0"/>
              <w:keepLines w:val="0"/>
              <w:widowControl/>
              <w:numPr>
                <w:ilvl w:val="0"/>
                <w:numId w:val="20"/>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优质PVC边条封边，邻苯二甲酸酯含量符合国家标准规范的要求。 （提供家具封边条邻苯二甲酸酯含量检测报告）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4、五金件选用环保五金，安全无毒。符合国家标准规范的要求，钡、铅、镉、锑、硒、铬、汞、砷等含量控制指标完全符合要求。（提供五金件8大重金属检测报告）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5、</w:t>
            </w:r>
            <w:r>
              <w:rPr>
                <w:rFonts w:hint="eastAsia" w:ascii="宋体" w:hAnsi="宋体" w:eastAsia="宋体" w:cs="宋体"/>
                <w:i w:val="0"/>
                <w:color w:val="000000"/>
                <w:kern w:val="0"/>
                <w:sz w:val="20"/>
                <w:szCs w:val="20"/>
                <w:u w:val="none"/>
                <w:lang w:val="en-US" w:eastAsia="zh-CN" w:bidi="ar"/>
              </w:rPr>
              <w:t xml:space="preserve">柜体采用踢脚板设计，即增加了稳定性，又可以防止杂物进入柜底。柜底配以耐磨塑胶PP脚钉，对地板等地面材料起到保护作用。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微软雅黑" w:hAnsi="微软雅黑" w:eastAsia="微软雅黑" w:cs="微软雅黑"/>
                <w:b/>
                <w:i w:val="0"/>
                <w:color w:val="000000"/>
                <w:kern w:val="0"/>
                <w:sz w:val="20"/>
                <w:szCs w:val="20"/>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95250</wp:posOffset>
                  </wp:positionH>
                  <wp:positionV relativeFrom="paragraph">
                    <wp:posOffset>1085850</wp:posOffset>
                  </wp:positionV>
                  <wp:extent cx="657860" cy="1133475"/>
                  <wp:effectExtent l="0" t="0" r="8890" b="9525"/>
                  <wp:wrapNone/>
                  <wp:docPr id="300" name="图片_20"/>
                  <wp:cNvGraphicFramePr/>
                  <a:graphic xmlns:a="http://schemas.openxmlformats.org/drawingml/2006/main">
                    <a:graphicData uri="http://schemas.openxmlformats.org/drawingml/2006/picture">
                      <pic:pic xmlns:pic="http://schemas.openxmlformats.org/drawingml/2006/picture">
                        <pic:nvPicPr>
                          <pic:cNvPr id="300" name="图片_20"/>
                          <pic:cNvPicPr/>
                        </pic:nvPicPr>
                        <pic:blipFill>
                          <a:blip r:embed="rId27"/>
                          <a:stretch>
                            <a:fillRect/>
                          </a:stretch>
                        </pic:blipFill>
                        <pic:spPr>
                          <a:xfrm>
                            <a:off x="0" y="0"/>
                            <a:ext cx="657860" cy="1133475"/>
                          </a:xfrm>
                          <a:prstGeom prst="rect">
                            <a:avLst/>
                          </a:prstGeom>
                          <a:noFill/>
                          <a:ln>
                            <a:noFill/>
                          </a:ln>
                        </pic:spPr>
                      </pic:pic>
                    </a:graphicData>
                  </a:graphic>
                </wp:anchor>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华文中宋" w:hAnsi="华文中宋" w:eastAsia="华文中宋" w:cs="华文中宋"/>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08"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17</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 哈佛立式中空三格柜（枫木）</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尺寸：33×30×80cm。</w:t>
            </w:r>
          </w:p>
          <w:p>
            <w:pPr>
              <w:keepNext w:val="0"/>
              <w:keepLines w:val="0"/>
              <w:widowControl/>
              <w:numPr>
                <w:ilvl w:val="0"/>
                <w:numId w:val="21"/>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框体采用16mm厚优质环保枫木纹三聚氰胺双贴面高密度刨花板，甲醛释放量符合GB18580-2017标准要求。（提供饰面刨花板甲醛释放量检测报告）   </w:t>
            </w:r>
          </w:p>
          <w:p>
            <w:pPr>
              <w:keepNext w:val="0"/>
              <w:keepLines w:val="0"/>
              <w:widowControl/>
              <w:numPr>
                <w:ilvl w:val="0"/>
                <w:numId w:val="21"/>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耐磨、耐污、耐划伤，易清洁，耐磨测试250R无透底现象。    </w:t>
            </w:r>
          </w:p>
          <w:p>
            <w:pPr>
              <w:keepNext w:val="0"/>
              <w:keepLines w:val="0"/>
              <w:widowControl/>
              <w:numPr>
                <w:ilvl w:val="0"/>
                <w:numId w:val="21"/>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优质PVC边条封边，邻苯二甲酸酯含量符合国家标准规范的要求。 （提供家具封边条邻苯二甲酸酯含量检测报告）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4、五金件选用环保五金，安全无毒。符合国家标准规范的要求，钡、铅、镉、锑、硒、铬、汞、砷等含量控制指标完全符合要求。（提供五金件8大重金属检测报告）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5、</w:t>
            </w:r>
            <w:r>
              <w:rPr>
                <w:rFonts w:hint="eastAsia" w:ascii="宋体" w:hAnsi="宋体" w:eastAsia="宋体" w:cs="宋体"/>
                <w:i w:val="0"/>
                <w:color w:val="000000"/>
                <w:kern w:val="0"/>
                <w:sz w:val="20"/>
                <w:szCs w:val="20"/>
                <w:u w:val="none"/>
                <w:lang w:val="en-US" w:eastAsia="zh-CN" w:bidi="ar"/>
              </w:rPr>
              <w:t xml:space="preserve">柜体采用踢脚板设计，即增加了稳定性，又可以防止杂物进入柜底。柜底配以耐磨塑胶PP脚钉，对地板等地面材料起到保护作用。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微软雅黑" w:hAnsi="微软雅黑" w:eastAsia="微软雅黑" w:cs="微软雅黑"/>
                <w:b/>
                <w:i w:val="0"/>
                <w:color w:val="000000"/>
                <w:kern w:val="0"/>
                <w:sz w:val="20"/>
                <w:szCs w:val="20"/>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19050</wp:posOffset>
                  </wp:positionH>
                  <wp:positionV relativeFrom="paragraph">
                    <wp:posOffset>826135</wp:posOffset>
                  </wp:positionV>
                  <wp:extent cx="781050" cy="1152525"/>
                  <wp:effectExtent l="0" t="0" r="0" b="9525"/>
                  <wp:wrapNone/>
                  <wp:docPr id="301" name="图片_21"/>
                  <wp:cNvGraphicFramePr/>
                  <a:graphic xmlns:a="http://schemas.openxmlformats.org/drawingml/2006/main">
                    <a:graphicData uri="http://schemas.openxmlformats.org/drawingml/2006/picture">
                      <pic:pic xmlns:pic="http://schemas.openxmlformats.org/drawingml/2006/picture">
                        <pic:nvPicPr>
                          <pic:cNvPr id="301" name="图片_21"/>
                          <pic:cNvPicPr/>
                        </pic:nvPicPr>
                        <pic:blipFill>
                          <a:blip r:embed="rId28"/>
                          <a:stretch>
                            <a:fillRect/>
                          </a:stretch>
                        </pic:blipFill>
                        <pic:spPr>
                          <a:xfrm>
                            <a:off x="0" y="0"/>
                            <a:ext cx="781050" cy="1152525"/>
                          </a:xfrm>
                          <a:prstGeom prst="rect">
                            <a:avLst/>
                          </a:prstGeom>
                          <a:noFill/>
                          <a:ln>
                            <a:noFill/>
                          </a:ln>
                        </pic:spPr>
                      </pic:pic>
                    </a:graphicData>
                  </a:graphic>
                </wp:anchor>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华文中宋" w:hAnsi="华文中宋" w:eastAsia="华文中宋" w:cs="华文中宋"/>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08"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18</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系统图书柜 </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尺寸：64×30×59cm。</w:t>
            </w:r>
          </w:p>
          <w:p>
            <w:pPr>
              <w:keepNext w:val="0"/>
              <w:keepLines w:val="0"/>
              <w:widowControl/>
              <w:numPr>
                <w:ilvl w:val="0"/>
                <w:numId w:val="22"/>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采用18mm厚优质环保三聚氰胺双贴面高密度刨花板，甲醛释放量符合GB18580-2017标准要求。（提供饰面刨花板甲醛释放量检测报告）    </w:t>
            </w:r>
          </w:p>
          <w:p>
            <w:pPr>
              <w:keepNext w:val="0"/>
              <w:keepLines w:val="0"/>
              <w:widowControl/>
              <w:numPr>
                <w:ilvl w:val="0"/>
                <w:numId w:val="22"/>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表面耐磨、耐污、耐划伤，易清洁，耐磨测试250R无透底现象。    </w:t>
            </w:r>
          </w:p>
          <w:p>
            <w:pPr>
              <w:keepNext w:val="0"/>
              <w:keepLines w:val="0"/>
              <w:widowControl/>
              <w:numPr>
                <w:ilvl w:val="0"/>
                <w:numId w:val="22"/>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优质PVC边条封边，邻苯二甲酸酯含量符合国家标准规范的要求。 （提供家具封边条邻苯二甲酸酯含量检测报告）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4、五金件选用环保五金，安全无毒。符合国家标准规范的要求，钡、铅、镉、锑、硒、铬、汞、砷等含量控制指标完全符合要求。（提供五金件8大重金属检测报告）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5、</w:t>
            </w:r>
            <w:r>
              <w:rPr>
                <w:rFonts w:hint="eastAsia" w:ascii="宋体" w:hAnsi="宋体" w:eastAsia="宋体" w:cs="宋体"/>
                <w:i w:val="0"/>
                <w:color w:val="000000"/>
                <w:kern w:val="0"/>
                <w:sz w:val="20"/>
                <w:szCs w:val="20"/>
                <w:u w:val="none"/>
                <w:lang w:val="en-US" w:eastAsia="zh-CN" w:bidi="ar"/>
              </w:rPr>
              <w:t xml:space="preserve">共有二层，下层采用2格存放空间，上层采用立式存放空间。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6、采用踢脚板设计，即增加了稳定性，又可以防止杂物进入柜底。柜体底部配以耐磨塑胶PP脚钉，对地板等地面材料起到保护作用。结构稳固，不易倾倒。全面采用圆角设计，安全缝隙和孔洞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微软雅黑" w:hAnsi="微软雅黑" w:eastAsia="微软雅黑" w:cs="微软雅黑"/>
                <w:b/>
                <w:i w:val="0"/>
                <w:color w:val="000000"/>
                <w:kern w:val="0"/>
                <w:sz w:val="20"/>
                <w:szCs w:val="20"/>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38735</wp:posOffset>
                  </wp:positionH>
                  <wp:positionV relativeFrom="paragraph">
                    <wp:posOffset>186055</wp:posOffset>
                  </wp:positionV>
                  <wp:extent cx="742950" cy="1000125"/>
                  <wp:effectExtent l="0" t="0" r="0" b="9525"/>
                  <wp:wrapNone/>
                  <wp:docPr id="302" name="图片_22"/>
                  <wp:cNvGraphicFramePr/>
                  <a:graphic xmlns:a="http://schemas.openxmlformats.org/drawingml/2006/main">
                    <a:graphicData uri="http://schemas.openxmlformats.org/drawingml/2006/picture">
                      <pic:pic xmlns:pic="http://schemas.openxmlformats.org/drawingml/2006/picture">
                        <pic:nvPicPr>
                          <pic:cNvPr id="302" name="图片_22"/>
                          <pic:cNvPicPr/>
                        </pic:nvPicPr>
                        <pic:blipFill>
                          <a:blip r:embed="rId29"/>
                          <a:stretch>
                            <a:fillRect/>
                          </a:stretch>
                        </pic:blipFill>
                        <pic:spPr>
                          <a:xfrm>
                            <a:off x="0" y="0"/>
                            <a:ext cx="742950" cy="1000125"/>
                          </a:xfrm>
                          <a:prstGeom prst="rect">
                            <a:avLst/>
                          </a:prstGeom>
                          <a:noFill/>
                          <a:ln>
                            <a:noFill/>
                          </a:ln>
                        </pic:spPr>
                      </pic:pic>
                    </a:graphicData>
                  </a:graphic>
                </wp:anchor>
              </w:drawing>
            </w:r>
            <w:r>
              <w:rPr>
                <w:rFonts w:hint="eastAsia" w:ascii="微软雅黑" w:hAnsi="微软雅黑" w:eastAsia="微软雅黑" w:cs="微软雅黑"/>
                <w:b/>
                <w:i w:val="0"/>
                <w:color w:val="000000"/>
                <w:kern w:val="0"/>
                <w:sz w:val="20"/>
                <w:szCs w:val="20"/>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1279525</wp:posOffset>
                  </wp:positionH>
                  <wp:positionV relativeFrom="paragraph">
                    <wp:posOffset>819150</wp:posOffset>
                  </wp:positionV>
                  <wp:extent cx="828675" cy="742950"/>
                  <wp:effectExtent l="0" t="0" r="0" b="0"/>
                  <wp:wrapNone/>
                  <wp:docPr id="303" name="AutoShape_139"/>
                  <wp:cNvGraphicFramePr/>
                  <a:graphic xmlns:a="http://schemas.openxmlformats.org/drawingml/2006/main">
                    <a:graphicData uri="http://schemas.openxmlformats.org/drawingml/2006/picture">
                      <pic:pic xmlns:pic="http://schemas.openxmlformats.org/drawingml/2006/picture">
                        <pic:nvPicPr>
                          <pic:cNvPr id="303" name="AutoShape_139"/>
                          <pic:cNvPicPr/>
                        </pic:nvPicPr>
                        <pic:blipFill>
                          <a:blip r:embed="rId30"/>
                          <a:stretch>
                            <a:fillRect/>
                          </a:stretch>
                        </pic:blipFill>
                        <pic:spPr>
                          <a:xfrm>
                            <a:off x="0" y="0"/>
                            <a:ext cx="828675" cy="742950"/>
                          </a:xfrm>
                          <a:prstGeom prst="rect">
                            <a:avLst/>
                          </a:prstGeom>
                          <a:noFill/>
                          <a:ln>
                            <a:noFill/>
                          </a:ln>
                        </pic:spPr>
                      </pic:pic>
                    </a:graphicData>
                  </a:graphic>
                </wp:anchor>
              </w:drawing>
            </w:r>
            <w:r>
              <w:rPr>
                <w:rFonts w:hint="eastAsia" w:ascii="微软雅黑" w:hAnsi="微软雅黑" w:eastAsia="微软雅黑" w:cs="微软雅黑"/>
                <w:b/>
                <w:i w:val="0"/>
                <w:color w:val="000000"/>
                <w:kern w:val="0"/>
                <w:sz w:val="20"/>
                <w:szCs w:val="20"/>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1279525</wp:posOffset>
                  </wp:positionH>
                  <wp:positionV relativeFrom="paragraph">
                    <wp:posOffset>819150</wp:posOffset>
                  </wp:positionV>
                  <wp:extent cx="828675" cy="742950"/>
                  <wp:effectExtent l="0" t="0" r="0" b="0"/>
                  <wp:wrapNone/>
                  <wp:docPr id="304" name="AutoShape_138"/>
                  <wp:cNvGraphicFramePr/>
                  <a:graphic xmlns:a="http://schemas.openxmlformats.org/drawingml/2006/main">
                    <a:graphicData uri="http://schemas.openxmlformats.org/drawingml/2006/picture">
                      <pic:pic xmlns:pic="http://schemas.openxmlformats.org/drawingml/2006/picture">
                        <pic:nvPicPr>
                          <pic:cNvPr id="304" name="AutoShape_138"/>
                          <pic:cNvPicPr/>
                        </pic:nvPicPr>
                        <pic:blipFill>
                          <a:blip r:embed="rId30"/>
                          <a:stretch>
                            <a:fillRect/>
                          </a:stretch>
                        </pic:blipFill>
                        <pic:spPr>
                          <a:xfrm>
                            <a:off x="0" y="0"/>
                            <a:ext cx="828675" cy="742950"/>
                          </a:xfrm>
                          <a:prstGeom prst="rect">
                            <a:avLst/>
                          </a:prstGeom>
                          <a:noFill/>
                          <a:ln>
                            <a:noFill/>
                          </a:ln>
                        </pic:spPr>
                      </pic:pic>
                    </a:graphicData>
                  </a:graphic>
                </wp:anchor>
              </w:drawing>
            </w:r>
            <w:r>
              <w:rPr>
                <w:rFonts w:hint="eastAsia" w:ascii="微软雅黑" w:hAnsi="微软雅黑" w:eastAsia="微软雅黑" w:cs="微软雅黑"/>
                <w:b/>
                <w:i w:val="0"/>
                <w:color w:val="000000"/>
                <w:kern w:val="0"/>
                <w:sz w:val="20"/>
                <w:szCs w:val="20"/>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1292225</wp:posOffset>
                  </wp:positionH>
                  <wp:positionV relativeFrom="paragraph">
                    <wp:posOffset>819150</wp:posOffset>
                  </wp:positionV>
                  <wp:extent cx="835025" cy="742950"/>
                  <wp:effectExtent l="0" t="0" r="0" b="0"/>
                  <wp:wrapNone/>
                  <wp:docPr id="305" name="AutoShape_139_SpCnt_1"/>
                  <wp:cNvGraphicFramePr/>
                  <a:graphic xmlns:a="http://schemas.openxmlformats.org/drawingml/2006/main">
                    <a:graphicData uri="http://schemas.openxmlformats.org/drawingml/2006/picture">
                      <pic:pic xmlns:pic="http://schemas.openxmlformats.org/drawingml/2006/picture">
                        <pic:nvPicPr>
                          <pic:cNvPr id="305" name="AutoShape_139_SpCnt_1"/>
                          <pic:cNvPicPr/>
                        </pic:nvPicPr>
                        <pic:blipFill>
                          <a:blip r:embed="rId31"/>
                          <a:stretch>
                            <a:fillRect/>
                          </a:stretch>
                        </pic:blipFill>
                        <pic:spPr>
                          <a:xfrm>
                            <a:off x="0" y="0"/>
                            <a:ext cx="835025" cy="742950"/>
                          </a:xfrm>
                          <a:prstGeom prst="rect">
                            <a:avLst/>
                          </a:prstGeom>
                          <a:noFill/>
                          <a:ln>
                            <a:noFill/>
                          </a:ln>
                        </pic:spPr>
                      </pic:pic>
                    </a:graphicData>
                  </a:graphic>
                </wp:anchor>
              </w:drawing>
            </w:r>
            <w:r>
              <w:rPr>
                <w:rFonts w:hint="eastAsia" w:ascii="微软雅黑" w:hAnsi="微软雅黑" w:eastAsia="微软雅黑" w:cs="微软雅黑"/>
                <w:b/>
                <w:i w:val="0"/>
                <w:color w:val="000000"/>
                <w:kern w:val="0"/>
                <w:sz w:val="20"/>
                <w:szCs w:val="20"/>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1292225</wp:posOffset>
                  </wp:positionH>
                  <wp:positionV relativeFrom="paragraph">
                    <wp:posOffset>819150</wp:posOffset>
                  </wp:positionV>
                  <wp:extent cx="835025" cy="742950"/>
                  <wp:effectExtent l="0" t="0" r="0" b="0"/>
                  <wp:wrapNone/>
                  <wp:docPr id="306" name="AutoShape_138_SpCnt_1"/>
                  <wp:cNvGraphicFramePr/>
                  <a:graphic xmlns:a="http://schemas.openxmlformats.org/drawingml/2006/main">
                    <a:graphicData uri="http://schemas.openxmlformats.org/drawingml/2006/picture">
                      <pic:pic xmlns:pic="http://schemas.openxmlformats.org/drawingml/2006/picture">
                        <pic:nvPicPr>
                          <pic:cNvPr id="306" name="AutoShape_138_SpCnt_1"/>
                          <pic:cNvPicPr/>
                        </pic:nvPicPr>
                        <pic:blipFill>
                          <a:blip r:embed="rId31"/>
                          <a:stretch>
                            <a:fillRect/>
                          </a:stretch>
                        </pic:blipFill>
                        <pic:spPr>
                          <a:xfrm>
                            <a:off x="0" y="0"/>
                            <a:ext cx="835025" cy="742950"/>
                          </a:xfrm>
                          <a:prstGeom prst="rect">
                            <a:avLst/>
                          </a:prstGeom>
                          <a:noFill/>
                          <a:ln>
                            <a:noFill/>
                          </a:ln>
                        </pic:spPr>
                      </pic:pic>
                    </a:graphicData>
                  </a:graphic>
                </wp:anchor>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1698176" behindDoc="0" locked="0" layoutInCell="1" allowOverlap="1">
                  <wp:simplePos x="0" y="0"/>
                  <wp:positionH relativeFrom="column">
                    <wp:posOffset>0</wp:posOffset>
                  </wp:positionH>
                  <wp:positionV relativeFrom="paragraph">
                    <wp:posOffset>819150</wp:posOffset>
                  </wp:positionV>
                  <wp:extent cx="1612900" cy="742950"/>
                  <wp:effectExtent l="0" t="0" r="0" b="0"/>
                  <wp:wrapNone/>
                  <wp:docPr id="391" name="AutoShape_138"/>
                  <wp:cNvGraphicFramePr/>
                  <a:graphic xmlns:a="http://schemas.openxmlformats.org/drawingml/2006/main">
                    <a:graphicData uri="http://schemas.openxmlformats.org/drawingml/2006/picture">
                      <pic:pic xmlns:pic="http://schemas.openxmlformats.org/drawingml/2006/picture">
                        <pic:nvPicPr>
                          <pic:cNvPr id="391" name="AutoShape_138"/>
                          <pic:cNvPicPr/>
                        </pic:nvPicPr>
                        <pic:blipFill>
                          <a:blip r:embed="rId32"/>
                          <a:stretch>
                            <a:fillRect/>
                          </a:stretch>
                        </pic:blipFill>
                        <pic:spPr>
                          <a:xfrm>
                            <a:off x="0" y="0"/>
                            <a:ext cx="1612900" cy="74295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1698176" behindDoc="0" locked="0" layoutInCell="1" allowOverlap="1">
                  <wp:simplePos x="0" y="0"/>
                  <wp:positionH relativeFrom="column">
                    <wp:posOffset>0</wp:posOffset>
                  </wp:positionH>
                  <wp:positionV relativeFrom="paragraph">
                    <wp:posOffset>819150</wp:posOffset>
                  </wp:positionV>
                  <wp:extent cx="1612900" cy="742950"/>
                  <wp:effectExtent l="0" t="0" r="0" b="0"/>
                  <wp:wrapNone/>
                  <wp:docPr id="392" name="AutoShape_139"/>
                  <wp:cNvGraphicFramePr/>
                  <a:graphic xmlns:a="http://schemas.openxmlformats.org/drawingml/2006/main">
                    <a:graphicData uri="http://schemas.openxmlformats.org/drawingml/2006/picture">
                      <pic:pic xmlns:pic="http://schemas.openxmlformats.org/drawingml/2006/picture">
                        <pic:nvPicPr>
                          <pic:cNvPr id="392" name="AutoShape_139"/>
                          <pic:cNvPicPr/>
                        </pic:nvPicPr>
                        <pic:blipFill>
                          <a:blip r:embed="rId32"/>
                          <a:stretch>
                            <a:fillRect/>
                          </a:stretch>
                        </pic:blipFill>
                        <pic:spPr>
                          <a:xfrm>
                            <a:off x="0" y="0"/>
                            <a:ext cx="1612900" cy="74295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1698176" behindDoc="0" locked="0" layoutInCell="1" allowOverlap="1">
                  <wp:simplePos x="0" y="0"/>
                  <wp:positionH relativeFrom="column">
                    <wp:posOffset>0</wp:posOffset>
                  </wp:positionH>
                  <wp:positionV relativeFrom="paragraph">
                    <wp:posOffset>819150</wp:posOffset>
                  </wp:positionV>
                  <wp:extent cx="1612900" cy="742950"/>
                  <wp:effectExtent l="0" t="0" r="0" b="0"/>
                  <wp:wrapNone/>
                  <wp:docPr id="393" name="AutoShape_139_SpCnt_1"/>
                  <wp:cNvGraphicFramePr/>
                  <a:graphic xmlns:a="http://schemas.openxmlformats.org/drawingml/2006/main">
                    <a:graphicData uri="http://schemas.openxmlformats.org/drawingml/2006/picture">
                      <pic:pic xmlns:pic="http://schemas.openxmlformats.org/drawingml/2006/picture">
                        <pic:nvPicPr>
                          <pic:cNvPr id="393" name="AutoShape_139_SpCnt_1"/>
                          <pic:cNvPicPr/>
                        </pic:nvPicPr>
                        <pic:blipFill>
                          <a:blip r:embed="rId32"/>
                          <a:stretch>
                            <a:fillRect/>
                          </a:stretch>
                        </pic:blipFill>
                        <pic:spPr>
                          <a:xfrm>
                            <a:off x="0" y="0"/>
                            <a:ext cx="1612900" cy="74295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1698176" behindDoc="0" locked="0" layoutInCell="1" allowOverlap="1">
                  <wp:simplePos x="0" y="0"/>
                  <wp:positionH relativeFrom="column">
                    <wp:posOffset>0</wp:posOffset>
                  </wp:positionH>
                  <wp:positionV relativeFrom="paragraph">
                    <wp:posOffset>819150</wp:posOffset>
                  </wp:positionV>
                  <wp:extent cx="1612900" cy="742950"/>
                  <wp:effectExtent l="0" t="0" r="0" b="0"/>
                  <wp:wrapNone/>
                  <wp:docPr id="394" name="AutoShape_138_SpCnt_1"/>
                  <wp:cNvGraphicFramePr/>
                  <a:graphic xmlns:a="http://schemas.openxmlformats.org/drawingml/2006/main">
                    <a:graphicData uri="http://schemas.openxmlformats.org/drawingml/2006/picture">
                      <pic:pic xmlns:pic="http://schemas.openxmlformats.org/drawingml/2006/picture">
                        <pic:nvPicPr>
                          <pic:cNvPr id="394" name="AutoShape_138_SpCnt_1"/>
                          <pic:cNvPicPr/>
                        </pic:nvPicPr>
                        <pic:blipFill>
                          <a:blip r:embed="rId32"/>
                          <a:stretch>
                            <a:fillRect/>
                          </a:stretch>
                        </pic:blipFill>
                        <pic:spPr>
                          <a:xfrm>
                            <a:off x="0" y="0"/>
                            <a:ext cx="1612900" cy="74295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08"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19</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bCs w:val="0"/>
                <w:i w:val="0"/>
                <w:color w:val="000000"/>
                <w:kern w:val="0"/>
                <w:sz w:val="20"/>
                <w:szCs w:val="20"/>
                <w:u w:val="none"/>
                <w:lang w:val="en-US" w:eastAsia="zh-CN" w:bidi="ar"/>
              </w:rPr>
            </w:pPr>
            <w:r>
              <w:rPr>
                <w:rFonts w:hint="eastAsia" w:ascii="宋体" w:hAnsi="宋体" w:eastAsia="宋体" w:cs="宋体"/>
                <w:b w:val="0"/>
                <w:bCs w:val="0"/>
                <w:i w:val="0"/>
                <w:color w:val="000000"/>
                <w:kern w:val="0"/>
                <w:sz w:val="20"/>
                <w:szCs w:val="20"/>
                <w:u w:val="none"/>
                <w:lang w:val="en-US" w:eastAsia="zh-CN" w:bidi="ar"/>
              </w:rPr>
              <w:t xml:space="preserve"> 双人动物沙发（乳牛） </w:t>
            </w:r>
          </w:p>
          <w:p>
            <w:pPr>
              <w:keepNext w:val="0"/>
              <w:keepLines w:val="0"/>
              <w:widowControl/>
              <w:suppressLineNumbers w:val="0"/>
              <w:jc w:val="left"/>
              <w:textAlignment w:val="center"/>
              <w:rPr>
                <w:rFonts w:hint="eastAsia" w:ascii="宋体" w:hAnsi="宋体" w:eastAsia="宋体" w:cs="宋体"/>
                <w:b w:val="0"/>
                <w:bCs w:val="0"/>
                <w:i w:val="0"/>
                <w:color w:val="000000"/>
                <w:kern w:val="0"/>
                <w:sz w:val="20"/>
                <w:szCs w:val="20"/>
                <w:u w:val="none"/>
                <w:lang w:val="en-US" w:eastAsia="zh-CN" w:bidi="ar"/>
              </w:rPr>
            </w:pPr>
            <w:r>
              <w:rPr>
                <w:rFonts w:hint="eastAsia" w:ascii="宋体" w:hAnsi="宋体" w:eastAsia="宋体" w:cs="宋体"/>
                <w:b w:val="0"/>
                <w:bCs w:val="0"/>
                <w:i w:val="0"/>
                <w:color w:val="000000"/>
                <w:kern w:val="0"/>
                <w:sz w:val="20"/>
                <w:szCs w:val="20"/>
                <w:u w:val="none"/>
                <w:lang w:val="en-US" w:eastAsia="zh-CN" w:bidi="ar"/>
              </w:rPr>
              <w:t>尺寸：86×56×58cm。采用木框架，环保耐磨皮和高密度泡棉包覆，皮革中不含可分解芳香胺，且游离甲醛含量符合国家标准规范的要求。颜色亮丽、充满童趣的乳牛造型设计，为幼儿提供温馨的学习、休闲环境。</w:t>
            </w:r>
          </w:p>
          <w:p>
            <w:pPr>
              <w:keepNext w:val="0"/>
              <w:keepLines w:val="0"/>
              <w:widowControl/>
              <w:suppressLineNumbers w:val="0"/>
              <w:jc w:val="left"/>
              <w:textAlignment w:val="center"/>
              <w:rPr>
                <w:rFonts w:hint="eastAsia"/>
                <w:lang w:val="en-US" w:eastAsia="zh-CN"/>
              </w:rPr>
            </w:pPr>
            <w:r>
              <w:rPr>
                <w:rFonts w:hint="eastAsia" w:ascii="宋体" w:hAnsi="宋体" w:eastAsia="宋体" w:cs="宋体"/>
                <w:b w:val="0"/>
                <w:bCs w:val="0"/>
                <w:i w:val="0"/>
                <w:color w:val="000000"/>
                <w:kern w:val="0"/>
                <w:sz w:val="20"/>
                <w:szCs w:val="20"/>
                <w:u w:val="none"/>
                <w:lang w:val="en-US" w:eastAsia="zh-CN" w:bidi="ar"/>
              </w:rPr>
              <w:t>（提供皮革可分解芳香胺和游离甲醛含量检测报告）</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微软雅黑" w:hAnsi="微软雅黑" w:eastAsia="微软雅黑" w:cs="微软雅黑"/>
                <w:b/>
                <w:i w:val="0"/>
                <w:color w:val="000000"/>
                <w:kern w:val="0"/>
                <w:sz w:val="20"/>
                <w:szCs w:val="20"/>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47625</wp:posOffset>
                  </wp:positionH>
                  <wp:positionV relativeFrom="paragraph">
                    <wp:posOffset>227965</wp:posOffset>
                  </wp:positionV>
                  <wp:extent cx="562610" cy="629285"/>
                  <wp:effectExtent l="0" t="0" r="8890" b="18415"/>
                  <wp:wrapNone/>
                  <wp:docPr id="307" name="图片_13"/>
                  <wp:cNvGraphicFramePr/>
                  <a:graphic xmlns:a="http://schemas.openxmlformats.org/drawingml/2006/main">
                    <a:graphicData uri="http://schemas.openxmlformats.org/drawingml/2006/picture">
                      <pic:pic xmlns:pic="http://schemas.openxmlformats.org/drawingml/2006/picture">
                        <pic:nvPicPr>
                          <pic:cNvPr id="307" name="图片_13"/>
                          <pic:cNvPicPr/>
                        </pic:nvPicPr>
                        <pic:blipFill>
                          <a:blip r:embed="rId33"/>
                          <a:stretch>
                            <a:fillRect/>
                          </a:stretch>
                        </pic:blipFill>
                        <pic:spPr>
                          <a:xfrm>
                            <a:off x="0" y="0"/>
                            <a:ext cx="562610" cy="629285"/>
                          </a:xfrm>
                          <a:prstGeom prst="rect">
                            <a:avLst/>
                          </a:prstGeom>
                          <a:noFill/>
                          <a:ln>
                            <a:noFill/>
                          </a:ln>
                        </pic:spPr>
                      </pic:pic>
                    </a:graphicData>
                  </a:graphic>
                </wp:anchor>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组</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华文中宋" w:hAnsi="华文中宋" w:eastAsia="华文中宋" w:cs="华文中宋"/>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08"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20</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val="0"/>
                <w:bCs w:val="0"/>
                <w:i w:val="0"/>
                <w:color w:val="000000"/>
                <w:kern w:val="0"/>
                <w:sz w:val="20"/>
                <w:szCs w:val="20"/>
                <w:u w:val="none"/>
                <w:lang w:val="en-US" w:eastAsia="zh-CN" w:bidi="ar"/>
              </w:rPr>
            </w:pPr>
            <w:r>
              <w:rPr>
                <w:rFonts w:hint="eastAsia"/>
                <w:lang w:val="en-US" w:eastAsia="zh-CN"/>
              </w:rPr>
              <w:t xml:space="preserve"> </w:t>
            </w:r>
            <w:r>
              <w:rPr>
                <w:rFonts w:hint="eastAsia" w:ascii="宋体" w:hAnsi="宋体" w:eastAsia="宋体" w:cs="宋体"/>
                <w:b w:val="0"/>
                <w:bCs w:val="0"/>
                <w:i w:val="0"/>
                <w:color w:val="000000"/>
                <w:kern w:val="0"/>
                <w:sz w:val="20"/>
                <w:szCs w:val="20"/>
                <w:u w:val="none"/>
                <w:lang w:val="en-US" w:eastAsia="zh-CN" w:bidi="ar"/>
              </w:rPr>
              <w:t xml:space="preserve">双人动物沙发（大象） </w:t>
            </w:r>
          </w:p>
          <w:p>
            <w:pPr>
              <w:keepNext w:val="0"/>
              <w:keepLines w:val="0"/>
              <w:widowControl/>
              <w:suppressLineNumbers w:val="0"/>
              <w:jc w:val="left"/>
              <w:textAlignment w:val="center"/>
              <w:rPr>
                <w:rFonts w:hint="eastAsia"/>
                <w:lang w:val="en-US" w:eastAsia="zh-CN"/>
              </w:rPr>
            </w:pPr>
            <w:r>
              <w:rPr>
                <w:rFonts w:hint="eastAsia" w:ascii="宋体" w:hAnsi="宋体" w:eastAsia="宋体" w:cs="宋体"/>
                <w:b w:val="0"/>
                <w:bCs w:val="0"/>
                <w:i w:val="0"/>
                <w:color w:val="000000"/>
                <w:kern w:val="0"/>
                <w:sz w:val="20"/>
                <w:szCs w:val="20"/>
                <w:u w:val="none"/>
                <w:lang w:val="en-US" w:eastAsia="zh-CN" w:bidi="ar"/>
              </w:rPr>
              <w:t>尺寸：87×50×61cm。采用木框架，环保耐磨皮和高密度泡棉包覆，皮革中不含可分解芳香胺，且游离甲醛含量符合国家标准规范的要求。颜色亮丽、充满童趣的大象造型设计，为幼儿提供温馨的学习、休闲环境。</w:t>
            </w:r>
          </w:p>
          <w:p>
            <w:pPr>
              <w:pStyle w:val="2"/>
              <w:rPr>
                <w:rFonts w:hint="eastAsia"/>
                <w:lang w:val="en-US" w:eastAsia="zh-CN"/>
              </w:rPr>
            </w:pPr>
            <w:r>
              <w:rPr>
                <w:rFonts w:hint="eastAsia" w:ascii="宋体" w:hAnsi="宋体" w:eastAsia="宋体" w:cs="宋体"/>
                <w:b w:val="0"/>
                <w:bCs w:val="0"/>
                <w:i w:val="0"/>
                <w:color w:val="000000"/>
                <w:kern w:val="0"/>
                <w:sz w:val="20"/>
                <w:szCs w:val="20"/>
                <w:u w:val="none"/>
                <w:lang w:val="en-US" w:eastAsia="zh-CN" w:bidi="ar"/>
              </w:rPr>
              <w:t>（提供皮革可分解芳香胺和游离甲醛含量检测报告）</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微软雅黑" w:hAnsi="微软雅黑" w:eastAsia="微软雅黑" w:cs="微软雅黑"/>
                <w:b/>
                <w:i w:val="0"/>
                <w:color w:val="000000"/>
                <w:kern w:val="0"/>
                <w:sz w:val="20"/>
                <w:szCs w:val="20"/>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38100</wp:posOffset>
                  </wp:positionH>
                  <wp:positionV relativeFrom="paragraph">
                    <wp:posOffset>68580</wp:posOffset>
                  </wp:positionV>
                  <wp:extent cx="753110" cy="838200"/>
                  <wp:effectExtent l="0" t="0" r="8890" b="0"/>
                  <wp:wrapNone/>
                  <wp:docPr id="308" name="图片_14"/>
                  <wp:cNvGraphicFramePr/>
                  <a:graphic xmlns:a="http://schemas.openxmlformats.org/drawingml/2006/main">
                    <a:graphicData uri="http://schemas.openxmlformats.org/drawingml/2006/picture">
                      <pic:pic xmlns:pic="http://schemas.openxmlformats.org/drawingml/2006/picture">
                        <pic:nvPicPr>
                          <pic:cNvPr id="308" name="图片_14"/>
                          <pic:cNvPicPr/>
                        </pic:nvPicPr>
                        <pic:blipFill>
                          <a:blip r:embed="rId34"/>
                          <a:stretch>
                            <a:fillRect/>
                          </a:stretch>
                        </pic:blipFill>
                        <pic:spPr>
                          <a:xfrm>
                            <a:off x="0" y="0"/>
                            <a:ext cx="753110" cy="838200"/>
                          </a:xfrm>
                          <a:prstGeom prst="rect">
                            <a:avLst/>
                          </a:prstGeom>
                          <a:noFill/>
                          <a:ln>
                            <a:noFill/>
                          </a:ln>
                        </pic:spPr>
                      </pic:pic>
                    </a:graphicData>
                  </a:graphic>
                </wp:anchor>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组</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1612900" cy="742950"/>
                  <wp:effectExtent l="0" t="0" r="0" b="0"/>
                  <wp:wrapNone/>
                  <wp:docPr id="395" name="AutoShape_139_SpCnt_2"/>
                  <wp:cNvGraphicFramePr/>
                  <a:graphic xmlns:a="http://schemas.openxmlformats.org/drawingml/2006/main">
                    <a:graphicData uri="http://schemas.openxmlformats.org/drawingml/2006/picture">
                      <pic:pic xmlns:pic="http://schemas.openxmlformats.org/drawingml/2006/picture">
                        <pic:nvPicPr>
                          <pic:cNvPr id="395" name="AutoShape_139_SpCnt_2"/>
                          <pic:cNvPicPr/>
                        </pic:nvPicPr>
                        <pic:blipFill>
                          <a:blip r:embed="rId32"/>
                          <a:stretch>
                            <a:fillRect/>
                          </a:stretch>
                        </pic:blipFill>
                        <pic:spPr>
                          <a:xfrm>
                            <a:off x="0" y="0"/>
                            <a:ext cx="1612900" cy="74295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1612900" cy="742950"/>
                  <wp:effectExtent l="0" t="0" r="0" b="0"/>
                  <wp:wrapNone/>
                  <wp:docPr id="396" name="AutoShape_138_SpCnt_2"/>
                  <wp:cNvGraphicFramePr/>
                  <a:graphic xmlns:a="http://schemas.openxmlformats.org/drawingml/2006/main">
                    <a:graphicData uri="http://schemas.openxmlformats.org/drawingml/2006/picture">
                      <pic:pic xmlns:pic="http://schemas.openxmlformats.org/drawingml/2006/picture">
                        <pic:nvPicPr>
                          <pic:cNvPr id="396" name="AutoShape_138_SpCnt_2"/>
                          <pic:cNvPicPr/>
                        </pic:nvPicPr>
                        <pic:blipFill>
                          <a:blip r:embed="rId32"/>
                          <a:stretch>
                            <a:fillRect/>
                          </a:stretch>
                        </pic:blipFill>
                        <pic:spPr>
                          <a:xfrm>
                            <a:off x="0" y="0"/>
                            <a:ext cx="1612900" cy="74295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1612900" cy="742950"/>
                  <wp:effectExtent l="0" t="0" r="0" b="0"/>
                  <wp:wrapNone/>
                  <wp:docPr id="397" name="AutoShape_139_SpCnt_3"/>
                  <wp:cNvGraphicFramePr/>
                  <a:graphic xmlns:a="http://schemas.openxmlformats.org/drawingml/2006/main">
                    <a:graphicData uri="http://schemas.openxmlformats.org/drawingml/2006/picture">
                      <pic:pic xmlns:pic="http://schemas.openxmlformats.org/drawingml/2006/picture">
                        <pic:nvPicPr>
                          <pic:cNvPr id="397" name="AutoShape_139_SpCnt_3"/>
                          <pic:cNvPicPr/>
                        </pic:nvPicPr>
                        <pic:blipFill>
                          <a:blip r:embed="rId32"/>
                          <a:stretch>
                            <a:fillRect/>
                          </a:stretch>
                        </pic:blipFill>
                        <pic:spPr>
                          <a:xfrm>
                            <a:off x="0" y="0"/>
                            <a:ext cx="1612900" cy="74295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1612900" cy="742950"/>
                  <wp:effectExtent l="0" t="0" r="0" b="0"/>
                  <wp:wrapNone/>
                  <wp:docPr id="398" name="AutoShape_138_SpCnt_3"/>
                  <wp:cNvGraphicFramePr/>
                  <a:graphic xmlns:a="http://schemas.openxmlformats.org/drawingml/2006/main">
                    <a:graphicData uri="http://schemas.openxmlformats.org/drawingml/2006/picture">
                      <pic:pic xmlns:pic="http://schemas.openxmlformats.org/drawingml/2006/picture">
                        <pic:nvPicPr>
                          <pic:cNvPr id="398" name="AutoShape_138_SpCnt_3"/>
                          <pic:cNvPicPr/>
                        </pic:nvPicPr>
                        <pic:blipFill>
                          <a:blip r:embed="rId32"/>
                          <a:stretch>
                            <a:fillRect/>
                          </a:stretch>
                        </pic:blipFill>
                        <pic:spPr>
                          <a:xfrm>
                            <a:off x="0" y="0"/>
                            <a:ext cx="1612900" cy="74295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1612900" cy="742950"/>
                  <wp:effectExtent l="0" t="0" r="0" b="0"/>
                  <wp:wrapNone/>
                  <wp:docPr id="399" name="AutoShape_138_SpCnt_4"/>
                  <wp:cNvGraphicFramePr/>
                  <a:graphic xmlns:a="http://schemas.openxmlformats.org/drawingml/2006/main">
                    <a:graphicData uri="http://schemas.openxmlformats.org/drawingml/2006/picture">
                      <pic:pic xmlns:pic="http://schemas.openxmlformats.org/drawingml/2006/picture">
                        <pic:nvPicPr>
                          <pic:cNvPr id="399" name="AutoShape_138_SpCnt_4"/>
                          <pic:cNvPicPr/>
                        </pic:nvPicPr>
                        <pic:blipFill>
                          <a:blip r:embed="rId32"/>
                          <a:stretch>
                            <a:fillRect/>
                          </a:stretch>
                        </pic:blipFill>
                        <pic:spPr>
                          <a:xfrm>
                            <a:off x="0" y="0"/>
                            <a:ext cx="1612900" cy="74295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1612900" cy="742950"/>
                  <wp:effectExtent l="0" t="0" r="0" b="0"/>
                  <wp:wrapNone/>
                  <wp:docPr id="400" name="AutoShape_139_SpCnt_4"/>
                  <wp:cNvGraphicFramePr/>
                  <a:graphic xmlns:a="http://schemas.openxmlformats.org/drawingml/2006/main">
                    <a:graphicData uri="http://schemas.openxmlformats.org/drawingml/2006/picture">
                      <pic:pic xmlns:pic="http://schemas.openxmlformats.org/drawingml/2006/picture">
                        <pic:nvPicPr>
                          <pic:cNvPr id="400" name="AutoShape_139_SpCnt_4"/>
                          <pic:cNvPicPr/>
                        </pic:nvPicPr>
                        <pic:blipFill>
                          <a:blip r:embed="rId32"/>
                          <a:stretch>
                            <a:fillRect/>
                          </a:stretch>
                        </pic:blipFill>
                        <pic:spPr>
                          <a:xfrm>
                            <a:off x="0" y="0"/>
                            <a:ext cx="1612900" cy="74295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1612900" cy="742950"/>
                  <wp:effectExtent l="0" t="0" r="0" b="0"/>
                  <wp:wrapNone/>
                  <wp:docPr id="401" name="AutoShape_139_SpCnt_5"/>
                  <wp:cNvGraphicFramePr/>
                  <a:graphic xmlns:a="http://schemas.openxmlformats.org/drawingml/2006/main">
                    <a:graphicData uri="http://schemas.openxmlformats.org/drawingml/2006/picture">
                      <pic:pic xmlns:pic="http://schemas.openxmlformats.org/drawingml/2006/picture">
                        <pic:nvPicPr>
                          <pic:cNvPr id="401" name="AutoShape_139_SpCnt_5"/>
                          <pic:cNvPicPr/>
                        </pic:nvPicPr>
                        <pic:blipFill>
                          <a:blip r:embed="rId32"/>
                          <a:stretch>
                            <a:fillRect/>
                          </a:stretch>
                        </pic:blipFill>
                        <pic:spPr>
                          <a:xfrm>
                            <a:off x="0" y="0"/>
                            <a:ext cx="1612900" cy="74295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1612900" cy="742950"/>
                  <wp:effectExtent l="0" t="0" r="0" b="0"/>
                  <wp:wrapNone/>
                  <wp:docPr id="402" name="AutoShape_138_SpCnt_5"/>
                  <wp:cNvGraphicFramePr/>
                  <a:graphic xmlns:a="http://schemas.openxmlformats.org/drawingml/2006/main">
                    <a:graphicData uri="http://schemas.openxmlformats.org/drawingml/2006/picture">
                      <pic:pic xmlns:pic="http://schemas.openxmlformats.org/drawingml/2006/picture">
                        <pic:nvPicPr>
                          <pic:cNvPr id="402" name="AutoShape_138_SpCnt_5"/>
                          <pic:cNvPicPr/>
                        </pic:nvPicPr>
                        <pic:blipFill>
                          <a:blip r:embed="rId32"/>
                          <a:stretch>
                            <a:fillRect/>
                          </a:stretch>
                        </pic:blipFill>
                        <pic:spPr>
                          <a:xfrm>
                            <a:off x="0" y="0"/>
                            <a:ext cx="1612900" cy="74295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819150</wp:posOffset>
                  </wp:positionV>
                  <wp:extent cx="1612900" cy="742950"/>
                  <wp:effectExtent l="0" t="0" r="0" b="0"/>
                  <wp:wrapNone/>
                  <wp:docPr id="403" name="AutoShape_139_SpCnt_6"/>
                  <wp:cNvGraphicFramePr/>
                  <a:graphic xmlns:a="http://schemas.openxmlformats.org/drawingml/2006/main">
                    <a:graphicData uri="http://schemas.openxmlformats.org/drawingml/2006/picture">
                      <pic:pic xmlns:pic="http://schemas.openxmlformats.org/drawingml/2006/picture">
                        <pic:nvPicPr>
                          <pic:cNvPr id="403" name="AutoShape_139_SpCnt_6"/>
                          <pic:cNvPicPr/>
                        </pic:nvPicPr>
                        <pic:blipFill>
                          <a:blip r:embed="rId32"/>
                          <a:stretch>
                            <a:fillRect/>
                          </a:stretch>
                        </pic:blipFill>
                        <pic:spPr>
                          <a:xfrm>
                            <a:off x="0" y="0"/>
                            <a:ext cx="1612900" cy="74295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819150</wp:posOffset>
                  </wp:positionV>
                  <wp:extent cx="1612900" cy="742950"/>
                  <wp:effectExtent l="0" t="0" r="0" b="0"/>
                  <wp:wrapNone/>
                  <wp:docPr id="404" name="AutoShape_138_SpCnt_6"/>
                  <wp:cNvGraphicFramePr/>
                  <a:graphic xmlns:a="http://schemas.openxmlformats.org/drawingml/2006/main">
                    <a:graphicData uri="http://schemas.openxmlformats.org/drawingml/2006/picture">
                      <pic:pic xmlns:pic="http://schemas.openxmlformats.org/drawingml/2006/picture">
                        <pic:nvPicPr>
                          <pic:cNvPr id="404" name="AutoShape_138_SpCnt_6"/>
                          <pic:cNvPicPr/>
                        </pic:nvPicPr>
                        <pic:blipFill>
                          <a:blip r:embed="rId32"/>
                          <a:stretch>
                            <a:fillRect/>
                          </a:stretch>
                        </pic:blipFill>
                        <pic:spPr>
                          <a:xfrm>
                            <a:off x="0" y="0"/>
                            <a:ext cx="1612900" cy="74295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819150</wp:posOffset>
                  </wp:positionV>
                  <wp:extent cx="1612900" cy="742950"/>
                  <wp:effectExtent l="0" t="0" r="0" b="0"/>
                  <wp:wrapNone/>
                  <wp:docPr id="405" name="AutoShape_138_SpCnt_7"/>
                  <wp:cNvGraphicFramePr/>
                  <a:graphic xmlns:a="http://schemas.openxmlformats.org/drawingml/2006/main">
                    <a:graphicData uri="http://schemas.openxmlformats.org/drawingml/2006/picture">
                      <pic:pic xmlns:pic="http://schemas.openxmlformats.org/drawingml/2006/picture">
                        <pic:nvPicPr>
                          <pic:cNvPr id="405" name="AutoShape_138_SpCnt_7"/>
                          <pic:cNvPicPr/>
                        </pic:nvPicPr>
                        <pic:blipFill>
                          <a:blip r:embed="rId32"/>
                          <a:stretch>
                            <a:fillRect/>
                          </a:stretch>
                        </pic:blipFill>
                        <pic:spPr>
                          <a:xfrm>
                            <a:off x="0" y="0"/>
                            <a:ext cx="1612900" cy="74295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819150</wp:posOffset>
                  </wp:positionV>
                  <wp:extent cx="1612900" cy="742950"/>
                  <wp:effectExtent l="0" t="0" r="0" b="0"/>
                  <wp:wrapNone/>
                  <wp:docPr id="406" name="AutoShape_139_SpCnt_7"/>
                  <wp:cNvGraphicFramePr/>
                  <a:graphic xmlns:a="http://schemas.openxmlformats.org/drawingml/2006/main">
                    <a:graphicData uri="http://schemas.openxmlformats.org/drawingml/2006/picture">
                      <pic:pic xmlns:pic="http://schemas.openxmlformats.org/drawingml/2006/picture">
                        <pic:nvPicPr>
                          <pic:cNvPr id="406" name="AutoShape_139_SpCnt_7"/>
                          <pic:cNvPicPr/>
                        </pic:nvPicPr>
                        <pic:blipFill>
                          <a:blip r:embed="rId32"/>
                          <a:stretch>
                            <a:fillRect/>
                          </a:stretch>
                        </pic:blipFill>
                        <pic:spPr>
                          <a:xfrm>
                            <a:off x="0" y="0"/>
                            <a:ext cx="1612900" cy="74295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819150</wp:posOffset>
                  </wp:positionV>
                  <wp:extent cx="1612900" cy="742950"/>
                  <wp:effectExtent l="0" t="0" r="0" b="0"/>
                  <wp:wrapNone/>
                  <wp:docPr id="407" name="AutoShape_139_SpCnt_8"/>
                  <wp:cNvGraphicFramePr/>
                  <a:graphic xmlns:a="http://schemas.openxmlformats.org/drawingml/2006/main">
                    <a:graphicData uri="http://schemas.openxmlformats.org/drawingml/2006/picture">
                      <pic:pic xmlns:pic="http://schemas.openxmlformats.org/drawingml/2006/picture">
                        <pic:nvPicPr>
                          <pic:cNvPr id="407" name="AutoShape_139_SpCnt_8"/>
                          <pic:cNvPicPr/>
                        </pic:nvPicPr>
                        <pic:blipFill>
                          <a:blip r:embed="rId32"/>
                          <a:stretch>
                            <a:fillRect/>
                          </a:stretch>
                        </pic:blipFill>
                        <pic:spPr>
                          <a:xfrm>
                            <a:off x="0" y="0"/>
                            <a:ext cx="1612900" cy="74295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819150</wp:posOffset>
                  </wp:positionV>
                  <wp:extent cx="1612900" cy="742950"/>
                  <wp:effectExtent l="0" t="0" r="0" b="0"/>
                  <wp:wrapNone/>
                  <wp:docPr id="408" name="AutoShape_138_SpCnt_8"/>
                  <wp:cNvGraphicFramePr/>
                  <a:graphic xmlns:a="http://schemas.openxmlformats.org/drawingml/2006/main">
                    <a:graphicData uri="http://schemas.openxmlformats.org/drawingml/2006/picture">
                      <pic:pic xmlns:pic="http://schemas.openxmlformats.org/drawingml/2006/picture">
                        <pic:nvPicPr>
                          <pic:cNvPr id="408" name="AutoShape_138_SpCnt_8"/>
                          <pic:cNvPicPr/>
                        </pic:nvPicPr>
                        <pic:blipFill>
                          <a:blip r:embed="rId32"/>
                          <a:stretch>
                            <a:fillRect/>
                          </a:stretch>
                        </pic:blipFill>
                        <pic:spPr>
                          <a:xfrm>
                            <a:off x="0" y="0"/>
                            <a:ext cx="1612900" cy="74295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819150</wp:posOffset>
                  </wp:positionV>
                  <wp:extent cx="1612900" cy="742950"/>
                  <wp:effectExtent l="0" t="0" r="0" b="0"/>
                  <wp:wrapNone/>
                  <wp:docPr id="409" name="AutoShape_138_SpCnt_9"/>
                  <wp:cNvGraphicFramePr/>
                  <a:graphic xmlns:a="http://schemas.openxmlformats.org/drawingml/2006/main">
                    <a:graphicData uri="http://schemas.openxmlformats.org/drawingml/2006/picture">
                      <pic:pic xmlns:pic="http://schemas.openxmlformats.org/drawingml/2006/picture">
                        <pic:nvPicPr>
                          <pic:cNvPr id="409" name="AutoShape_138_SpCnt_9"/>
                          <pic:cNvPicPr/>
                        </pic:nvPicPr>
                        <pic:blipFill>
                          <a:blip r:embed="rId32"/>
                          <a:stretch>
                            <a:fillRect/>
                          </a:stretch>
                        </pic:blipFill>
                        <pic:spPr>
                          <a:xfrm>
                            <a:off x="0" y="0"/>
                            <a:ext cx="1612900" cy="74295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819150</wp:posOffset>
                  </wp:positionV>
                  <wp:extent cx="1612900" cy="742950"/>
                  <wp:effectExtent l="0" t="0" r="0" b="0"/>
                  <wp:wrapNone/>
                  <wp:docPr id="410" name="AutoShape_139_SpCnt_9"/>
                  <wp:cNvGraphicFramePr/>
                  <a:graphic xmlns:a="http://schemas.openxmlformats.org/drawingml/2006/main">
                    <a:graphicData uri="http://schemas.openxmlformats.org/drawingml/2006/picture">
                      <pic:pic xmlns:pic="http://schemas.openxmlformats.org/drawingml/2006/picture">
                        <pic:nvPicPr>
                          <pic:cNvPr id="410" name="AutoShape_139_SpCnt_9"/>
                          <pic:cNvPicPr/>
                        </pic:nvPicPr>
                        <pic:blipFill>
                          <a:blip r:embed="rId32"/>
                          <a:stretch>
                            <a:fillRect/>
                          </a:stretch>
                        </pic:blipFill>
                        <pic:spPr>
                          <a:xfrm>
                            <a:off x="0" y="0"/>
                            <a:ext cx="1612900" cy="74295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08"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21</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2"/>
              <w:rPr>
                <w:rFonts w:hint="eastAsia" w:ascii="宋体" w:hAnsi="宋体" w:eastAsia="宋体" w:cs="宋体"/>
                <w:b w:val="0"/>
                <w:bCs w:val="0"/>
                <w:i w:val="0"/>
                <w:color w:val="000000"/>
                <w:kern w:val="0"/>
                <w:sz w:val="20"/>
                <w:szCs w:val="20"/>
                <w:u w:val="none"/>
                <w:lang w:val="en-US" w:eastAsia="zh-CN" w:bidi="ar"/>
              </w:rPr>
            </w:pPr>
            <w:r>
              <w:rPr>
                <w:rFonts w:hint="eastAsia" w:ascii="宋体" w:hAnsi="宋体" w:eastAsia="宋体" w:cs="宋体"/>
                <w:b w:val="0"/>
                <w:bCs w:val="0"/>
                <w:i w:val="0"/>
                <w:color w:val="000000"/>
                <w:kern w:val="0"/>
                <w:sz w:val="20"/>
                <w:szCs w:val="20"/>
                <w:u w:val="none"/>
                <w:lang w:val="en-US" w:eastAsia="zh-CN" w:bidi="ar"/>
              </w:rPr>
              <w:t>三人动物沙发（长颈鹿）</w:t>
            </w:r>
          </w:p>
          <w:p>
            <w:pPr>
              <w:pStyle w:val="2"/>
              <w:rPr>
                <w:rFonts w:hint="eastAsia" w:ascii="宋体" w:hAnsi="宋体" w:eastAsia="宋体" w:cs="宋体"/>
                <w:b w:val="0"/>
                <w:bCs w:val="0"/>
                <w:i w:val="0"/>
                <w:color w:val="000000"/>
                <w:kern w:val="0"/>
                <w:sz w:val="20"/>
                <w:szCs w:val="20"/>
                <w:u w:val="none"/>
                <w:lang w:val="en-US" w:eastAsia="zh-CN" w:bidi="ar"/>
              </w:rPr>
            </w:pPr>
            <w:r>
              <w:rPr>
                <w:rFonts w:hint="eastAsia" w:ascii="宋体" w:hAnsi="宋体" w:eastAsia="宋体" w:cs="宋体"/>
                <w:b w:val="0"/>
                <w:bCs w:val="0"/>
                <w:i w:val="0"/>
                <w:color w:val="000000"/>
                <w:kern w:val="0"/>
                <w:sz w:val="20"/>
                <w:szCs w:val="20"/>
                <w:u w:val="none"/>
                <w:lang w:val="en-US" w:eastAsia="zh-CN" w:bidi="ar"/>
              </w:rPr>
              <w:t>尺寸：118×53×61cm。采用木框架，环保耐磨皮和高密度泡棉包覆，皮革中不含可分解芳香胺，且游离甲醛含量符合国家标准规范的要求。颜色亮丽、充满童趣的长颈鹿造型设计，为幼儿提供温馨的学习、休闲环境。</w:t>
            </w:r>
          </w:p>
          <w:p>
            <w:pPr>
              <w:pStyle w:val="2"/>
              <w:rPr>
                <w:rFonts w:hint="eastAsia"/>
                <w:lang w:val="en-US" w:eastAsia="zh-CN"/>
              </w:rPr>
            </w:pPr>
            <w:r>
              <w:rPr>
                <w:rFonts w:hint="eastAsia" w:ascii="宋体" w:hAnsi="宋体" w:eastAsia="宋体" w:cs="宋体"/>
                <w:b w:val="0"/>
                <w:bCs w:val="0"/>
                <w:i w:val="0"/>
                <w:color w:val="000000"/>
                <w:kern w:val="0"/>
                <w:sz w:val="20"/>
                <w:szCs w:val="20"/>
                <w:u w:val="none"/>
                <w:lang w:val="en-US" w:eastAsia="zh-CN" w:bidi="ar"/>
              </w:rPr>
              <w:t>（提供皮革可分解芳香胺和游离甲醛含量检测报告）</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color w:val="000000"/>
                <w:kern w:val="0"/>
                <w:sz w:val="22"/>
                <w:szCs w:val="22"/>
                <w:u w:val="none"/>
                <w:lang w:val="en-US" w:eastAsia="zh-CN" w:bidi="ar"/>
              </w:rPr>
            </w:pPr>
            <w:r>
              <w:rPr>
                <w:rFonts w:hint="eastAsia" w:ascii="微软雅黑" w:hAnsi="微软雅黑" w:eastAsia="微软雅黑" w:cs="微软雅黑"/>
                <w:b/>
                <w:i w:val="0"/>
                <w:color w:val="000000"/>
                <w:kern w:val="0"/>
                <w:sz w:val="20"/>
                <w:szCs w:val="20"/>
                <w:u w:val="none"/>
                <w:bdr w:val="single" w:color="000000" w:sz="4" w:space="0"/>
                <w:lang w:val="en-US" w:eastAsia="zh-CN" w:bidi="ar"/>
              </w:rPr>
              <w:drawing>
                <wp:anchor distT="0" distB="0" distL="114300" distR="114300" simplePos="0" relativeHeight="251675648" behindDoc="0" locked="0" layoutInCell="1" allowOverlap="1">
                  <wp:simplePos x="0" y="0"/>
                  <wp:positionH relativeFrom="column">
                    <wp:posOffset>28575</wp:posOffset>
                  </wp:positionH>
                  <wp:positionV relativeFrom="paragraph">
                    <wp:posOffset>127635</wp:posOffset>
                  </wp:positionV>
                  <wp:extent cx="695960" cy="905510"/>
                  <wp:effectExtent l="0" t="0" r="8890" b="8890"/>
                  <wp:wrapNone/>
                  <wp:docPr id="309" name="图片_15"/>
                  <wp:cNvGraphicFramePr/>
                  <a:graphic xmlns:a="http://schemas.openxmlformats.org/drawingml/2006/main">
                    <a:graphicData uri="http://schemas.openxmlformats.org/drawingml/2006/picture">
                      <pic:pic xmlns:pic="http://schemas.openxmlformats.org/drawingml/2006/picture">
                        <pic:nvPicPr>
                          <pic:cNvPr id="309" name="图片_15"/>
                          <pic:cNvPicPr/>
                        </pic:nvPicPr>
                        <pic:blipFill>
                          <a:blip r:embed="rId35"/>
                          <a:stretch>
                            <a:fillRect/>
                          </a:stretch>
                        </pic:blipFill>
                        <pic:spPr>
                          <a:xfrm>
                            <a:off x="0" y="0"/>
                            <a:ext cx="695960" cy="905510"/>
                          </a:xfrm>
                          <a:prstGeom prst="rect">
                            <a:avLst/>
                          </a:prstGeom>
                          <a:noFill/>
                          <a:ln>
                            <a:noFill/>
                          </a:ln>
                        </pic:spPr>
                      </pic:pic>
                    </a:graphicData>
                  </a:graphic>
                </wp:anchor>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组</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1700224" behindDoc="0" locked="0" layoutInCell="1" allowOverlap="1">
                  <wp:simplePos x="0" y="0"/>
                  <wp:positionH relativeFrom="column">
                    <wp:posOffset>0</wp:posOffset>
                  </wp:positionH>
                  <wp:positionV relativeFrom="paragraph">
                    <wp:posOffset>819150</wp:posOffset>
                  </wp:positionV>
                  <wp:extent cx="1612900" cy="742950"/>
                  <wp:effectExtent l="0" t="0" r="0" b="0"/>
                  <wp:wrapNone/>
                  <wp:docPr id="411" name="AutoShape_138_SpCnt_10"/>
                  <wp:cNvGraphicFramePr/>
                  <a:graphic xmlns:a="http://schemas.openxmlformats.org/drawingml/2006/main">
                    <a:graphicData uri="http://schemas.openxmlformats.org/drawingml/2006/picture">
                      <pic:pic xmlns:pic="http://schemas.openxmlformats.org/drawingml/2006/picture">
                        <pic:nvPicPr>
                          <pic:cNvPr id="411" name="AutoShape_138_SpCnt_10"/>
                          <pic:cNvPicPr/>
                        </pic:nvPicPr>
                        <pic:blipFill>
                          <a:blip r:embed="rId32"/>
                          <a:stretch>
                            <a:fillRect/>
                          </a:stretch>
                        </pic:blipFill>
                        <pic:spPr>
                          <a:xfrm>
                            <a:off x="0" y="0"/>
                            <a:ext cx="1612900" cy="74295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1700224" behindDoc="0" locked="0" layoutInCell="1" allowOverlap="1">
                  <wp:simplePos x="0" y="0"/>
                  <wp:positionH relativeFrom="column">
                    <wp:posOffset>0</wp:posOffset>
                  </wp:positionH>
                  <wp:positionV relativeFrom="paragraph">
                    <wp:posOffset>819150</wp:posOffset>
                  </wp:positionV>
                  <wp:extent cx="1612900" cy="742950"/>
                  <wp:effectExtent l="0" t="0" r="0" b="0"/>
                  <wp:wrapNone/>
                  <wp:docPr id="412" name="AutoShape_139_SpCnt_10"/>
                  <wp:cNvGraphicFramePr/>
                  <a:graphic xmlns:a="http://schemas.openxmlformats.org/drawingml/2006/main">
                    <a:graphicData uri="http://schemas.openxmlformats.org/drawingml/2006/picture">
                      <pic:pic xmlns:pic="http://schemas.openxmlformats.org/drawingml/2006/picture">
                        <pic:nvPicPr>
                          <pic:cNvPr id="412" name="AutoShape_139_SpCnt_10"/>
                          <pic:cNvPicPr/>
                        </pic:nvPicPr>
                        <pic:blipFill>
                          <a:blip r:embed="rId32"/>
                          <a:stretch>
                            <a:fillRect/>
                          </a:stretch>
                        </pic:blipFill>
                        <pic:spPr>
                          <a:xfrm>
                            <a:off x="0" y="0"/>
                            <a:ext cx="1612900" cy="74295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1700224" behindDoc="0" locked="0" layoutInCell="1" allowOverlap="1">
                  <wp:simplePos x="0" y="0"/>
                  <wp:positionH relativeFrom="column">
                    <wp:posOffset>0</wp:posOffset>
                  </wp:positionH>
                  <wp:positionV relativeFrom="paragraph">
                    <wp:posOffset>819150</wp:posOffset>
                  </wp:positionV>
                  <wp:extent cx="1612900" cy="742950"/>
                  <wp:effectExtent l="0" t="0" r="0" b="0"/>
                  <wp:wrapNone/>
                  <wp:docPr id="413" name="AutoShape_138_SpCnt_11"/>
                  <wp:cNvGraphicFramePr/>
                  <a:graphic xmlns:a="http://schemas.openxmlformats.org/drawingml/2006/main">
                    <a:graphicData uri="http://schemas.openxmlformats.org/drawingml/2006/picture">
                      <pic:pic xmlns:pic="http://schemas.openxmlformats.org/drawingml/2006/picture">
                        <pic:nvPicPr>
                          <pic:cNvPr id="413" name="AutoShape_138_SpCnt_11"/>
                          <pic:cNvPicPr/>
                        </pic:nvPicPr>
                        <pic:blipFill>
                          <a:blip r:embed="rId32"/>
                          <a:stretch>
                            <a:fillRect/>
                          </a:stretch>
                        </pic:blipFill>
                        <pic:spPr>
                          <a:xfrm>
                            <a:off x="0" y="0"/>
                            <a:ext cx="1612900" cy="74295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08"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22</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 童话王国-实木90度内转角柜 </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尺寸：60×60×54cm。</w:t>
            </w:r>
          </w:p>
          <w:p>
            <w:pPr>
              <w:keepNext w:val="0"/>
              <w:keepLines w:val="0"/>
              <w:widowControl/>
              <w:numPr>
                <w:ilvl w:val="0"/>
                <w:numId w:val="23"/>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柜体采用18mm厚优质环保芬兰松木，表面木纹拉丝，并环保清水油漆处理，重金属钡、铅、镉、锑、硒、铬、汞、砷等含量符合国家标准规范的要求。（提供油漆8大重金属检测报告）    2、耐磨、耐污、耐划伤，易清洁，耐磨测试250R无透底现象。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3、</w:t>
            </w:r>
            <w:r>
              <w:rPr>
                <w:rFonts w:hint="eastAsia" w:ascii="宋体" w:hAnsi="宋体" w:eastAsia="宋体" w:cs="宋体"/>
                <w:i w:val="0"/>
                <w:color w:val="000000"/>
                <w:kern w:val="0"/>
                <w:sz w:val="20"/>
                <w:szCs w:val="20"/>
                <w:u w:val="none"/>
                <w:lang w:val="en-US" w:eastAsia="zh-CN" w:bidi="ar"/>
              </w:rPr>
              <w:t xml:space="preserve">五金件选用环保五金，安全无毒。符合国家标准规范的要求，钡、铅、镉、锑、硒、铬、汞、砷等含量控制指标完全符合要求。（提供五金件8大重金属检测报告）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4、</w:t>
            </w:r>
            <w:r>
              <w:rPr>
                <w:rFonts w:hint="eastAsia" w:ascii="宋体" w:hAnsi="宋体" w:eastAsia="宋体" w:cs="宋体"/>
                <w:i w:val="0"/>
                <w:color w:val="000000"/>
                <w:kern w:val="0"/>
                <w:sz w:val="20"/>
                <w:szCs w:val="20"/>
                <w:u w:val="none"/>
                <w:lang w:val="en-US" w:eastAsia="zh-CN" w:bidi="ar"/>
              </w:rPr>
              <w:t xml:space="preserve">柜体底部配以耐磨塑胶PP脚钉，对地板等地面材料起到保护作用。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5、</w:t>
            </w:r>
            <w:r>
              <w:rPr>
                <w:rFonts w:hint="eastAsia" w:ascii="宋体" w:hAnsi="宋体" w:eastAsia="宋体" w:cs="宋体"/>
                <w:i w:val="0"/>
                <w:color w:val="000000"/>
                <w:kern w:val="0"/>
                <w:sz w:val="20"/>
                <w:szCs w:val="20"/>
                <w:u w:val="none"/>
                <w:lang w:val="en-US" w:eastAsia="zh-CN" w:bidi="ar"/>
              </w:rPr>
              <w:t xml:space="preserve">L型造型，共有二层，下层采用半封闭形式，上层中空形式，用于各柜的转角连接。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6、</w:t>
            </w:r>
            <w:r>
              <w:rPr>
                <w:rFonts w:hint="eastAsia" w:ascii="宋体" w:hAnsi="宋体" w:eastAsia="宋体" w:cs="宋体"/>
                <w:i w:val="0"/>
                <w:color w:val="000000"/>
                <w:kern w:val="0"/>
                <w:sz w:val="20"/>
                <w:szCs w:val="20"/>
                <w:u w:val="none"/>
                <w:lang w:val="en-US" w:eastAsia="zh-CN" w:bidi="ar"/>
              </w:rPr>
              <w:t xml:space="preserve">采用顶板盖侧板的设计方式，保证了柜体表面的平整性。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7、采用踢脚板设计，即增加了稳定性，又可以防止杂物进入柜底。边角安全防撞设计，对所有的外露面、外漏角进行弧状倒角设计，避免锐角的产生，最大程度的避免儿童磕碰伤害，符合GB28007-2011儿童家具通用技术条件的要求。结构稳固，不易倾倒。全面采用圆角设计，安全缝隙和孔洞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微软雅黑" w:hAnsi="微软雅黑" w:eastAsia="微软雅黑" w:cs="微软雅黑"/>
                <w:b/>
                <w:i w:val="0"/>
                <w:color w:val="000000"/>
                <w:kern w:val="0"/>
                <w:sz w:val="20"/>
                <w:szCs w:val="20"/>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76200</wp:posOffset>
                  </wp:positionH>
                  <wp:positionV relativeFrom="paragraph">
                    <wp:posOffset>1038225</wp:posOffset>
                  </wp:positionV>
                  <wp:extent cx="628650" cy="1123950"/>
                  <wp:effectExtent l="0" t="0" r="0" b="0"/>
                  <wp:wrapNone/>
                  <wp:docPr id="310" name="图片_62"/>
                  <wp:cNvGraphicFramePr/>
                  <a:graphic xmlns:a="http://schemas.openxmlformats.org/drawingml/2006/main">
                    <a:graphicData uri="http://schemas.openxmlformats.org/drawingml/2006/picture">
                      <pic:pic xmlns:pic="http://schemas.openxmlformats.org/drawingml/2006/picture">
                        <pic:nvPicPr>
                          <pic:cNvPr id="310" name="图片_62"/>
                          <pic:cNvPicPr/>
                        </pic:nvPicPr>
                        <pic:blipFill>
                          <a:blip r:embed="rId36"/>
                          <a:stretch>
                            <a:fillRect/>
                          </a:stretch>
                        </pic:blipFill>
                        <pic:spPr>
                          <a:xfrm>
                            <a:off x="0" y="0"/>
                            <a:ext cx="628650" cy="1123950"/>
                          </a:xfrm>
                          <a:prstGeom prst="rect">
                            <a:avLst/>
                          </a:prstGeom>
                          <a:noFill/>
                          <a:ln>
                            <a:noFill/>
                          </a:ln>
                        </pic:spPr>
                      </pic:pic>
                    </a:graphicData>
                  </a:graphic>
                </wp:anchor>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华文中宋" w:hAnsi="华文中宋" w:eastAsia="华文中宋" w:cs="华文中宋"/>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08"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23</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 童话王国-实木布偶台 </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尺寸：84×30×120cm。</w:t>
            </w:r>
          </w:p>
          <w:p>
            <w:pPr>
              <w:keepNext w:val="0"/>
              <w:keepLines w:val="0"/>
              <w:widowControl/>
              <w:numPr>
                <w:ilvl w:val="0"/>
                <w:numId w:val="24"/>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柜体采用18mm厚优质环保芬兰松木，表面木纹拉丝，并环保清水油漆处理，重金属钡、铅、镉、锑、硒、铬、汞、砷等含量符合国家标准规范的要求。（提供油漆8大重金属检测报告）    2、耐磨、耐污、耐划伤，易清洁，耐磨测试250R无透底现象。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微软雅黑" w:hAnsi="微软雅黑" w:eastAsia="微软雅黑" w:cs="微软雅黑"/>
                <w:b/>
                <w:i w:val="0"/>
                <w:color w:val="000000"/>
                <w:kern w:val="0"/>
                <w:sz w:val="20"/>
                <w:szCs w:val="20"/>
                <w:u w:val="none"/>
                <w:bdr w:val="single" w:color="000000" w:sz="4" w:space="0"/>
                <w:lang w:val="en-US" w:eastAsia="zh-CN" w:bidi="ar"/>
              </w:rPr>
              <w:drawing>
                <wp:anchor distT="0" distB="0" distL="114300" distR="114300" simplePos="0" relativeHeight="251677696" behindDoc="0" locked="0" layoutInCell="1" allowOverlap="1">
                  <wp:simplePos x="0" y="0"/>
                  <wp:positionH relativeFrom="column">
                    <wp:posOffset>3636010</wp:posOffset>
                  </wp:positionH>
                  <wp:positionV relativeFrom="paragraph">
                    <wp:posOffset>488950</wp:posOffset>
                  </wp:positionV>
                  <wp:extent cx="744220" cy="1076325"/>
                  <wp:effectExtent l="0" t="0" r="17780" b="9525"/>
                  <wp:wrapNone/>
                  <wp:docPr id="311" name="图片_23"/>
                  <wp:cNvGraphicFramePr/>
                  <a:graphic xmlns:a="http://schemas.openxmlformats.org/drawingml/2006/main">
                    <a:graphicData uri="http://schemas.openxmlformats.org/drawingml/2006/picture">
                      <pic:pic xmlns:pic="http://schemas.openxmlformats.org/drawingml/2006/picture">
                        <pic:nvPicPr>
                          <pic:cNvPr id="311" name="图片_23"/>
                          <pic:cNvPicPr/>
                        </pic:nvPicPr>
                        <pic:blipFill>
                          <a:blip r:embed="rId37"/>
                          <a:stretch>
                            <a:fillRect/>
                          </a:stretch>
                        </pic:blipFill>
                        <pic:spPr>
                          <a:xfrm>
                            <a:off x="0" y="0"/>
                            <a:ext cx="744220" cy="1076325"/>
                          </a:xfrm>
                          <a:prstGeom prst="rect">
                            <a:avLst/>
                          </a:prstGeom>
                          <a:noFill/>
                          <a:ln>
                            <a:noFill/>
                          </a:ln>
                        </pic:spPr>
                      </pic:pic>
                    </a:graphicData>
                  </a:graphic>
                </wp:anchor>
              </w:drawing>
            </w:r>
            <w:r>
              <w:rPr>
                <w:rFonts w:hint="eastAsia" w:ascii="宋体" w:hAnsi="宋体" w:cs="宋体"/>
                <w:i w:val="0"/>
                <w:color w:val="000000"/>
                <w:kern w:val="0"/>
                <w:sz w:val="20"/>
                <w:szCs w:val="20"/>
                <w:u w:val="none"/>
                <w:lang w:val="en-US" w:eastAsia="zh-CN" w:bidi="ar"/>
              </w:rPr>
              <w:t>33</w:t>
            </w:r>
            <w:r>
              <w:rPr>
                <w:rFonts w:hint="eastAsia" w:ascii="宋体" w:hAnsi="宋体" w:eastAsia="宋体" w:cs="宋体"/>
                <w:i w:val="0"/>
                <w:color w:val="000000"/>
                <w:kern w:val="0"/>
                <w:sz w:val="20"/>
                <w:szCs w:val="20"/>
                <w:u w:val="none"/>
                <w:lang w:val="en-US" w:eastAsia="zh-CN" w:bidi="ar"/>
              </w:rPr>
              <w:t xml:space="preserve">五金件选用环保五金，安全无毒。符合国家标准规范的要求，钡、铅、镉、锑、硒、铬、汞、砷等含量控制指标完全符合要求。（提供五金件8大重金属检测报告）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4、</w:t>
            </w:r>
            <w:r>
              <w:rPr>
                <w:rFonts w:hint="eastAsia" w:ascii="宋体" w:hAnsi="宋体" w:eastAsia="宋体" w:cs="宋体"/>
                <w:i w:val="0"/>
                <w:color w:val="000000"/>
                <w:kern w:val="0"/>
                <w:sz w:val="20"/>
                <w:szCs w:val="20"/>
                <w:u w:val="none"/>
                <w:lang w:val="en-US" w:eastAsia="zh-CN" w:bidi="ar"/>
              </w:rPr>
              <w:t xml:space="preserve">柜体底部配以耐磨塑胶PP脚钉，对地板等地面材料起到保护作用。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5、</w:t>
            </w:r>
            <w:r>
              <w:rPr>
                <w:rFonts w:hint="eastAsia" w:ascii="宋体" w:hAnsi="宋体" w:eastAsia="宋体" w:cs="宋体"/>
                <w:i w:val="0"/>
                <w:color w:val="000000"/>
                <w:kern w:val="0"/>
                <w:sz w:val="20"/>
                <w:szCs w:val="20"/>
                <w:u w:val="none"/>
                <w:lang w:val="en-US" w:eastAsia="zh-CN" w:bidi="ar"/>
              </w:rPr>
              <w:t xml:space="preserve">布帘采用优质棉布。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6、</w:t>
            </w:r>
            <w:r>
              <w:rPr>
                <w:rFonts w:hint="eastAsia" w:ascii="宋体" w:hAnsi="宋体" w:eastAsia="宋体" w:cs="宋体"/>
                <w:i w:val="0"/>
                <w:color w:val="000000"/>
                <w:kern w:val="0"/>
                <w:sz w:val="20"/>
                <w:szCs w:val="20"/>
                <w:u w:val="none"/>
                <w:lang w:val="en-US" w:eastAsia="zh-CN" w:bidi="ar"/>
              </w:rPr>
              <w:t xml:space="preserve">侧板采用镂空窗户造型。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7、采用踢脚板设计，即增加了稳定性，又可以防止杂物进入柜底。边角安全防撞设计，对所有的外露面、外漏角进行弧状倒角设计，避免锐角的产生，最大程度的避免儿童磕碰伤害，符合GB28007-2011儿童家具通用技术条件的要求。 结构稳固，不易倾倒。全面采用圆角设计，安全缝隙和孔洞符合GB28007-2011儿童家具通用技术条件的要求。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华文中宋" w:hAnsi="华文中宋" w:eastAsia="华文中宋" w:cs="华文中宋"/>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08"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24</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童话王国-实木45度转角柜 </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尺寸：50×32×57cm。</w:t>
            </w:r>
          </w:p>
          <w:p>
            <w:pPr>
              <w:keepNext w:val="0"/>
              <w:keepLines w:val="0"/>
              <w:widowControl/>
              <w:numPr>
                <w:ilvl w:val="0"/>
                <w:numId w:val="25"/>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柜体采用18mm厚优质环保芬兰松木，表面木纹拉丝，并环保清水油漆处理，重金属钡、铅、镉、锑、硒、铬、汞、砷等含量符合国家标准规范的要求。（提供油漆8大重金属检测报告）     2、耐磨、耐污、耐划伤，易清洁，耐磨测试250R无透底现象。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3、</w:t>
            </w:r>
            <w:r>
              <w:rPr>
                <w:rFonts w:hint="eastAsia" w:ascii="宋体" w:hAnsi="宋体" w:eastAsia="宋体" w:cs="宋体"/>
                <w:i w:val="0"/>
                <w:color w:val="000000"/>
                <w:kern w:val="0"/>
                <w:sz w:val="20"/>
                <w:szCs w:val="20"/>
                <w:u w:val="none"/>
                <w:lang w:val="en-US" w:eastAsia="zh-CN" w:bidi="ar"/>
              </w:rPr>
              <w:t xml:space="preserve">五金件选用环保五金，安全无毒。符合国家标准规范的要求，钡、铅、镉、锑、硒、铬、汞、砷等含量控制指标完全符合要求。（提供五金件8大重金属检测报告）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4、</w:t>
            </w:r>
            <w:r>
              <w:rPr>
                <w:rFonts w:hint="eastAsia" w:ascii="宋体" w:hAnsi="宋体" w:eastAsia="宋体" w:cs="宋体"/>
                <w:i w:val="0"/>
                <w:color w:val="000000"/>
                <w:kern w:val="0"/>
                <w:sz w:val="20"/>
                <w:szCs w:val="20"/>
                <w:u w:val="none"/>
                <w:lang w:val="en-US" w:eastAsia="zh-CN" w:bidi="ar"/>
              </w:rPr>
              <w:t xml:space="preserve">柜体底部配以耐磨塑胶PP脚钉，对地板等地面材料起到保护作用。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5、</w:t>
            </w:r>
            <w:r>
              <w:rPr>
                <w:rFonts w:hint="eastAsia" w:ascii="宋体" w:hAnsi="宋体" w:eastAsia="宋体" w:cs="宋体"/>
                <w:i w:val="0"/>
                <w:color w:val="000000"/>
                <w:kern w:val="0"/>
                <w:sz w:val="20"/>
                <w:szCs w:val="20"/>
                <w:u w:val="none"/>
                <w:lang w:val="en-US" w:eastAsia="zh-CN" w:bidi="ar"/>
              </w:rPr>
              <w:t xml:space="preserve">采用中空形式，用于各柜的转角连接。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6、采用顶板盖侧板的设计方式，保证了柜体表面的平整性。边角安全防撞设计，对所有的外露面、外漏角进行弧状倒角设计，避免锐角的产生，最大程度的避免儿童磕碰伤害，符合GB28007-2011儿童家具通用技术条件的要求。结构稳固，不易倾倒。全面采用圆角设计，安全缝隙和孔洞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微软雅黑" w:hAnsi="微软雅黑" w:eastAsia="微软雅黑" w:cs="微软雅黑"/>
                <w:b/>
                <w:i w:val="0"/>
                <w:color w:val="000000"/>
                <w:kern w:val="0"/>
                <w:sz w:val="20"/>
                <w:szCs w:val="20"/>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28575</wp:posOffset>
                  </wp:positionH>
                  <wp:positionV relativeFrom="paragraph">
                    <wp:posOffset>714375</wp:posOffset>
                  </wp:positionV>
                  <wp:extent cx="733425" cy="1133475"/>
                  <wp:effectExtent l="0" t="0" r="9525" b="9525"/>
                  <wp:wrapNone/>
                  <wp:docPr id="312" name="图片_24"/>
                  <wp:cNvGraphicFramePr/>
                  <a:graphic xmlns:a="http://schemas.openxmlformats.org/drawingml/2006/main">
                    <a:graphicData uri="http://schemas.openxmlformats.org/drawingml/2006/picture">
                      <pic:pic xmlns:pic="http://schemas.openxmlformats.org/drawingml/2006/picture">
                        <pic:nvPicPr>
                          <pic:cNvPr id="312" name="图片_24"/>
                          <pic:cNvPicPr/>
                        </pic:nvPicPr>
                        <pic:blipFill>
                          <a:blip r:embed="rId38"/>
                          <a:stretch>
                            <a:fillRect/>
                          </a:stretch>
                        </pic:blipFill>
                        <pic:spPr>
                          <a:xfrm>
                            <a:off x="0" y="0"/>
                            <a:ext cx="733425" cy="1133475"/>
                          </a:xfrm>
                          <a:prstGeom prst="rect">
                            <a:avLst/>
                          </a:prstGeom>
                          <a:noFill/>
                          <a:ln>
                            <a:noFill/>
                          </a:ln>
                        </pic:spPr>
                      </pic:pic>
                    </a:graphicData>
                  </a:graphic>
                </wp:anchor>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华文中宋" w:hAnsi="华文中宋" w:eastAsia="华文中宋" w:cs="华文中宋"/>
                <w:i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08"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2"/>
              <w:rPr>
                <w:rFonts w:hint="default"/>
                <w:lang w:val="en-US" w:eastAsia="zh-CN"/>
              </w:rPr>
            </w:pPr>
            <w:r>
              <w:rPr>
                <w:rFonts w:hint="eastAsia"/>
                <w:lang w:val="en-US" w:eastAsia="zh-CN"/>
              </w:rPr>
              <w:t>25</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童话王国-实木系统图书柜 </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尺寸：64×30×57cm。</w:t>
            </w:r>
          </w:p>
          <w:p>
            <w:pPr>
              <w:keepNext w:val="0"/>
              <w:keepLines w:val="0"/>
              <w:widowControl/>
              <w:numPr>
                <w:ilvl w:val="0"/>
                <w:numId w:val="26"/>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柜体采用18mm厚优质环保芬兰松木，表面木纹拉丝，并环保清水油漆处理，重金属钡、铅、镉、锑、硒、铬、汞、砷等含量符合国家标准规范的要求。（提供油漆8大重金属检测报告）    2、耐磨、耐污、耐划伤，易清洁，耐磨测试250R无透底现象。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3、</w:t>
            </w:r>
            <w:r>
              <w:rPr>
                <w:rFonts w:hint="eastAsia" w:ascii="宋体" w:hAnsi="宋体" w:eastAsia="宋体" w:cs="宋体"/>
                <w:i w:val="0"/>
                <w:color w:val="000000"/>
                <w:kern w:val="0"/>
                <w:sz w:val="20"/>
                <w:szCs w:val="20"/>
                <w:u w:val="none"/>
                <w:lang w:val="en-US" w:eastAsia="zh-CN" w:bidi="ar"/>
              </w:rPr>
              <w:t xml:space="preserve">五金件选用环保五金，安全无毒。符合国家标准规范的要求，钡、铅、镉、锑、硒、铬、汞、砷等含量控制指标完全符合要求。（提供五金件8大重金属检测报告）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4、</w:t>
            </w:r>
            <w:r>
              <w:rPr>
                <w:rFonts w:hint="eastAsia" w:ascii="宋体" w:hAnsi="宋体" w:eastAsia="宋体" w:cs="宋体"/>
                <w:i w:val="0"/>
                <w:color w:val="000000"/>
                <w:kern w:val="0"/>
                <w:sz w:val="20"/>
                <w:szCs w:val="20"/>
                <w:u w:val="none"/>
                <w:lang w:val="en-US" w:eastAsia="zh-CN" w:bidi="ar"/>
              </w:rPr>
              <w:t xml:space="preserve">柜体底部配以耐磨塑胶PP脚钉，对地板等地面材料起到保护作用。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5、</w:t>
            </w:r>
            <w:r>
              <w:rPr>
                <w:rFonts w:hint="eastAsia" w:ascii="宋体" w:hAnsi="宋体" w:eastAsia="宋体" w:cs="宋体"/>
                <w:i w:val="0"/>
                <w:color w:val="000000"/>
                <w:kern w:val="0"/>
                <w:sz w:val="20"/>
                <w:szCs w:val="20"/>
                <w:u w:val="none"/>
                <w:lang w:val="en-US" w:eastAsia="zh-CN" w:bidi="ar"/>
              </w:rPr>
              <w:t xml:space="preserve">共有二层，下层采用传统的立式存放空间，上层正面采用透明亚克力板作为挡板，便于儿童查找及取阅图书。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6、采用踢脚板设计，即增加了稳定性，又可以防止杂物进入柜底。边角安全防撞设计，对所有的外露面、外漏角进行弧状倒角设计，避免锐角的产生，最大程度的避免儿童磕碰伤害，符合GB28007-2011儿童家具通用技术条件的要求。结构稳固，不易倾倒。全面采用圆角设计，安全缝隙和孔洞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微软雅黑" w:hAnsi="微软雅黑" w:eastAsia="微软雅黑" w:cs="微软雅黑"/>
                <w:b/>
                <w:i w:val="0"/>
                <w:color w:val="000000"/>
                <w:kern w:val="0"/>
                <w:sz w:val="20"/>
                <w:szCs w:val="20"/>
                <w:u w:val="none"/>
                <w:bdr w:val="single" w:color="000000" w:sz="4" w:space="0"/>
                <w:lang w:val="en-US" w:eastAsia="zh-CN" w:bidi="ar"/>
              </w:rPr>
              <w:drawing>
                <wp:anchor distT="0" distB="0" distL="114300" distR="114300" simplePos="0" relativeHeight="251679744" behindDoc="0" locked="0" layoutInCell="1" allowOverlap="1">
                  <wp:simplePos x="0" y="0"/>
                  <wp:positionH relativeFrom="column">
                    <wp:posOffset>9525</wp:posOffset>
                  </wp:positionH>
                  <wp:positionV relativeFrom="paragraph">
                    <wp:posOffset>718185</wp:posOffset>
                  </wp:positionV>
                  <wp:extent cx="781685" cy="942975"/>
                  <wp:effectExtent l="0" t="0" r="18415" b="9525"/>
                  <wp:wrapNone/>
                  <wp:docPr id="313" name="图片_25"/>
                  <wp:cNvGraphicFramePr/>
                  <a:graphic xmlns:a="http://schemas.openxmlformats.org/drawingml/2006/main">
                    <a:graphicData uri="http://schemas.openxmlformats.org/drawingml/2006/picture">
                      <pic:pic xmlns:pic="http://schemas.openxmlformats.org/drawingml/2006/picture">
                        <pic:nvPicPr>
                          <pic:cNvPr id="313" name="图片_25"/>
                          <pic:cNvPicPr/>
                        </pic:nvPicPr>
                        <pic:blipFill>
                          <a:blip r:embed="rId39"/>
                          <a:stretch>
                            <a:fillRect/>
                          </a:stretch>
                        </pic:blipFill>
                        <pic:spPr>
                          <a:xfrm>
                            <a:off x="0" y="0"/>
                            <a:ext cx="781685" cy="942975"/>
                          </a:xfrm>
                          <a:prstGeom prst="rect">
                            <a:avLst/>
                          </a:prstGeom>
                          <a:noFill/>
                          <a:ln>
                            <a:noFill/>
                          </a:ln>
                        </pic:spPr>
                      </pic:pic>
                    </a:graphicData>
                  </a:graphic>
                </wp:anchor>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华文中宋" w:hAnsi="华文中宋" w:eastAsia="华文中宋" w:cs="华文中宋"/>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08"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26</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51840" cy="1273810"/>
                  <wp:effectExtent l="0" t="0" r="0" b="0"/>
                  <wp:wrapNone/>
                  <wp:docPr id="121" name="AutoShape_30"/>
                  <wp:cNvGraphicFramePr/>
                  <a:graphic xmlns:a="http://schemas.openxmlformats.org/drawingml/2006/main">
                    <a:graphicData uri="http://schemas.openxmlformats.org/drawingml/2006/picture">
                      <pic:pic xmlns:pic="http://schemas.openxmlformats.org/drawingml/2006/picture">
                        <pic:nvPicPr>
                          <pic:cNvPr id="121" name="AutoShape_30"/>
                          <pic:cNvPicPr/>
                        </pic:nvPicPr>
                        <pic:blipFill>
                          <a:blip r:embed="rId40"/>
                          <a:stretch>
                            <a:fillRect/>
                          </a:stretch>
                        </pic:blipFill>
                        <pic:spPr>
                          <a:xfrm>
                            <a:off x="0" y="0"/>
                            <a:ext cx="751840" cy="1273810"/>
                          </a:xfrm>
                          <a:prstGeom prst="rect">
                            <a:avLst/>
                          </a:prstGeom>
                          <a:noFill/>
                          <a:ln>
                            <a:noFill/>
                          </a:ln>
                        </pic:spPr>
                      </pic:pic>
                    </a:graphicData>
                  </a:graphic>
                </wp:anchor>
              </w:drawing>
            </w: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51840" cy="1358900"/>
                  <wp:effectExtent l="0" t="0" r="0" b="0"/>
                  <wp:wrapNone/>
                  <wp:docPr id="122" name="AutoShape_31"/>
                  <wp:cNvGraphicFramePr/>
                  <a:graphic xmlns:a="http://schemas.openxmlformats.org/drawingml/2006/main">
                    <a:graphicData uri="http://schemas.openxmlformats.org/drawingml/2006/picture">
                      <pic:pic xmlns:pic="http://schemas.openxmlformats.org/drawingml/2006/picture">
                        <pic:nvPicPr>
                          <pic:cNvPr id="122" name="AutoShape_31"/>
                          <pic:cNvPicPr/>
                        </pic:nvPicPr>
                        <pic:blipFill>
                          <a:blip r:embed="rId41"/>
                          <a:stretch>
                            <a:fillRect/>
                          </a:stretch>
                        </pic:blipFill>
                        <pic:spPr>
                          <a:xfrm>
                            <a:off x="0" y="0"/>
                            <a:ext cx="751840" cy="1358900"/>
                          </a:xfrm>
                          <a:prstGeom prst="rect">
                            <a:avLst/>
                          </a:prstGeom>
                          <a:noFill/>
                          <a:ln>
                            <a:noFill/>
                          </a:ln>
                        </pic:spPr>
                      </pic:pic>
                    </a:graphicData>
                  </a:graphic>
                </wp:anchor>
              </w:drawing>
            </w: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51840" cy="1358900"/>
                  <wp:effectExtent l="0" t="0" r="0" b="0"/>
                  <wp:wrapNone/>
                  <wp:docPr id="123" name="AutoShape_30_SpCnt_1"/>
                  <wp:cNvGraphicFramePr/>
                  <a:graphic xmlns:a="http://schemas.openxmlformats.org/drawingml/2006/main">
                    <a:graphicData uri="http://schemas.openxmlformats.org/drawingml/2006/picture">
                      <pic:pic xmlns:pic="http://schemas.openxmlformats.org/drawingml/2006/picture">
                        <pic:nvPicPr>
                          <pic:cNvPr id="123" name="AutoShape_30_SpCnt_1"/>
                          <pic:cNvPicPr/>
                        </pic:nvPicPr>
                        <pic:blipFill>
                          <a:blip r:embed="rId41"/>
                          <a:stretch>
                            <a:fillRect/>
                          </a:stretch>
                        </pic:blipFill>
                        <pic:spPr>
                          <a:xfrm>
                            <a:off x="0" y="0"/>
                            <a:ext cx="751840" cy="1358900"/>
                          </a:xfrm>
                          <a:prstGeom prst="rect">
                            <a:avLst/>
                          </a:prstGeom>
                          <a:noFill/>
                          <a:ln>
                            <a:noFill/>
                          </a:ln>
                        </pic:spPr>
                      </pic:pic>
                    </a:graphicData>
                  </a:graphic>
                </wp:anchor>
              </w:drawing>
            </w: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12800" cy="809625"/>
                  <wp:effectExtent l="0" t="0" r="0" b="0"/>
                  <wp:wrapNone/>
                  <wp:docPr id="124" name="AutoShape_413"/>
                  <wp:cNvGraphicFramePr/>
                  <a:graphic xmlns:a="http://schemas.openxmlformats.org/drawingml/2006/main">
                    <a:graphicData uri="http://schemas.openxmlformats.org/drawingml/2006/picture">
                      <pic:pic xmlns:pic="http://schemas.openxmlformats.org/drawingml/2006/picture">
                        <pic:nvPicPr>
                          <pic:cNvPr id="124" name="AutoShape_413"/>
                          <pic:cNvPicPr/>
                        </pic:nvPicPr>
                        <pic:blipFill>
                          <a:blip r:embed="rId42"/>
                          <a:stretch>
                            <a:fillRect/>
                          </a:stretch>
                        </pic:blipFill>
                        <pic:spPr>
                          <a:xfrm>
                            <a:off x="0" y="0"/>
                            <a:ext cx="812800" cy="809625"/>
                          </a:xfrm>
                          <a:prstGeom prst="rect">
                            <a:avLst/>
                          </a:prstGeom>
                          <a:noFill/>
                          <a:ln>
                            <a:noFill/>
                          </a:ln>
                        </pic:spPr>
                      </pic:pic>
                    </a:graphicData>
                  </a:graphic>
                </wp:anchor>
              </w:drawing>
            </w: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12800" cy="809625"/>
                  <wp:effectExtent l="0" t="0" r="0" b="0"/>
                  <wp:wrapNone/>
                  <wp:docPr id="125" name="AutoShape_487"/>
                  <wp:cNvGraphicFramePr/>
                  <a:graphic xmlns:a="http://schemas.openxmlformats.org/drawingml/2006/main">
                    <a:graphicData uri="http://schemas.openxmlformats.org/drawingml/2006/picture">
                      <pic:pic xmlns:pic="http://schemas.openxmlformats.org/drawingml/2006/picture">
                        <pic:nvPicPr>
                          <pic:cNvPr id="125" name="AutoShape_487"/>
                          <pic:cNvPicPr/>
                        </pic:nvPicPr>
                        <pic:blipFill>
                          <a:blip r:embed="rId42"/>
                          <a:stretch>
                            <a:fillRect/>
                          </a:stretch>
                        </pic:blipFill>
                        <pic:spPr>
                          <a:xfrm>
                            <a:off x="0" y="0"/>
                            <a:ext cx="812800" cy="809625"/>
                          </a:xfrm>
                          <a:prstGeom prst="rect">
                            <a:avLst/>
                          </a:prstGeom>
                          <a:noFill/>
                          <a:ln>
                            <a:noFill/>
                          </a:ln>
                        </pic:spPr>
                      </pic:pic>
                    </a:graphicData>
                  </a:graphic>
                </wp:anchor>
              </w:drawing>
            </w:r>
            <w:r>
              <w:rPr>
                <w:rFonts w:hint="eastAsia" w:ascii="宋体" w:hAnsi="宋体" w:eastAsia="宋体" w:cs="宋体"/>
                <w:i w:val="0"/>
                <w:color w:val="000000"/>
                <w:kern w:val="0"/>
                <w:sz w:val="20"/>
                <w:szCs w:val="20"/>
                <w:u w:val="none"/>
                <w:lang w:val="en-US" w:eastAsia="zh-CN" w:bidi="ar"/>
              </w:rPr>
              <w:t xml:space="preserve">童话王国-实木中空5格柜 </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尺寸：111×30×57.2cm。</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1、柜体采用18mm厚优质环保芬兰松木，表面木纹拉丝，并环保清水油漆处理，重金属钡、铅、镉、锑、硒、铬、汞、砷等含量符合国家标准规范的要求。（提供油漆8大重金属检测报告）    2、耐磨、耐污、耐划伤，易清洁，耐磨测试250R无透底现象。    </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3、五金件选用环保五金，安全无毒。符合国家标准规范的要求，钡、铅、镉、锑、硒、铬、汞、砷等含量控制指标完全符合要求。（提供五金件8大重金属检测报告）    </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4、采用顶板盖侧板的设计方式，保证了柜体表面的平整性。柜体底部配以耐磨塑胶PP脚钉，对地板等地面材料起到保护作用。    5、采用踢脚板设计，即增加了稳定性，又可以防止杂物进入柜底。边角安全防撞设计，对所有的外露面、外漏角进行弧状倒角设计，避免锐角的产生，最大程度的避免儿童磕碰伤害，符合GB28007-2011儿童家具通用技术条件的要求。结构稳固，不易倾倒。全面采用圆角设计，安全缝隙和孔洞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drawing>
                <wp:inline distT="0" distB="0" distL="114300" distR="114300">
                  <wp:extent cx="657860" cy="752475"/>
                  <wp:effectExtent l="0" t="0" r="8890" b="9525"/>
                  <wp:docPr id="128" name="图片 26" descr="E:\报价用图\2019\KB1-TKB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26" descr="E:\报价用图\2019\KB1-TKB00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57860" cy="752475"/>
                          </a:xfrm>
                          <a:prstGeom prst="rect">
                            <a:avLst/>
                          </a:prstGeom>
                          <a:noFill/>
                          <a:ln>
                            <a:noFill/>
                          </a:ln>
                        </pic:spPr>
                      </pic:pic>
                    </a:graphicData>
                  </a:graphic>
                </wp:inline>
              </w:drawing>
            </w:r>
            <w:r>
              <w:rPr>
                <w:rFonts w:hint="eastAsia" w:ascii="微软雅黑" w:hAnsi="微软雅黑" w:eastAsia="微软雅黑" w:cs="微软雅黑"/>
                <w:b/>
                <w:i w:val="0"/>
                <w:color w:val="000000"/>
                <w:kern w:val="0"/>
                <w:sz w:val="20"/>
                <w:szCs w:val="20"/>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1279525</wp:posOffset>
                  </wp:positionH>
                  <wp:positionV relativeFrom="paragraph">
                    <wp:posOffset>0</wp:posOffset>
                  </wp:positionV>
                  <wp:extent cx="828675" cy="809625"/>
                  <wp:effectExtent l="0" t="0" r="0" b="0"/>
                  <wp:wrapNone/>
                  <wp:docPr id="321" name="AutoShape_413"/>
                  <wp:cNvGraphicFramePr/>
                  <a:graphic xmlns:a="http://schemas.openxmlformats.org/drawingml/2006/main">
                    <a:graphicData uri="http://schemas.openxmlformats.org/drawingml/2006/picture">
                      <pic:pic xmlns:pic="http://schemas.openxmlformats.org/drawingml/2006/picture">
                        <pic:nvPicPr>
                          <pic:cNvPr id="321" name="AutoShape_413"/>
                          <pic:cNvPicPr/>
                        </pic:nvPicPr>
                        <pic:blipFill>
                          <a:blip r:embed="rId44"/>
                          <a:stretch>
                            <a:fillRect/>
                          </a:stretch>
                        </pic:blipFill>
                        <pic:spPr>
                          <a:xfrm>
                            <a:off x="0" y="0"/>
                            <a:ext cx="828675" cy="809625"/>
                          </a:xfrm>
                          <a:prstGeom prst="rect">
                            <a:avLst/>
                          </a:prstGeom>
                          <a:noFill/>
                          <a:ln>
                            <a:noFill/>
                          </a:ln>
                        </pic:spPr>
                      </pic:pic>
                    </a:graphicData>
                  </a:graphic>
                </wp:anchor>
              </w:drawing>
            </w:r>
            <w:r>
              <w:rPr>
                <w:rFonts w:hint="eastAsia" w:ascii="微软雅黑" w:hAnsi="微软雅黑" w:eastAsia="微软雅黑" w:cs="微软雅黑"/>
                <w:b/>
                <w:i w:val="0"/>
                <w:color w:val="000000"/>
                <w:kern w:val="0"/>
                <w:sz w:val="20"/>
                <w:szCs w:val="20"/>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1292225</wp:posOffset>
                  </wp:positionH>
                  <wp:positionV relativeFrom="paragraph">
                    <wp:posOffset>0</wp:posOffset>
                  </wp:positionV>
                  <wp:extent cx="835025" cy="809625"/>
                  <wp:effectExtent l="0" t="0" r="0" b="0"/>
                  <wp:wrapNone/>
                  <wp:docPr id="322" name="AutoShape_487"/>
                  <wp:cNvGraphicFramePr/>
                  <a:graphic xmlns:a="http://schemas.openxmlformats.org/drawingml/2006/main">
                    <a:graphicData uri="http://schemas.openxmlformats.org/drawingml/2006/picture">
                      <pic:pic xmlns:pic="http://schemas.openxmlformats.org/drawingml/2006/picture">
                        <pic:nvPicPr>
                          <pic:cNvPr id="322" name="AutoShape_487"/>
                          <pic:cNvPicPr/>
                        </pic:nvPicPr>
                        <pic:blipFill>
                          <a:blip r:embed="rId45"/>
                          <a:stretch>
                            <a:fillRect/>
                          </a:stretch>
                        </pic:blipFill>
                        <pic:spPr>
                          <a:xfrm>
                            <a:off x="0" y="0"/>
                            <a:ext cx="835025" cy="809625"/>
                          </a:xfrm>
                          <a:prstGeom prst="rect">
                            <a:avLst/>
                          </a:prstGeom>
                          <a:noFill/>
                          <a:ln>
                            <a:noFill/>
                          </a:ln>
                        </pic:spPr>
                      </pic:pic>
                    </a:graphicData>
                  </a:graphic>
                </wp:anchor>
              </w:drawing>
            </w:r>
            <w:r>
              <w:rPr>
                <w:rFonts w:hint="eastAsia" w:ascii="微软雅黑" w:hAnsi="微软雅黑" w:eastAsia="微软雅黑" w:cs="微软雅黑"/>
                <w:b/>
                <w:i w:val="0"/>
                <w:color w:val="000000"/>
                <w:kern w:val="0"/>
                <w:sz w:val="20"/>
                <w:szCs w:val="20"/>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1292225</wp:posOffset>
                  </wp:positionH>
                  <wp:positionV relativeFrom="paragraph">
                    <wp:posOffset>0</wp:posOffset>
                  </wp:positionV>
                  <wp:extent cx="835025" cy="809625"/>
                  <wp:effectExtent l="0" t="0" r="0" b="0"/>
                  <wp:wrapNone/>
                  <wp:docPr id="323" name="AutoShape_413_SpCnt_1"/>
                  <wp:cNvGraphicFramePr/>
                  <a:graphic xmlns:a="http://schemas.openxmlformats.org/drawingml/2006/main">
                    <a:graphicData uri="http://schemas.openxmlformats.org/drawingml/2006/picture">
                      <pic:pic xmlns:pic="http://schemas.openxmlformats.org/drawingml/2006/picture">
                        <pic:nvPicPr>
                          <pic:cNvPr id="323" name="AutoShape_413_SpCnt_1"/>
                          <pic:cNvPicPr/>
                        </pic:nvPicPr>
                        <pic:blipFill>
                          <a:blip r:embed="rId45"/>
                          <a:stretch>
                            <a:fillRect/>
                          </a:stretch>
                        </pic:blipFill>
                        <pic:spPr>
                          <a:xfrm>
                            <a:off x="0" y="0"/>
                            <a:ext cx="835025" cy="809625"/>
                          </a:xfrm>
                          <a:prstGeom prst="rect">
                            <a:avLst/>
                          </a:prstGeom>
                          <a:noFill/>
                          <a:ln>
                            <a:noFill/>
                          </a:ln>
                        </pic:spPr>
                      </pic:pic>
                    </a:graphicData>
                  </a:graphic>
                </wp:anchor>
              </w:drawing>
            </w:r>
            <w:r>
              <w:rPr>
                <w:rFonts w:hint="eastAsia" w:ascii="微软雅黑" w:hAnsi="微软雅黑" w:eastAsia="微软雅黑" w:cs="微软雅黑"/>
                <w:b/>
                <w:i w:val="0"/>
                <w:color w:val="000000"/>
                <w:kern w:val="0"/>
                <w:sz w:val="20"/>
                <w:szCs w:val="20"/>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1292225</wp:posOffset>
                  </wp:positionH>
                  <wp:positionV relativeFrom="paragraph">
                    <wp:posOffset>0</wp:posOffset>
                  </wp:positionV>
                  <wp:extent cx="835025" cy="809625"/>
                  <wp:effectExtent l="0" t="0" r="0" b="0"/>
                  <wp:wrapNone/>
                  <wp:docPr id="324" name="AutoShape_487_SpCnt_1"/>
                  <wp:cNvGraphicFramePr/>
                  <a:graphic xmlns:a="http://schemas.openxmlformats.org/drawingml/2006/main">
                    <a:graphicData uri="http://schemas.openxmlformats.org/drawingml/2006/picture">
                      <pic:pic xmlns:pic="http://schemas.openxmlformats.org/drawingml/2006/picture">
                        <pic:nvPicPr>
                          <pic:cNvPr id="324" name="AutoShape_487_SpCnt_1"/>
                          <pic:cNvPicPr/>
                        </pic:nvPicPr>
                        <pic:blipFill>
                          <a:blip r:embed="rId45"/>
                          <a:stretch>
                            <a:fillRect/>
                          </a:stretch>
                        </pic:blipFill>
                        <pic:spPr>
                          <a:xfrm>
                            <a:off x="0" y="0"/>
                            <a:ext cx="835025" cy="809625"/>
                          </a:xfrm>
                          <a:prstGeom prst="rect">
                            <a:avLst/>
                          </a:prstGeom>
                          <a:noFill/>
                          <a:ln>
                            <a:noFill/>
                          </a:ln>
                        </pic:spPr>
                      </pic:pic>
                    </a:graphicData>
                  </a:graphic>
                </wp:anchor>
              </w:drawing>
            </w:r>
            <w:r>
              <w:rPr>
                <w:rFonts w:hint="eastAsia" w:ascii="微软雅黑" w:hAnsi="微软雅黑" w:eastAsia="微软雅黑" w:cs="微软雅黑"/>
                <w:b/>
                <w:i w:val="0"/>
                <w:color w:val="000000"/>
                <w:kern w:val="0"/>
                <w:sz w:val="20"/>
                <w:szCs w:val="20"/>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1292225</wp:posOffset>
                  </wp:positionH>
                  <wp:positionV relativeFrom="paragraph">
                    <wp:posOffset>0</wp:posOffset>
                  </wp:positionV>
                  <wp:extent cx="835025" cy="809625"/>
                  <wp:effectExtent l="0" t="0" r="0" b="0"/>
                  <wp:wrapNone/>
                  <wp:docPr id="325" name="AutoShape_413_SpCnt_2"/>
                  <wp:cNvGraphicFramePr/>
                  <a:graphic xmlns:a="http://schemas.openxmlformats.org/drawingml/2006/main">
                    <a:graphicData uri="http://schemas.openxmlformats.org/drawingml/2006/picture">
                      <pic:pic xmlns:pic="http://schemas.openxmlformats.org/drawingml/2006/picture">
                        <pic:nvPicPr>
                          <pic:cNvPr id="325" name="AutoShape_413_SpCnt_2"/>
                          <pic:cNvPicPr/>
                        </pic:nvPicPr>
                        <pic:blipFill>
                          <a:blip r:embed="rId45"/>
                          <a:stretch>
                            <a:fillRect/>
                          </a:stretch>
                        </pic:blipFill>
                        <pic:spPr>
                          <a:xfrm>
                            <a:off x="0" y="0"/>
                            <a:ext cx="835025" cy="809625"/>
                          </a:xfrm>
                          <a:prstGeom prst="rect">
                            <a:avLst/>
                          </a:prstGeom>
                          <a:noFill/>
                          <a:ln>
                            <a:noFill/>
                          </a:ln>
                        </pic:spPr>
                      </pic:pic>
                    </a:graphicData>
                  </a:graphic>
                </wp:anchor>
              </w:drawing>
            </w:r>
            <w:r>
              <w:rPr>
                <w:rFonts w:hint="eastAsia" w:ascii="微软雅黑" w:hAnsi="微软雅黑" w:eastAsia="微软雅黑" w:cs="微软雅黑"/>
                <w:b/>
                <w:i w:val="0"/>
                <w:color w:val="000000"/>
                <w:kern w:val="0"/>
                <w:sz w:val="20"/>
                <w:szCs w:val="20"/>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1292225</wp:posOffset>
                  </wp:positionH>
                  <wp:positionV relativeFrom="paragraph">
                    <wp:posOffset>0</wp:posOffset>
                  </wp:positionV>
                  <wp:extent cx="835025" cy="809625"/>
                  <wp:effectExtent l="0" t="0" r="0" b="0"/>
                  <wp:wrapNone/>
                  <wp:docPr id="326" name="AutoShape_413_SpCnt_3"/>
                  <wp:cNvGraphicFramePr/>
                  <a:graphic xmlns:a="http://schemas.openxmlformats.org/drawingml/2006/main">
                    <a:graphicData uri="http://schemas.openxmlformats.org/drawingml/2006/picture">
                      <pic:pic xmlns:pic="http://schemas.openxmlformats.org/drawingml/2006/picture">
                        <pic:nvPicPr>
                          <pic:cNvPr id="326" name="AutoShape_413_SpCnt_3"/>
                          <pic:cNvPicPr/>
                        </pic:nvPicPr>
                        <pic:blipFill>
                          <a:blip r:embed="rId45"/>
                          <a:stretch>
                            <a:fillRect/>
                          </a:stretch>
                        </pic:blipFill>
                        <pic:spPr>
                          <a:xfrm>
                            <a:off x="0" y="0"/>
                            <a:ext cx="835025" cy="809625"/>
                          </a:xfrm>
                          <a:prstGeom prst="rect">
                            <a:avLst/>
                          </a:prstGeom>
                          <a:noFill/>
                          <a:ln>
                            <a:noFill/>
                          </a:ln>
                        </pic:spPr>
                      </pic:pic>
                    </a:graphicData>
                  </a:graphic>
                </wp:anchor>
              </w:drawing>
            </w:r>
            <w:r>
              <w:rPr>
                <w:rFonts w:hint="eastAsia" w:ascii="微软雅黑" w:hAnsi="微软雅黑" w:eastAsia="微软雅黑" w:cs="微软雅黑"/>
                <w:b/>
                <w:i w:val="0"/>
                <w:color w:val="000000"/>
                <w:kern w:val="0"/>
                <w:sz w:val="20"/>
                <w:szCs w:val="20"/>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1292225</wp:posOffset>
                  </wp:positionH>
                  <wp:positionV relativeFrom="paragraph">
                    <wp:posOffset>0</wp:posOffset>
                  </wp:positionV>
                  <wp:extent cx="835025" cy="809625"/>
                  <wp:effectExtent l="0" t="0" r="0" b="0"/>
                  <wp:wrapNone/>
                  <wp:docPr id="327" name="AutoShape_413_SpCnt_4"/>
                  <wp:cNvGraphicFramePr/>
                  <a:graphic xmlns:a="http://schemas.openxmlformats.org/drawingml/2006/main">
                    <a:graphicData uri="http://schemas.openxmlformats.org/drawingml/2006/picture">
                      <pic:pic xmlns:pic="http://schemas.openxmlformats.org/drawingml/2006/picture">
                        <pic:nvPicPr>
                          <pic:cNvPr id="327" name="AutoShape_413_SpCnt_4"/>
                          <pic:cNvPicPr/>
                        </pic:nvPicPr>
                        <pic:blipFill>
                          <a:blip r:embed="rId45"/>
                          <a:stretch>
                            <a:fillRect/>
                          </a:stretch>
                        </pic:blipFill>
                        <pic:spPr>
                          <a:xfrm>
                            <a:off x="0" y="0"/>
                            <a:ext cx="835025" cy="809625"/>
                          </a:xfrm>
                          <a:prstGeom prst="rect">
                            <a:avLst/>
                          </a:prstGeom>
                          <a:noFill/>
                          <a:ln>
                            <a:noFill/>
                          </a:ln>
                        </pic:spPr>
                      </pic:pic>
                    </a:graphicData>
                  </a:graphic>
                </wp:anchor>
              </w:drawing>
            </w:r>
            <w:r>
              <w:rPr>
                <w:rFonts w:hint="eastAsia" w:ascii="微软雅黑" w:hAnsi="微软雅黑" w:eastAsia="微软雅黑" w:cs="微软雅黑"/>
                <w:b/>
                <w:i w:val="0"/>
                <w:color w:val="000000"/>
                <w:kern w:val="0"/>
                <w:sz w:val="20"/>
                <w:szCs w:val="20"/>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1292225</wp:posOffset>
                  </wp:positionH>
                  <wp:positionV relativeFrom="paragraph">
                    <wp:posOffset>0</wp:posOffset>
                  </wp:positionV>
                  <wp:extent cx="835025" cy="809625"/>
                  <wp:effectExtent l="0" t="0" r="0" b="0"/>
                  <wp:wrapNone/>
                  <wp:docPr id="328" name="AutoShape_487_SpCnt_2"/>
                  <wp:cNvGraphicFramePr/>
                  <a:graphic xmlns:a="http://schemas.openxmlformats.org/drawingml/2006/main">
                    <a:graphicData uri="http://schemas.openxmlformats.org/drawingml/2006/picture">
                      <pic:pic xmlns:pic="http://schemas.openxmlformats.org/drawingml/2006/picture">
                        <pic:nvPicPr>
                          <pic:cNvPr id="328" name="AutoShape_487_SpCnt_2"/>
                          <pic:cNvPicPr/>
                        </pic:nvPicPr>
                        <pic:blipFill>
                          <a:blip r:embed="rId45"/>
                          <a:stretch>
                            <a:fillRect/>
                          </a:stretch>
                        </pic:blipFill>
                        <pic:spPr>
                          <a:xfrm>
                            <a:off x="0" y="0"/>
                            <a:ext cx="835025" cy="809625"/>
                          </a:xfrm>
                          <a:prstGeom prst="rect">
                            <a:avLst/>
                          </a:prstGeom>
                          <a:noFill/>
                          <a:ln>
                            <a:noFill/>
                          </a:ln>
                        </pic:spPr>
                      </pic:pic>
                    </a:graphicData>
                  </a:graphic>
                </wp:anchor>
              </w:drawing>
            </w:r>
            <w:r>
              <w:rPr>
                <w:rFonts w:hint="eastAsia" w:ascii="微软雅黑" w:hAnsi="微软雅黑" w:eastAsia="微软雅黑" w:cs="微软雅黑"/>
                <w:b/>
                <w:i w:val="0"/>
                <w:color w:val="000000"/>
                <w:kern w:val="0"/>
                <w:sz w:val="20"/>
                <w:szCs w:val="20"/>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1292225</wp:posOffset>
                  </wp:positionH>
                  <wp:positionV relativeFrom="paragraph">
                    <wp:posOffset>0</wp:posOffset>
                  </wp:positionV>
                  <wp:extent cx="835025" cy="809625"/>
                  <wp:effectExtent l="0" t="0" r="0" b="0"/>
                  <wp:wrapNone/>
                  <wp:docPr id="329" name="AutoShape_487_SpCnt_3"/>
                  <wp:cNvGraphicFramePr/>
                  <a:graphic xmlns:a="http://schemas.openxmlformats.org/drawingml/2006/main">
                    <a:graphicData uri="http://schemas.openxmlformats.org/drawingml/2006/picture">
                      <pic:pic xmlns:pic="http://schemas.openxmlformats.org/drawingml/2006/picture">
                        <pic:nvPicPr>
                          <pic:cNvPr id="329" name="AutoShape_487_SpCnt_3"/>
                          <pic:cNvPicPr/>
                        </pic:nvPicPr>
                        <pic:blipFill>
                          <a:blip r:embed="rId45"/>
                          <a:stretch>
                            <a:fillRect/>
                          </a:stretch>
                        </pic:blipFill>
                        <pic:spPr>
                          <a:xfrm>
                            <a:off x="0" y="0"/>
                            <a:ext cx="835025" cy="809625"/>
                          </a:xfrm>
                          <a:prstGeom prst="rect">
                            <a:avLst/>
                          </a:prstGeom>
                          <a:noFill/>
                          <a:ln>
                            <a:noFill/>
                          </a:ln>
                        </pic:spPr>
                      </pic:pic>
                    </a:graphicData>
                  </a:graphic>
                </wp:anchor>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2161540" cy="1273810"/>
                  <wp:effectExtent l="0" t="0" r="0" b="0"/>
                  <wp:wrapNone/>
                  <wp:docPr id="414" name="AutoShape_30"/>
                  <wp:cNvGraphicFramePr/>
                  <a:graphic xmlns:a="http://schemas.openxmlformats.org/drawingml/2006/main">
                    <a:graphicData uri="http://schemas.openxmlformats.org/drawingml/2006/picture">
                      <pic:pic xmlns:pic="http://schemas.openxmlformats.org/drawingml/2006/picture">
                        <pic:nvPicPr>
                          <pic:cNvPr id="414" name="AutoShape_30"/>
                          <pic:cNvPicPr/>
                        </pic:nvPicPr>
                        <pic:blipFill>
                          <a:blip r:embed="rId46"/>
                          <a:stretch>
                            <a:fillRect/>
                          </a:stretch>
                        </pic:blipFill>
                        <pic:spPr>
                          <a:xfrm>
                            <a:off x="0" y="0"/>
                            <a:ext cx="2161540" cy="127381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1593850" cy="809625"/>
                  <wp:effectExtent l="0" t="0" r="0" b="0"/>
                  <wp:wrapNone/>
                  <wp:docPr id="415" name="AutoShape_487"/>
                  <wp:cNvGraphicFramePr/>
                  <a:graphic xmlns:a="http://schemas.openxmlformats.org/drawingml/2006/main">
                    <a:graphicData uri="http://schemas.openxmlformats.org/drawingml/2006/picture">
                      <pic:pic xmlns:pic="http://schemas.openxmlformats.org/drawingml/2006/picture">
                        <pic:nvPicPr>
                          <pic:cNvPr id="415" name="AutoShape_487"/>
                          <pic:cNvPicPr/>
                        </pic:nvPicPr>
                        <pic:blipFill>
                          <a:blip r:embed="rId47"/>
                          <a:stretch>
                            <a:fillRect/>
                          </a:stretch>
                        </pic:blipFill>
                        <pic:spPr>
                          <a:xfrm>
                            <a:off x="0" y="0"/>
                            <a:ext cx="1593850" cy="809625"/>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1593850" cy="809625"/>
                  <wp:effectExtent l="0" t="0" r="0" b="0"/>
                  <wp:wrapNone/>
                  <wp:docPr id="416" name="AutoShape_413"/>
                  <wp:cNvGraphicFramePr/>
                  <a:graphic xmlns:a="http://schemas.openxmlformats.org/drawingml/2006/main">
                    <a:graphicData uri="http://schemas.openxmlformats.org/drawingml/2006/picture">
                      <pic:pic xmlns:pic="http://schemas.openxmlformats.org/drawingml/2006/picture">
                        <pic:nvPicPr>
                          <pic:cNvPr id="416" name="AutoShape_413"/>
                          <pic:cNvPicPr/>
                        </pic:nvPicPr>
                        <pic:blipFill>
                          <a:blip r:embed="rId47"/>
                          <a:stretch>
                            <a:fillRect/>
                          </a:stretch>
                        </pic:blipFill>
                        <pic:spPr>
                          <a:xfrm>
                            <a:off x="0" y="0"/>
                            <a:ext cx="1593850" cy="809625"/>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2161540" cy="1358900"/>
                  <wp:effectExtent l="0" t="0" r="0" b="0"/>
                  <wp:wrapNone/>
                  <wp:docPr id="417" name="AutoShape_31"/>
                  <wp:cNvGraphicFramePr/>
                  <a:graphic xmlns:a="http://schemas.openxmlformats.org/drawingml/2006/main">
                    <a:graphicData uri="http://schemas.openxmlformats.org/drawingml/2006/picture">
                      <pic:pic xmlns:pic="http://schemas.openxmlformats.org/drawingml/2006/picture">
                        <pic:nvPicPr>
                          <pic:cNvPr id="417" name="AutoShape_31"/>
                          <pic:cNvPicPr/>
                        </pic:nvPicPr>
                        <pic:blipFill>
                          <a:blip r:embed="rId48"/>
                          <a:stretch>
                            <a:fillRect/>
                          </a:stretch>
                        </pic:blipFill>
                        <pic:spPr>
                          <a:xfrm>
                            <a:off x="0" y="0"/>
                            <a:ext cx="2161540" cy="135890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1593850" cy="809625"/>
                  <wp:effectExtent l="0" t="0" r="0" b="0"/>
                  <wp:wrapNone/>
                  <wp:docPr id="418" name="AutoShape_413_SpCnt_1"/>
                  <wp:cNvGraphicFramePr/>
                  <a:graphic xmlns:a="http://schemas.openxmlformats.org/drawingml/2006/main">
                    <a:graphicData uri="http://schemas.openxmlformats.org/drawingml/2006/picture">
                      <pic:pic xmlns:pic="http://schemas.openxmlformats.org/drawingml/2006/picture">
                        <pic:nvPicPr>
                          <pic:cNvPr id="418" name="AutoShape_413_SpCnt_1"/>
                          <pic:cNvPicPr/>
                        </pic:nvPicPr>
                        <pic:blipFill>
                          <a:blip r:embed="rId47"/>
                          <a:stretch>
                            <a:fillRect/>
                          </a:stretch>
                        </pic:blipFill>
                        <pic:spPr>
                          <a:xfrm>
                            <a:off x="0" y="0"/>
                            <a:ext cx="1593850" cy="809625"/>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1593850" cy="809625"/>
                  <wp:effectExtent l="0" t="0" r="0" b="0"/>
                  <wp:wrapNone/>
                  <wp:docPr id="419" name="AutoShape_487_SpCnt_1"/>
                  <wp:cNvGraphicFramePr/>
                  <a:graphic xmlns:a="http://schemas.openxmlformats.org/drawingml/2006/main">
                    <a:graphicData uri="http://schemas.openxmlformats.org/drawingml/2006/picture">
                      <pic:pic xmlns:pic="http://schemas.openxmlformats.org/drawingml/2006/picture">
                        <pic:nvPicPr>
                          <pic:cNvPr id="419" name="AutoShape_487_SpCnt_1"/>
                          <pic:cNvPicPr/>
                        </pic:nvPicPr>
                        <pic:blipFill>
                          <a:blip r:embed="rId47"/>
                          <a:stretch>
                            <a:fillRect/>
                          </a:stretch>
                        </pic:blipFill>
                        <pic:spPr>
                          <a:xfrm>
                            <a:off x="0" y="0"/>
                            <a:ext cx="1593850" cy="809625"/>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2161540" cy="1358900"/>
                  <wp:effectExtent l="0" t="0" r="0" b="0"/>
                  <wp:wrapNone/>
                  <wp:docPr id="420" name="AutoShape_30_SpCnt_1"/>
                  <wp:cNvGraphicFramePr/>
                  <a:graphic xmlns:a="http://schemas.openxmlformats.org/drawingml/2006/main">
                    <a:graphicData uri="http://schemas.openxmlformats.org/drawingml/2006/picture">
                      <pic:pic xmlns:pic="http://schemas.openxmlformats.org/drawingml/2006/picture">
                        <pic:nvPicPr>
                          <pic:cNvPr id="420" name="AutoShape_30_SpCnt_1"/>
                          <pic:cNvPicPr/>
                        </pic:nvPicPr>
                        <pic:blipFill>
                          <a:blip r:embed="rId48"/>
                          <a:stretch>
                            <a:fillRect/>
                          </a:stretch>
                        </pic:blipFill>
                        <pic:spPr>
                          <a:xfrm>
                            <a:off x="0" y="0"/>
                            <a:ext cx="2161540" cy="135890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1612900" cy="809625"/>
                  <wp:effectExtent l="0" t="0" r="0" b="0"/>
                  <wp:wrapNone/>
                  <wp:docPr id="421" name="AutoShape_413_SpCnt_2"/>
                  <wp:cNvGraphicFramePr/>
                  <a:graphic xmlns:a="http://schemas.openxmlformats.org/drawingml/2006/main">
                    <a:graphicData uri="http://schemas.openxmlformats.org/drawingml/2006/picture">
                      <pic:pic xmlns:pic="http://schemas.openxmlformats.org/drawingml/2006/picture">
                        <pic:nvPicPr>
                          <pic:cNvPr id="421" name="AutoShape_413_SpCnt_2"/>
                          <pic:cNvPicPr/>
                        </pic:nvPicPr>
                        <pic:blipFill>
                          <a:blip r:embed="rId49"/>
                          <a:stretch>
                            <a:fillRect/>
                          </a:stretch>
                        </pic:blipFill>
                        <pic:spPr>
                          <a:xfrm>
                            <a:off x="0" y="0"/>
                            <a:ext cx="1612900" cy="809625"/>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2161540" cy="1273810"/>
                  <wp:effectExtent l="0" t="0" r="0" b="0"/>
                  <wp:wrapNone/>
                  <wp:docPr id="422" name="AutoShape_30_SpCnt_2"/>
                  <wp:cNvGraphicFramePr/>
                  <a:graphic xmlns:a="http://schemas.openxmlformats.org/drawingml/2006/main">
                    <a:graphicData uri="http://schemas.openxmlformats.org/drawingml/2006/picture">
                      <pic:pic xmlns:pic="http://schemas.openxmlformats.org/drawingml/2006/picture">
                        <pic:nvPicPr>
                          <pic:cNvPr id="422" name="AutoShape_30_SpCnt_2"/>
                          <pic:cNvPicPr/>
                        </pic:nvPicPr>
                        <pic:blipFill>
                          <a:blip r:embed="rId46"/>
                          <a:stretch>
                            <a:fillRect/>
                          </a:stretch>
                        </pic:blipFill>
                        <pic:spPr>
                          <a:xfrm>
                            <a:off x="0" y="0"/>
                            <a:ext cx="2161540" cy="127381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1593850" cy="809625"/>
                  <wp:effectExtent l="0" t="0" r="0" b="0"/>
                  <wp:wrapNone/>
                  <wp:docPr id="423" name="AutoShape_487_SpCnt_2"/>
                  <wp:cNvGraphicFramePr/>
                  <a:graphic xmlns:a="http://schemas.openxmlformats.org/drawingml/2006/main">
                    <a:graphicData uri="http://schemas.openxmlformats.org/drawingml/2006/picture">
                      <pic:pic xmlns:pic="http://schemas.openxmlformats.org/drawingml/2006/picture">
                        <pic:nvPicPr>
                          <pic:cNvPr id="423" name="AutoShape_487_SpCnt_2"/>
                          <pic:cNvPicPr/>
                        </pic:nvPicPr>
                        <pic:blipFill>
                          <a:blip r:embed="rId47"/>
                          <a:stretch>
                            <a:fillRect/>
                          </a:stretch>
                        </pic:blipFill>
                        <pic:spPr>
                          <a:xfrm>
                            <a:off x="0" y="0"/>
                            <a:ext cx="1593850" cy="809625"/>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1612900" cy="809625"/>
                  <wp:effectExtent l="0" t="0" r="0" b="0"/>
                  <wp:wrapNone/>
                  <wp:docPr id="424" name="AutoShape_413_SpCnt_3"/>
                  <wp:cNvGraphicFramePr/>
                  <a:graphic xmlns:a="http://schemas.openxmlformats.org/drawingml/2006/main">
                    <a:graphicData uri="http://schemas.openxmlformats.org/drawingml/2006/picture">
                      <pic:pic xmlns:pic="http://schemas.openxmlformats.org/drawingml/2006/picture">
                        <pic:nvPicPr>
                          <pic:cNvPr id="424" name="AutoShape_413_SpCnt_3"/>
                          <pic:cNvPicPr/>
                        </pic:nvPicPr>
                        <pic:blipFill>
                          <a:blip r:embed="rId49"/>
                          <a:stretch>
                            <a:fillRect/>
                          </a:stretch>
                        </pic:blipFill>
                        <pic:spPr>
                          <a:xfrm>
                            <a:off x="0" y="0"/>
                            <a:ext cx="1612900" cy="809625"/>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2161540" cy="1273810"/>
                  <wp:effectExtent l="0" t="0" r="0" b="0"/>
                  <wp:wrapNone/>
                  <wp:docPr id="425" name="AutoShape_30_SpCnt_3"/>
                  <wp:cNvGraphicFramePr/>
                  <a:graphic xmlns:a="http://schemas.openxmlformats.org/drawingml/2006/main">
                    <a:graphicData uri="http://schemas.openxmlformats.org/drawingml/2006/picture">
                      <pic:pic xmlns:pic="http://schemas.openxmlformats.org/drawingml/2006/picture">
                        <pic:nvPicPr>
                          <pic:cNvPr id="425" name="AutoShape_30_SpCnt_3"/>
                          <pic:cNvPicPr/>
                        </pic:nvPicPr>
                        <pic:blipFill>
                          <a:blip r:embed="rId46"/>
                          <a:stretch>
                            <a:fillRect/>
                          </a:stretch>
                        </pic:blipFill>
                        <pic:spPr>
                          <a:xfrm>
                            <a:off x="0" y="0"/>
                            <a:ext cx="2161540" cy="127381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2161540" cy="1358900"/>
                  <wp:effectExtent l="0" t="0" r="0" b="0"/>
                  <wp:wrapNone/>
                  <wp:docPr id="426" name="AutoShape_30_SpCnt_4"/>
                  <wp:cNvGraphicFramePr/>
                  <a:graphic xmlns:a="http://schemas.openxmlformats.org/drawingml/2006/main">
                    <a:graphicData uri="http://schemas.openxmlformats.org/drawingml/2006/picture">
                      <pic:pic xmlns:pic="http://schemas.openxmlformats.org/drawingml/2006/picture">
                        <pic:nvPicPr>
                          <pic:cNvPr id="426" name="AutoShape_30_SpCnt_4"/>
                          <pic:cNvPicPr/>
                        </pic:nvPicPr>
                        <pic:blipFill>
                          <a:blip r:embed="rId48"/>
                          <a:stretch>
                            <a:fillRect/>
                          </a:stretch>
                        </pic:blipFill>
                        <pic:spPr>
                          <a:xfrm>
                            <a:off x="0" y="0"/>
                            <a:ext cx="2161540" cy="135890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1612900" cy="809625"/>
                  <wp:effectExtent l="0" t="0" r="0" b="0"/>
                  <wp:wrapNone/>
                  <wp:docPr id="427" name="AutoShape_413_SpCnt_4"/>
                  <wp:cNvGraphicFramePr/>
                  <a:graphic xmlns:a="http://schemas.openxmlformats.org/drawingml/2006/main">
                    <a:graphicData uri="http://schemas.openxmlformats.org/drawingml/2006/picture">
                      <pic:pic xmlns:pic="http://schemas.openxmlformats.org/drawingml/2006/picture">
                        <pic:nvPicPr>
                          <pic:cNvPr id="427" name="AutoShape_413_SpCnt_4"/>
                          <pic:cNvPicPr/>
                        </pic:nvPicPr>
                        <pic:blipFill>
                          <a:blip r:embed="rId49"/>
                          <a:stretch>
                            <a:fillRect/>
                          </a:stretch>
                        </pic:blipFill>
                        <pic:spPr>
                          <a:xfrm>
                            <a:off x="0" y="0"/>
                            <a:ext cx="1612900" cy="809625"/>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2161540" cy="1358900"/>
                  <wp:effectExtent l="0" t="0" r="0" b="0"/>
                  <wp:wrapNone/>
                  <wp:docPr id="428" name="AutoShape_31_SpCnt_1"/>
                  <wp:cNvGraphicFramePr/>
                  <a:graphic xmlns:a="http://schemas.openxmlformats.org/drawingml/2006/main">
                    <a:graphicData uri="http://schemas.openxmlformats.org/drawingml/2006/picture">
                      <pic:pic xmlns:pic="http://schemas.openxmlformats.org/drawingml/2006/picture">
                        <pic:nvPicPr>
                          <pic:cNvPr id="428" name="AutoShape_31_SpCnt_1"/>
                          <pic:cNvPicPr/>
                        </pic:nvPicPr>
                        <pic:blipFill>
                          <a:blip r:embed="rId48"/>
                          <a:stretch>
                            <a:fillRect/>
                          </a:stretch>
                        </pic:blipFill>
                        <pic:spPr>
                          <a:xfrm>
                            <a:off x="0" y="0"/>
                            <a:ext cx="2161540" cy="135890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2161540" cy="1358900"/>
                  <wp:effectExtent l="0" t="0" r="0" b="0"/>
                  <wp:wrapNone/>
                  <wp:docPr id="429" name="AutoShape_30_SpCnt_5"/>
                  <wp:cNvGraphicFramePr/>
                  <a:graphic xmlns:a="http://schemas.openxmlformats.org/drawingml/2006/main">
                    <a:graphicData uri="http://schemas.openxmlformats.org/drawingml/2006/picture">
                      <pic:pic xmlns:pic="http://schemas.openxmlformats.org/drawingml/2006/picture">
                        <pic:nvPicPr>
                          <pic:cNvPr id="429" name="AutoShape_30_SpCnt_5"/>
                          <pic:cNvPicPr/>
                        </pic:nvPicPr>
                        <pic:blipFill>
                          <a:blip r:embed="rId48"/>
                          <a:stretch>
                            <a:fillRect/>
                          </a:stretch>
                        </pic:blipFill>
                        <pic:spPr>
                          <a:xfrm>
                            <a:off x="0" y="0"/>
                            <a:ext cx="2161540" cy="135890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1593850" cy="809625"/>
                  <wp:effectExtent l="0" t="0" r="0" b="0"/>
                  <wp:wrapNone/>
                  <wp:docPr id="430" name="AutoShape_413_SpCnt_5"/>
                  <wp:cNvGraphicFramePr/>
                  <a:graphic xmlns:a="http://schemas.openxmlformats.org/drawingml/2006/main">
                    <a:graphicData uri="http://schemas.openxmlformats.org/drawingml/2006/picture">
                      <pic:pic xmlns:pic="http://schemas.openxmlformats.org/drawingml/2006/picture">
                        <pic:nvPicPr>
                          <pic:cNvPr id="430" name="AutoShape_413_SpCnt_5"/>
                          <pic:cNvPicPr/>
                        </pic:nvPicPr>
                        <pic:blipFill>
                          <a:blip r:embed="rId47"/>
                          <a:stretch>
                            <a:fillRect/>
                          </a:stretch>
                        </pic:blipFill>
                        <pic:spPr>
                          <a:xfrm>
                            <a:off x="0" y="0"/>
                            <a:ext cx="1593850" cy="809625"/>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1593850" cy="809625"/>
                  <wp:effectExtent l="0" t="0" r="0" b="0"/>
                  <wp:wrapNone/>
                  <wp:docPr id="431" name="AutoShape_413_SpCnt_6"/>
                  <wp:cNvGraphicFramePr/>
                  <a:graphic xmlns:a="http://schemas.openxmlformats.org/drawingml/2006/main">
                    <a:graphicData uri="http://schemas.openxmlformats.org/drawingml/2006/picture">
                      <pic:pic xmlns:pic="http://schemas.openxmlformats.org/drawingml/2006/picture">
                        <pic:nvPicPr>
                          <pic:cNvPr id="431" name="AutoShape_413_SpCnt_6"/>
                          <pic:cNvPicPr/>
                        </pic:nvPicPr>
                        <pic:blipFill>
                          <a:blip r:embed="rId47"/>
                          <a:stretch>
                            <a:fillRect/>
                          </a:stretch>
                        </pic:blipFill>
                        <pic:spPr>
                          <a:xfrm>
                            <a:off x="0" y="0"/>
                            <a:ext cx="1593850" cy="809625"/>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57150</wp:posOffset>
                  </wp:positionH>
                  <wp:positionV relativeFrom="paragraph">
                    <wp:posOffset>0</wp:posOffset>
                  </wp:positionV>
                  <wp:extent cx="1209040" cy="1273810"/>
                  <wp:effectExtent l="0" t="0" r="0" b="0"/>
                  <wp:wrapNone/>
                  <wp:docPr id="432" name="AutoShape_30_SpCnt_6"/>
                  <wp:cNvGraphicFramePr/>
                  <a:graphic xmlns:a="http://schemas.openxmlformats.org/drawingml/2006/main">
                    <a:graphicData uri="http://schemas.openxmlformats.org/drawingml/2006/picture">
                      <pic:pic xmlns:pic="http://schemas.openxmlformats.org/drawingml/2006/picture">
                        <pic:nvPicPr>
                          <pic:cNvPr id="432" name="AutoShape_30_SpCnt_6"/>
                          <pic:cNvPicPr/>
                        </pic:nvPicPr>
                        <pic:blipFill>
                          <a:blip r:embed="rId50"/>
                          <a:stretch>
                            <a:fillRect/>
                          </a:stretch>
                        </pic:blipFill>
                        <pic:spPr>
                          <a:xfrm>
                            <a:off x="0" y="0"/>
                            <a:ext cx="1209040" cy="127381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57150</wp:posOffset>
                  </wp:positionH>
                  <wp:positionV relativeFrom="paragraph">
                    <wp:posOffset>0</wp:posOffset>
                  </wp:positionV>
                  <wp:extent cx="1209040" cy="1358900"/>
                  <wp:effectExtent l="0" t="0" r="0" b="0"/>
                  <wp:wrapNone/>
                  <wp:docPr id="433" name="AutoShape_30_SpCnt_7"/>
                  <wp:cNvGraphicFramePr/>
                  <a:graphic xmlns:a="http://schemas.openxmlformats.org/drawingml/2006/main">
                    <a:graphicData uri="http://schemas.openxmlformats.org/drawingml/2006/picture">
                      <pic:pic xmlns:pic="http://schemas.openxmlformats.org/drawingml/2006/picture">
                        <pic:nvPicPr>
                          <pic:cNvPr id="433" name="AutoShape_30_SpCnt_7"/>
                          <pic:cNvPicPr/>
                        </pic:nvPicPr>
                        <pic:blipFill>
                          <a:blip r:embed="rId51"/>
                          <a:stretch>
                            <a:fillRect/>
                          </a:stretch>
                        </pic:blipFill>
                        <pic:spPr>
                          <a:xfrm>
                            <a:off x="0" y="0"/>
                            <a:ext cx="1209040" cy="135890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08"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27</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童话王国-实木三层柜</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尺寸：111×30×82cm。</w:t>
            </w:r>
          </w:p>
          <w:p>
            <w:pPr>
              <w:keepNext w:val="0"/>
              <w:keepLines w:val="0"/>
              <w:widowControl/>
              <w:numPr>
                <w:ilvl w:val="0"/>
                <w:numId w:val="27"/>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柜体采用18mm厚优质环保芬兰松木，表面木纹拉丝，并环保清水油漆处理，重金属钡、铅、镉、锑、硒、铬、汞、砷等含量符合国家标准规范的要求。（提供油漆8大重金属检测报告）    2、耐磨、耐污、耐划伤，易清洁，耐磨测试250R无透底现象。    </w:t>
            </w:r>
          </w:p>
          <w:p>
            <w:pPr>
              <w:keepNext w:val="0"/>
              <w:keepLines w:val="0"/>
              <w:widowControl/>
              <w:numPr>
                <w:ilvl w:val="0"/>
                <w:numId w:val="27"/>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五金件选用环保五金，安全无毒。符合国家标准规范的要求，钡、铅、镉、锑、硒、铬、汞、砷等含量控制指标完全符合要求。（提供五金件8大重金属检测报告）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4、采用顶板盖侧板的设计方式，保证了柜体表面的平整性。柜体底部配以耐磨塑胶PP脚钉，对地板等地面材料起到保护作用。    5、采用踢脚板设计，即增加了稳定性，又可以防止杂物进入柜底。边角安全防撞设计，对所有的外露面、外漏角进行弧状倒角设计，避免锐角的产生，最大程度的避免儿童磕碰伤害，符合GB28007-2011儿童家具通用技术条件的要求。结构稳固，不易倾倒。全面采用圆角设计，安全缝隙和孔洞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微软雅黑" w:hAnsi="微软雅黑" w:eastAsia="微软雅黑" w:cs="微软雅黑"/>
                <w:b/>
                <w:i w:val="0"/>
                <w:color w:val="000000"/>
                <w:kern w:val="0"/>
                <w:sz w:val="20"/>
                <w:szCs w:val="20"/>
                <w:u w:val="none"/>
                <w:bdr w:val="single" w:color="000000" w:sz="4" w:space="0"/>
                <w:lang w:val="en-US" w:eastAsia="zh-CN" w:bidi="ar"/>
              </w:rPr>
              <w:drawing>
                <wp:anchor distT="0" distB="0" distL="114300" distR="114300" simplePos="0" relativeHeight="251681792" behindDoc="0" locked="0" layoutInCell="1" allowOverlap="1">
                  <wp:simplePos x="0" y="0"/>
                  <wp:positionH relativeFrom="column">
                    <wp:posOffset>9525</wp:posOffset>
                  </wp:positionH>
                  <wp:positionV relativeFrom="paragraph">
                    <wp:posOffset>866775</wp:posOffset>
                  </wp:positionV>
                  <wp:extent cx="772160" cy="848360"/>
                  <wp:effectExtent l="0" t="0" r="8890" b="8890"/>
                  <wp:wrapNone/>
                  <wp:docPr id="330" name="图片_27"/>
                  <wp:cNvGraphicFramePr/>
                  <a:graphic xmlns:a="http://schemas.openxmlformats.org/drawingml/2006/main">
                    <a:graphicData uri="http://schemas.openxmlformats.org/drawingml/2006/picture">
                      <pic:pic xmlns:pic="http://schemas.openxmlformats.org/drawingml/2006/picture">
                        <pic:nvPicPr>
                          <pic:cNvPr id="330" name="图片_27"/>
                          <pic:cNvPicPr/>
                        </pic:nvPicPr>
                        <pic:blipFill>
                          <a:blip r:embed="rId52"/>
                          <a:stretch>
                            <a:fillRect/>
                          </a:stretch>
                        </pic:blipFill>
                        <pic:spPr>
                          <a:xfrm>
                            <a:off x="0" y="0"/>
                            <a:ext cx="772160" cy="848360"/>
                          </a:xfrm>
                          <a:prstGeom prst="rect">
                            <a:avLst/>
                          </a:prstGeom>
                          <a:noFill/>
                          <a:ln>
                            <a:noFill/>
                          </a:ln>
                        </pic:spPr>
                      </pic:pic>
                    </a:graphicData>
                  </a:graphic>
                </wp:anchor>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华文中宋" w:hAnsi="华文中宋" w:eastAsia="华文中宋" w:cs="华文中宋"/>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08"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28</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瓢虫圆凳沙发 瓢虫造型设计</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尺寸：直径35cm，座高20cm。采用环保耐磨皮和高密度泡棉包覆，皮革中不含可分解芳香胺，且游离甲醛含量符合国家标准规范的要求。</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提供皮革可分解芳香胺和游离甲醛含量检测报告。</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微软雅黑" w:hAnsi="微软雅黑" w:eastAsia="微软雅黑" w:cs="微软雅黑"/>
                <w:b/>
                <w:i w:val="0"/>
                <w:color w:val="000000"/>
                <w:kern w:val="0"/>
                <w:sz w:val="20"/>
                <w:szCs w:val="20"/>
                <w:u w:val="none"/>
                <w:bdr w:val="single" w:color="000000" w:sz="4" w:space="0"/>
                <w:lang w:val="en-US" w:eastAsia="zh-CN" w:bidi="ar"/>
              </w:rPr>
              <w:drawing>
                <wp:anchor distT="0" distB="0" distL="114300" distR="114300" simplePos="0" relativeHeight="251682816" behindDoc="0" locked="0" layoutInCell="1" allowOverlap="1">
                  <wp:simplePos x="0" y="0"/>
                  <wp:positionH relativeFrom="column">
                    <wp:posOffset>123825</wp:posOffset>
                  </wp:positionH>
                  <wp:positionV relativeFrom="paragraph">
                    <wp:posOffset>163195</wp:posOffset>
                  </wp:positionV>
                  <wp:extent cx="562610" cy="620395"/>
                  <wp:effectExtent l="0" t="0" r="8890" b="8255"/>
                  <wp:wrapNone/>
                  <wp:docPr id="331" name="图片_29"/>
                  <wp:cNvGraphicFramePr/>
                  <a:graphic xmlns:a="http://schemas.openxmlformats.org/drawingml/2006/main">
                    <a:graphicData uri="http://schemas.openxmlformats.org/drawingml/2006/picture">
                      <pic:pic xmlns:pic="http://schemas.openxmlformats.org/drawingml/2006/picture">
                        <pic:nvPicPr>
                          <pic:cNvPr id="331" name="图片_29"/>
                          <pic:cNvPicPr/>
                        </pic:nvPicPr>
                        <pic:blipFill>
                          <a:blip r:embed="rId53"/>
                          <a:stretch>
                            <a:fillRect/>
                          </a:stretch>
                        </pic:blipFill>
                        <pic:spPr>
                          <a:xfrm>
                            <a:off x="0" y="0"/>
                            <a:ext cx="562610" cy="620395"/>
                          </a:xfrm>
                          <a:prstGeom prst="rect">
                            <a:avLst/>
                          </a:prstGeom>
                          <a:noFill/>
                          <a:ln>
                            <a:noFill/>
                          </a:ln>
                        </pic:spPr>
                      </pic:pic>
                    </a:graphicData>
                  </a:graphic>
                </wp:anchor>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华文中宋" w:hAnsi="华文中宋" w:eastAsia="华文中宋" w:cs="华文中宋"/>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08"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29</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童话王国-实木教具盒柜 </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尺寸：82×30×82cm。</w:t>
            </w:r>
          </w:p>
          <w:p>
            <w:pPr>
              <w:keepNext w:val="0"/>
              <w:keepLines w:val="0"/>
              <w:widowControl/>
              <w:numPr>
                <w:ilvl w:val="0"/>
                <w:numId w:val="28"/>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柜体采用18mm厚优质环保芬兰松木，表面木纹拉丝，并环保清水油漆处理，重金属钡、铅、镉、锑、硒、铬、汞、砷等含量符合国家标准规范的要求。（提供油漆8大重金属检测报告）    2、耐磨、耐污、耐划伤，易清洁，耐磨测试250R无透底现象。    </w:t>
            </w:r>
          </w:p>
          <w:p>
            <w:pPr>
              <w:keepNext w:val="0"/>
              <w:keepLines w:val="0"/>
              <w:widowControl/>
              <w:numPr>
                <w:ilvl w:val="0"/>
                <w:numId w:val="28"/>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五金件选用环保五金，安全无毒。符合国家标准规范的要求，钡、铅、镉、锑、硒、铬、汞、砷等含量控制指标完全符合要求。（提供五金件8大重金属检测报告）    </w:t>
            </w:r>
          </w:p>
          <w:p>
            <w:pPr>
              <w:keepNext w:val="0"/>
              <w:keepLines w:val="0"/>
              <w:widowControl/>
              <w:numPr>
                <w:ilvl w:val="0"/>
                <w:numId w:val="28"/>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采用顶板盖侧板的设计方式，保证了柜体表面的平整性。柜体底部配以耐磨塑胶PP脚钉，对地板等地面材料起到保护作用。    5、侧板内侧设置有专用塑胶PP条，用于教具盒的存放。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6、采用踢脚板设计，即增加了稳定性，又可以防止杂物进入柜底。边角安全防撞设计，对所有的外露面、外漏角进行弧状倒角设计，避免锐角的产生，最大程度的避免儿童磕碰伤害，符合GB28007-2011儿童家具通用技术条件的要求。结构稳固，不易倾倒。全面采用圆角设计，安全缝隙和孔洞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微软雅黑" w:hAnsi="微软雅黑" w:eastAsia="微软雅黑" w:cs="微软雅黑"/>
                <w:b/>
                <w:i w:val="0"/>
                <w:color w:val="000000"/>
                <w:kern w:val="0"/>
                <w:sz w:val="20"/>
                <w:szCs w:val="20"/>
                <w:u w:val="none"/>
                <w:bdr w:val="single" w:color="000000" w:sz="4" w:space="0"/>
                <w:lang w:val="en-US" w:eastAsia="zh-CN" w:bidi="ar"/>
              </w:rPr>
              <w:drawing>
                <wp:anchor distT="0" distB="0" distL="114300" distR="114300" simplePos="0" relativeHeight="251683840" behindDoc="0" locked="0" layoutInCell="1" allowOverlap="1">
                  <wp:simplePos x="0" y="0"/>
                  <wp:positionH relativeFrom="column">
                    <wp:posOffset>107315</wp:posOffset>
                  </wp:positionH>
                  <wp:positionV relativeFrom="paragraph">
                    <wp:posOffset>113030</wp:posOffset>
                  </wp:positionV>
                  <wp:extent cx="685800" cy="1095375"/>
                  <wp:effectExtent l="0" t="0" r="0" b="9525"/>
                  <wp:wrapNone/>
                  <wp:docPr id="332" name="图片_170"/>
                  <wp:cNvGraphicFramePr/>
                  <a:graphic xmlns:a="http://schemas.openxmlformats.org/drawingml/2006/main">
                    <a:graphicData uri="http://schemas.openxmlformats.org/drawingml/2006/picture">
                      <pic:pic xmlns:pic="http://schemas.openxmlformats.org/drawingml/2006/picture">
                        <pic:nvPicPr>
                          <pic:cNvPr id="332" name="图片_170"/>
                          <pic:cNvPicPr/>
                        </pic:nvPicPr>
                        <pic:blipFill>
                          <a:blip r:embed="rId54"/>
                          <a:stretch>
                            <a:fillRect/>
                          </a:stretch>
                        </pic:blipFill>
                        <pic:spPr>
                          <a:xfrm>
                            <a:off x="0" y="0"/>
                            <a:ext cx="685800" cy="1095375"/>
                          </a:xfrm>
                          <a:prstGeom prst="rect">
                            <a:avLst/>
                          </a:prstGeom>
                          <a:noFill/>
                          <a:ln>
                            <a:noFill/>
                          </a:ln>
                        </pic:spPr>
                      </pic:pic>
                    </a:graphicData>
                  </a:graphic>
                </wp:anchor>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华文中宋" w:hAnsi="华文中宋" w:eastAsia="华文中宋" w:cs="华文中宋"/>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08"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30</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童话王国-实木20格活动柜 </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尺寸：111×30×82cm。</w:t>
            </w:r>
          </w:p>
          <w:p>
            <w:pPr>
              <w:keepNext w:val="0"/>
              <w:keepLines w:val="0"/>
              <w:widowControl/>
              <w:numPr>
                <w:ilvl w:val="0"/>
                <w:numId w:val="29"/>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柜体采用18mm厚优质环保芬兰松木，表面木纹拉丝，并环保清水油漆处理，重金属钡、铅、镉、锑、硒、铬、汞、砷等含量符合国家标准规范的要求。（提供油漆8大重金属检测报告）    2、耐磨、耐污、耐划伤，易清洁，耐磨测试250R无透底现象。    </w:t>
            </w:r>
          </w:p>
          <w:p>
            <w:pPr>
              <w:keepNext w:val="0"/>
              <w:keepLines w:val="0"/>
              <w:widowControl/>
              <w:numPr>
                <w:ilvl w:val="0"/>
                <w:numId w:val="29"/>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五金件选用环保五金，安全无毒。符合国家标准规范的要求，钡、铅、镉、锑、硒、铬、汞、砷等含量控制指标完全符合要求。（提供五金件8大重金属检测报告）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4、采用顶板盖侧板的设计方式，保证了柜体表面的平整性。柜体底部配以耐磨塑胶PP脚钉，对地板等地面材料起到保护作用。     5、采用踢脚板设计，即增加了稳定性，又可以防止杂物进入柜底。边角安全防撞设计，对所有的外露面、外漏角进行弧状倒角设计，避免锐角的产生，最大程度的避免儿童磕碰伤害，符合GB28007-2011儿童家具通用技术条件的要求。结构稳固，不易倾倒。全面采用圆角设计，安全缝隙和孔洞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微软雅黑" w:hAnsi="微软雅黑" w:eastAsia="微软雅黑" w:cs="微软雅黑"/>
                <w:b/>
                <w:i w:val="0"/>
                <w:color w:val="000000"/>
                <w:kern w:val="0"/>
                <w:sz w:val="20"/>
                <w:szCs w:val="20"/>
                <w:u w:val="none"/>
                <w:bdr w:val="single" w:color="000000" w:sz="4" w:space="0"/>
                <w:lang w:val="en-US" w:eastAsia="zh-CN" w:bidi="ar"/>
              </w:rPr>
              <w:drawing>
                <wp:anchor distT="0" distB="0" distL="114300" distR="114300" simplePos="0" relativeHeight="251684864" behindDoc="0" locked="0" layoutInCell="1" allowOverlap="1">
                  <wp:simplePos x="0" y="0"/>
                  <wp:positionH relativeFrom="column">
                    <wp:posOffset>85725</wp:posOffset>
                  </wp:positionH>
                  <wp:positionV relativeFrom="paragraph">
                    <wp:posOffset>733425</wp:posOffset>
                  </wp:positionV>
                  <wp:extent cx="648335" cy="895350"/>
                  <wp:effectExtent l="0" t="0" r="18415" b="0"/>
                  <wp:wrapNone/>
                  <wp:docPr id="333" name="图片_171"/>
                  <wp:cNvGraphicFramePr/>
                  <a:graphic xmlns:a="http://schemas.openxmlformats.org/drawingml/2006/main">
                    <a:graphicData uri="http://schemas.openxmlformats.org/drawingml/2006/picture">
                      <pic:pic xmlns:pic="http://schemas.openxmlformats.org/drawingml/2006/picture">
                        <pic:nvPicPr>
                          <pic:cNvPr id="333" name="图片_171"/>
                          <pic:cNvPicPr/>
                        </pic:nvPicPr>
                        <pic:blipFill>
                          <a:blip r:embed="rId55"/>
                          <a:stretch>
                            <a:fillRect/>
                          </a:stretch>
                        </pic:blipFill>
                        <pic:spPr>
                          <a:xfrm>
                            <a:off x="0" y="0"/>
                            <a:ext cx="648335" cy="895350"/>
                          </a:xfrm>
                          <a:prstGeom prst="rect">
                            <a:avLst/>
                          </a:prstGeom>
                          <a:noFill/>
                          <a:ln>
                            <a:noFill/>
                          </a:ln>
                        </pic:spPr>
                      </pic:pic>
                    </a:graphicData>
                  </a:graphic>
                </wp:anchor>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华文中宋" w:hAnsi="华文中宋" w:eastAsia="华文中宋" w:cs="华文中宋"/>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08"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31</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童话王国-实木三层综合柜 </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尺寸：111×30×82cm。</w:t>
            </w:r>
          </w:p>
          <w:p>
            <w:pPr>
              <w:keepNext w:val="0"/>
              <w:keepLines w:val="0"/>
              <w:widowControl/>
              <w:numPr>
                <w:ilvl w:val="0"/>
                <w:numId w:val="30"/>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柜体采用18mm厚优质环保芬兰松木，表面木纹拉丝，并环保清水油漆处理，重金属钡、铅、镉、锑、硒、铬、汞、砷等含量符合国家标准规范的要求。（提供油漆8大重金属检测报告）   </w:t>
            </w:r>
          </w:p>
          <w:p>
            <w:pPr>
              <w:keepNext w:val="0"/>
              <w:keepLines w:val="0"/>
              <w:widowControl/>
              <w:numPr>
                <w:ilvl w:val="0"/>
                <w:numId w:val="30"/>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耐磨、耐污、耐划伤，易清洁，耐磨测试250R无透底现象。    </w:t>
            </w:r>
          </w:p>
          <w:p>
            <w:pPr>
              <w:keepNext w:val="0"/>
              <w:keepLines w:val="0"/>
              <w:widowControl/>
              <w:numPr>
                <w:ilvl w:val="0"/>
                <w:numId w:val="30"/>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五金件选用环保五金，安全无毒。符合国家标准规范的要求，钡、铅、镉、锑、硒、铬、汞、砷等含量控制指标完全符合要求。（提供五金件8大重金属检测报告）  </w:t>
            </w:r>
          </w:p>
          <w:p>
            <w:pPr>
              <w:keepNext w:val="0"/>
              <w:keepLines w:val="0"/>
              <w:widowControl/>
              <w:numPr>
                <w:ilvl w:val="0"/>
                <w:numId w:val="30"/>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采用顶板盖侧板的设计方式，保证了柜体表面的平整性。柜体底部配以耐磨塑胶PP脚钉，对地板等地面材料起到保护作用。  5、以三层存放空间为主，局部五层存放空间。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6、采用踢脚板设计，即增加了稳定性，又可以防止杂物进入柜底。边角安全防撞设计，对所有的外露面、外漏角进行弧状倒角设计，避免锐角的产生，最大程度的避免儿童磕碰伤害，符合GB28007-2011儿童家具通用技术条件的要求。 结构稳固，不易倾倒。全面采用圆角设计，安全缝隙和孔洞符合GB28007-2011儿童家具通用技术条件的要求。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微软雅黑" w:hAnsi="微软雅黑" w:eastAsia="微软雅黑" w:cs="微软雅黑"/>
                <w:b/>
                <w:i w:val="0"/>
                <w:color w:val="000000"/>
                <w:kern w:val="0"/>
                <w:sz w:val="20"/>
                <w:szCs w:val="20"/>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47625</wp:posOffset>
                  </wp:positionH>
                  <wp:positionV relativeFrom="paragraph">
                    <wp:posOffset>809625</wp:posOffset>
                  </wp:positionV>
                  <wp:extent cx="705485" cy="1095375"/>
                  <wp:effectExtent l="0" t="0" r="18415" b="9525"/>
                  <wp:wrapNone/>
                  <wp:docPr id="334" name="图片_176"/>
                  <wp:cNvGraphicFramePr/>
                  <a:graphic xmlns:a="http://schemas.openxmlformats.org/drawingml/2006/main">
                    <a:graphicData uri="http://schemas.openxmlformats.org/drawingml/2006/picture">
                      <pic:pic xmlns:pic="http://schemas.openxmlformats.org/drawingml/2006/picture">
                        <pic:nvPicPr>
                          <pic:cNvPr id="334" name="图片_176"/>
                          <pic:cNvPicPr/>
                        </pic:nvPicPr>
                        <pic:blipFill>
                          <a:blip r:embed="rId56"/>
                          <a:stretch>
                            <a:fillRect/>
                          </a:stretch>
                        </pic:blipFill>
                        <pic:spPr>
                          <a:xfrm>
                            <a:off x="0" y="0"/>
                            <a:ext cx="705485" cy="1095375"/>
                          </a:xfrm>
                          <a:prstGeom prst="rect">
                            <a:avLst/>
                          </a:prstGeom>
                          <a:noFill/>
                          <a:ln>
                            <a:noFill/>
                          </a:ln>
                        </pic:spPr>
                      </pic:pic>
                    </a:graphicData>
                  </a:graphic>
                </wp:anchor>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华文中宋" w:hAnsi="华文中宋" w:eastAsia="华文中宋" w:cs="华文中宋"/>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08"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32</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六角形软垫组合 </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尺寸：直径30cm，座高20cm。采用环保耐磨皮和高密度泡棉包覆，皮革中不含可分解芳香胺，且游离甲醛含量符合国家标准规范的要求。</w:t>
            </w:r>
          </w:p>
          <w:p>
            <w:pPr>
              <w:keepNext w:val="0"/>
              <w:keepLines w:val="0"/>
              <w:widowControl/>
              <w:suppressLineNumbers w:val="0"/>
              <w:jc w:val="left"/>
              <w:textAlignment w:val="center"/>
              <w:rPr>
                <w:rFonts w:hint="default"/>
                <w:lang w:val="en-US" w:eastAsia="zh-CN"/>
              </w:rPr>
            </w:pPr>
            <w:r>
              <w:rPr>
                <w:rFonts w:hint="eastAsia" w:ascii="宋体" w:hAnsi="宋体" w:eastAsia="宋体" w:cs="宋体"/>
                <w:i w:val="0"/>
                <w:color w:val="000000"/>
                <w:kern w:val="0"/>
                <w:sz w:val="20"/>
                <w:szCs w:val="20"/>
                <w:u w:val="none"/>
                <w:lang w:val="en-US" w:eastAsia="zh-CN" w:bidi="ar"/>
              </w:rPr>
              <w:t>提供皮革可分解芳香胺和游离甲醛含量检测报告.</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微软雅黑" w:hAnsi="微软雅黑" w:eastAsia="微软雅黑" w:cs="微软雅黑"/>
                <w:b/>
                <w:i w:val="0"/>
                <w:color w:val="000000"/>
                <w:kern w:val="0"/>
                <w:sz w:val="20"/>
                <w:szCs w:val="20"/>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95250</wp:posOffset>
                  </wp:positionH>
                  <wp:positionV relativeFrom="paragraph">
                    <wp:posOffset>48895</wp:posOffset>
                  </wp:positionV>
                  <wp:extent cx="676910" cy="848360"/>
                  <wp:effectExtent l="0" t="0" r="8890" b="8890"/>
                  <wp:wrapNone/>
                  <wp:docPr id="336" name="图片_172"/>
                  <wp:cNvGraphicFramePr/>
                  <a:graphic xmlns:a="http://schemas.openxmlformats.org/drawingml/2006/main">
                    <a:graphicData uri="http://schemas.openxmlformats.org/drawingml/2006/picture">
                      <pic:pic xmlns:pic="http://schemas.openxmlformats.org/drawingml/2006/picture">
                        <pic:nvPicPr>
                          <pic:cNvPr id="336" name="图片_172"/>
                          <pic:cNvPicPr/>
                        </pic:nvPicPr>
                        <pic:blipFill>
                          <a:blip r:embed="rId57"/>
                          <a:stretch>
                            <a:fillRect/>
                          </a:stretch>
                        </pic:blipFill>
                        <pic:spPr>
                          <a:xfrm>
                            <a:off x="0" y="0"/>
                            <a:ext cx="676910" cy="848360"/>
                          </a:xfrm>
                          <a:prstGeom prst="rect">
                            <a:avLst/>
                          </a:prstGeom>
                          <a:noFill/>
                          <a:ln>
                            <a:noFill/>
                          </a:ln>
                        </pic:spPr>
                      </pic:pic>
                    </a:graphicData>
                  </a:graphic>
                </wp:anchor>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华文中宋" w:hAnsi="华文中宋" w:eastAsia="华文中宋" w:cs="华文中宋"/>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08"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33</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 多彩教具盒小-木色 尺寸：26×23×10cm。采用环保安全塑料。</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微软雅黑" w:hAnsi="微软雅黑" w:eastAsia="微软雅黑" w:cs="微软雅黑"/>
                <w:b/>
                <w:i w:val="0"/>
                <w:color w:val="000000"/>
                <w:kern w:val="0"/>
                <w:sz w:val="20"/>
                <w:szCs w:val="20"/>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104775</wp:posOffset>
                  </wp:positionH>
                  <wp:positionV relativeFrom="paragraph">
                    <wp:posOffset>144145</wp:posOffset>
                  </wp:positionV>
                  <wp:extent cx="639445" cy="610235"/>
                  <wp:effectExtent l="0" t="0" r="8255" b="18415"/>
                  <wp:wrapNone/>
                  <wp:docPr id="335" name="图片_174"/>
                  <wp:cNvGraphicFramePr/>
                  <a:graphic xmlns:a="http://schemas.openxmlformats.org/drawingml/2006/main">
                    <a:graphicData uri="http://schemas.openxmlformats.org/drawingml/2006/picture">
                      <pic:pic xmlns:pic="http://schemas.openxmlformats.org/drawingml/2006/picture">
                        <pic:nvPicPr>
                          <pic:cNvPr id="335" name="图片_174"/>
                          <pic:cNvPicPr/>
                        </pic:nvPicPr>
                        <pic:blipFill>
                          <a:blip r:embed="rId58"/>
                          <a:stretch>
                            <a:fillRect/>
                          </a:stretch>
                        </pic:blipFill>
                        <pic:spPr>
                          <a:xfrm>
                            <a:off x="0" y="0"/>
                            <a:ext cx="639445" cy="610235"/>
                          </a:xfrm>
                          <a:prstGeom prst="rect">
                            <a:avLst/>
                          </a:prstGeom>
                          <a:noFill/>
                          <a:ln>
                            <a:noFill/>
                          </a:ln>
                        </pic:spPr>
                      </pic:pic>
                    </a:graphicData>
                  </a:graphic>
                </wp:anchor>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华文中宋" w:hAnsi="华文中宋" w:eastAsia="华文中宋" w:cs="华文中宋"/>
                <w:i w:val="0"/>
                <w:color w:val="000000"/>
                <w:kern w:val="0"/>
                <w:sz w:val="22"/>
                <w:szCs w:val="22"/>
                <w:u w:val="none"/>
                <w:lang w:val="en-US" w:eastAsia="zh-CN" w:bidi="ar"/>
              </w:rPr>
              <w:t>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08"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34</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 多彩教具盒大-木色 尺寸：26×23×19cm。采用环保安全塑料。</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微软雅黑" w:hAnsi="微软雅黑" w:eastAsia="微软雅黑" w:cs="微软雅黑"/>
                <w:b/>
                <w:i w:val="0"/>
                <w:color w:val="000000"/>
                <w:kern w:val="0"/>
                <w:sz w:val="20"/>
                <w:szCs w:val="20"/>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85725</wp:posOffset>
                  </wp:positionH>
                  <wp:positionV relativeFrom="paragraph">
                    <wp:posOffset>50800</wp:posOffset>
                  </wp:positionV>
                  <wp:extent cx="552450" cy="819785"/>
                  <wp:effectExtent l="0" t="0" r="0" b="18415"/>
                  <wp:wrapNone/>
                  <wp:docPr id="337" name="图片_175"/>
                  <wp:cNvGraphicFramePr/>
                  <a:graphic xmlns:a="http://schemas.openxmlformats.org/drawingml/2006/main">
                    <a:graphicData uri="http://schemas.openxmlformats.org/drawingml/2006/picture">
                      <pic:pic xmlns:pic="http://schemas.openxmlformats.org/drawingml/2006/picture">
                        <pic:nvPicPr>
                          <pic:cNvPr id="337" name="图片_175"/>
                          <pic:cNvPicPr/>
                        </pic:nvPicPr>
                        <pic:blipFill>
                          <a:blip r:embed="rId58"/>
                          <a:stretch>
                            <a:fillRect/>
                          </a:stretch>
                        </pic:blipFill>
                        <pic:spPr>
                          <a:xfrm>
                            <a:off x="0" y="0"/>
                            <a:ext cx="552450" cy="819785"/>
                          </a:xfrm>
                          <a:prstGeom prst="rect">
                            <a:avLst/>
                          </a:prstGeom>
                          <a:noFill/>
                          <a:ln>
                            <a:noFill/>
                          </a:ln>
                        </pic:spPr>
                      </pic:pic>
                    </a:graphicData>
                  </a:graphic>
                </wp:anchor>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华文中宋" w:hAnsi="华文中宋" w:eastAsia="华文中宋" w:cs="华文中宋"/>
                <w:i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08"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35</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直立挂架 </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尺寸：55×55×120cm。</w:t>
            </w:r>
          </w:p>
          <w:p>
            <w:pPr>
              <w:keepNext w:val="0"/>
              <w:keepLines w:val="0"/>
              <w:widowControl/>
              <w:numPr>
                <w:ilvl w:val="0"/>
                <w:numId w:val="31"/>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主立柱采用48×48cm优质松木，表面喷涂高环保的清水油漆，重金属钡、铅、镉、锑、硒、铬、汞、砷等含量符合国家标准规范的要求。（提供油漆8大重金属检测报告）底架采用优质环保三聚氰胺贴面胶合板，甲醛释放量符合GB18580-2017标准要求。（提供饰面胶合板甲醛释放量检测报告）    </w:t>
            </w:r>
          </w:p>
          <w:p>
            <w:pPr>
              <w:keepNext w:val="0"/>
              <w:keepLines w:val="0"/>
              <w:widowControl/>
              <w:numPr>
                <w:ilvl w:val="0"/>
                <w:numId w:val="31"/>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表面耐磨、耐污、耐划伤，易清洁，耐磨测试250R无透底现象。    </w:t>
            </w:r>
          </w:p>
          <w:p>
            <w:pPr>
              <w:keepNext w:val="0"/>
              <w:keepLines w:val="0"/>
              <w:widowControl/>
              <w:numPr>
                <w:ilvl w:val="0"/>
                <w:numId w:val="31"/>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原生态木蜡油封边，重金属钡、铅、镉、锑、硒、铬、汞、砷等含量符合国家标准规范的要求。（提供木蜡油8大重金属检测报告）    </w:t>
            </w:r>
          </w:p>
          <w:p>
            <w:pPr>
              <w:keepNext w:val="0"/>
              <w:keepLines w:val="0"/>
              <w:widowControl/>
              <w:numPr>
                <w:ilvl w:val="0"/>
                <w:numId w:val="31"/>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五金件选用环保五金，安全无毒。符合国家标准规范的要求，钡、铅、镉、锑、硒、铬、汞、砷等含量控制指标完全符合要求。（提供五金件8大重金属检测报告）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5、底部配以耐磨塑胶PP脚钉，对地板等地面材料起到保护作用。    6、结构稳固，不易倾倒。全面采用圆角设计，安全缝隙和孔洞均符合GB28007-2011儿童家具通用技术条件的要求。                                 </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bdr w:val="single" w:color="000000" w:sz="4" w:space="0"/>
                <w:lang w:val="en-US" w:eastAsia="zh-CN" w:bidi="ar"/>
              </w:rPr>
              <w:drawing>
                <wp:anchor distT="0" distB="0" distL="114300" distR="114300" simplePos="0" relativeHeight="251688960" behindDoc="0" locked="0" layoutInCell="1" allowOverlap="1">
                  <wp:simplePos x="0" y="0"/>
                  <wp:positionH relativeFrom="column">
                    <wp:posOffset>47625</wp:posOffset>
                  </wp:positionH>
                  <wp:positionV relativeFrom="paragraph">
                    <wp:posOffset>813435</wp:posOffset>
                  </wp:positionV>
                  <wp:extent cx="695960" cy="1143635"/>
                  <wp:effectExtent l="0" t="0" r="8890" b="18415"/>
                  <wp:wrapNone/>
                  <wp:docPr id="338" name="图片_177"/>
                  <wp:cNvGraphicFramePr/>
                  <a:graphic xmlns:a="http://schemas.openxmlformats.org/drawingml/2006/main">
                    <a:graphicData uri="http://schemas.openxmlformats.org/drawingml/2006/picture">
                      <pic:pic xmlns:pic="http://schemas.openxmlformats.org/drawingml/2006/picture">
                        <pic:nvPicPr>
                          <pic:cNvPr id="338" name="图片_177"/>
                          <pic:cNvPicPr/>
                        </pic:nvPicPr>
                        <pic:blipFill>
                          <a:blip r:embed="rId59"/>
                          <a:stretch>
                            <a:fillRect/>
                          </a:stretch>
                        </pic:blipFill>
                        <pic:spPr>
                          <a:xfrm>
                            <a:off x="0" y="0"/>
                            <a:ext cx="695960" cy="1143635"/>
                          </a:xfrm>
                          <a:prstGeom prst="rect">
                            <a:avLst/>
                          </a:prstGeom>
                          <a:noFill/>
                          <a:ln>
                            <a:noFill/>
                          </a:ln>
                        </pic:spPr>
                      </pic:pic>
                    </a:graphicData>
                  </a:graphic>
                </wp:anchor>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08"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36</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雅典花园布偶台 </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尺寸：83.6×30×128.8cm。</w:t>
            </w:r>
          </w:p>
          <w:p>
            <w:pPr>
              <w:keepNext w:val="0"/>
              <w:keepLines w:val="0"/>
              <w:widowControl/>
              <w:numPr>
                <w:ilvl w:val="0"/>
                <w:numId w:val="32"/>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主框架采用18mm厚优质环保枫木纹三聚氰胺双贴面橡胶木，甲醛释放量符合GB18580-2017标准要求。（提供饰面实木板甲醛释放量检测报告） 背板为5mm枫木纹三聚氰胺双贴面密度板。 </w:t>
            </w:r>
          </w:p>
          <w:p>
            <w:pPr>
              <w:keepNext w:val="0"/>
              <w:keepLines w:val="0"/>
              <w:widowControl/>
              <w:numPr>
                <w:ilvl w:val="0"/>
                <w:numId w:val="32"/>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表面耐磨、耐污、耐划伤，易清洁，耐磨测试250R无透底现象。  </w:t>
            </w:r>
          </w:p>
          <w:p>
            <w:pPr>
              <w:keepNext w:val="0"/>
              <w:keepLines w:val="0"/>
              <w:widowControl/>
              <w:numPr>
                <w:ilvl w:val="0"/>
                <w:numId w:val="32"/>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2"/>
                <w:szCs w:val="22"/>
                <w:u w:val="none"/>
                <w:bdr w:val="single" w:color="000000" w:sz="4" w:space="0"/>
                <w:lang w:val="en-US" w:eastAsia="zh-CN" w:bidi="ar"/>
              </w:rPr>
              <w:drawing>
                <wp:anchor distT="0" distB="0" distL="114300" distR="114300" simplePos="0" relativeHeight="251689984" behindDoc="0" locked="0" layoutInCell="1" allowOverlap="1">
                  <wp:simplePos x="0" y="0"/>
                  <wp:positionH relativeFrom="column">
                    <wp:posOffset>3609975</wp:posOffset>
                  </wp:positionH>
                  <wp:positionV relativeFrom="paragraph">
                    <wp:posOffset>458470</wp:posOffset>
                  </wp:positionV>
                  <wp:extent cx="762635" cy="1151890"/>
                  <wp:effectExtent l="0" t="0" r="18415" b="10160"/>
                  <wp:wrapNone/>
                  <wp:docPr id="339" name="图片_178"/>
                  <wp:cNvGraphicFramePr/>
                  <a:graphic xmlns:a="http://schemas.openxmlformats.org/drawingml/2006/main">
                    <a:graphicData uri="http://schemas.openxmlformats.org/drawingml/2006/picture">
                      <pic:pic xmlns:pic="http://schemas.openxmlformats.org/drawingml/2006/picture">
                        <pic:nvPicPr>
                          <pic:cNvPr id="339" name="图片_178"/>
                          <pic:cNvPicPr/>
                        </pic:nvPicPr>
                        <pic:blipFill>
                          <a:blip r:embed="rId60"/>
                          <a:stretch>
                            <a:fillRect/>
                          </a:stretch>
                        </pic:blipFill>
                        <pic:spPr>
                          <a:xfrm>
                            <a:off x="0" y="0"/>
                            <a:ext cx="762635" cy="1151890"/>
                          </a:xfrm>
                          <a:prstGeom prst="rect">
                            <a:avLst/>
                          </a:prstGeom>
                          <a:noFill/>
                          <a:ln>
                            <a:noFill/>
                          </a:ln>
                        </pic:spPr>
                      </pic:pic>
                    </a:graphicData>
                  </a:graphic>
                </wp:anchor>
              </w:drawing>
            </w:r>
            <w:r>
              <w:rPr>
                <w:rFonts w:hint="eastAsia" w:ascii="宋体" w:hAnsi="宋体" w:eastAsia="宋体" w:cs="宋体"/>
                <w:i w:val="0"/>
                <w:color w:val="000000"/>
                <w:kern w:val="0"/>
                <w:sz w:val="20"/>
                <w:szCs w:val="20"/>
                <w:u w:val="none"/>
                <w:lang w:val="en-US" w:eastAsia="zh-CN" w:bidi="ar"/>
              </w:rPr>
              <w:t xml:space="preserve">原生态木蜡油封边，重金属钡、铅、镉、锑、硒、铬、汞、砷等含量符合国家标准规范的要求。（提供木蜡油8大重金属检测报告） </w:t>
            </w:r>
          </w:p>
          <w:p>
            <w:pPr>
              <w:keepNext w:val="0"/>
              <w:keepLines w:val="0"/>
              <w:widowControl/>
              <w:numPr>
                <w:ilvl w:val="0"/>
                <w:numId w:val="32"/>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五金件选用环保五金，安全无毒。符合国家标准规范的要求，钡、铅、镉、锑、硒、铬、汞、砷等含量控制指标完全符合要求。（提供五金件8大重金属检测报告）   </w:t>
            </w:r>
          </w:p>
          <w:p>
            <w:pPr>
              <w:keepNext w:val="0"/>
              <w:keepLines w:val="0"/>
              <w:widowControl/>
              <w:numPr>
                <w:ilvl w:val="0"/>
                <w:numId w:val="32"/>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花瓣形屋顶图案部分采用9mm厚胶合板，丝印工艺处理，颜色不易脱落，且所使用的丝印油墨均为环保材料，重金属钡、铅、镉、锑、硒、铬、汞、砷等含量符合国家标准规范的要求。（提供油墨8大重金属检测报告）    </w:t>
            </w:r>
          </w:p>
          <w:p>
            <w:pPr>
              <w:keepNext w:val="0"/>
              <w:keepLines w:val="0"/>
              <w:widowControl/>
              <w:numPr>
                <w:ilvl w:val="0"/>
                <w:numId w:val="32"/>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布帘采用优质棉布。</w:t>
            </w:r>
          </w:p>
          <w:p>
            <w:pPr>
              <w:keepNext w:val="0"/>
              <w:keepLines w:val="0"/>
              <w:widowControl/>
              <w:numPr>
                <w:ilvl w:val="0"/>
                <w:numId w:val="32"/>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柜底配以耐磨塑胶PP脚钉，对地板等地面材料起到保护作用。8、柜体内藏一个移动座位柜，座垫采用环保PVC阻燃透气皮和阻燃泡棉；（提供皮革可分解芳香胺和游离甲醛含量检测报告）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9、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08"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37</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挪葳森林城堡入口 </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尺寸：89×5×150cm。</w:t>
            </w:r>
          </w:p>
          <w:p>
            <w:pPr>
              <w:keepNext w:val="0"/>
              <w:keepLines w:val="0"/>
              <w:widowControl/>
              <w:numPr>
                <w:ilvl w:val="0"/>
                <w:numId w:val="33"/>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立柱采用48×48mm优质新西兰松木，表面喷涂高环保的清水油漆，重金属钡、铅、镉、锑、硒、铬、汞、砷等含量符合国家标准规范的要求。（提供油漆8大重金属检测报告）屋顶采用优质环保三聚氰胺贴面胶合板，甲醛释放量符合GB18580-2017</w:t>
            </w: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91008" behindDoc="0" locked="0" layoutInCell="1" allowOverlap="1">
                  <wp:simplePos x="0" y="0"/>
                  <wp:positionH relativeFrom="column">
                    <wp:posOffset>3676650</wp:posOffset>
                  </wp:positionH>
                  <wp:positionV relativeFrom="paragraph">
                    <wp:posOffset>557530</wp:posOffset>
                  </wp:positionV>
                  <wp:extent cx="685800" cy="676910"/>
                  <wp:effectExtent l="0" t="0" r="0" b="8890"/>
                  <wp:wrapNone/>
                  <wp:docPr id="340" name="图片_186"/>
                  <wp:cNvGraphicFramePr/>
                  <a:graphic xmlns:a="http://schemas.openxmlformats.org/drawingml/2006/main">
                    <a:graphicData uri="http://schemas.openxmlformats.org/drawingml/2006/picture">
                      <pic:pic xmlns:pic="http://schemas.openxmlformats.org/drawingml/2006/picture">
                        <pic:nvPicPr>
                          <pic:cNvPr id="340" name="图片_186"/>
                          <pic:cNvPicPr/>
                        </pic:nvPicPr>
                        <pic:blipFill>
                          <a:blip r:embed="rId61"/>
                          <a:stretch>
                            <a:fillRect/>
                          </a:stretch>
                        </pic:blipFill>
                        <pic:spPr>
                          <a:xfrm>
                            <a:off x="0" y="0"/>
                            <a:ext cx="685800" cy="676910"/>
                          </a:xfrm>
                          <a:prstGeom prst="rect">
                            <a:avLst/>
                          </a:prstGeom>
                          <a:noFill/>
                          <a:ln>
                            <a:noFill/>
                          </a:ln>
                        </pic:spPr>
                      </pic:pic>
                    </a:graphicData>
                  </a:graphic>
                </wp:anchor>
              </w:drawing>
            </w:r>
            <w:r>
              <w:rPr>
                <w:rFonts w:hint="eastAsia" w:ascii="宋体" w:hAnsi="宋体" w:eastAsia="宋体" w:cs="宋体"/>
                <w:i w:val="0"/>
                <w:color w:val="000000"/>
                <w:kern w:val="0"/>
                <w:sz w:val="20"/>
                <w:szCs w:val="20"/>
                <w:u w:val="none"/>
                <w:lang w:val="en-US" w:eastAsia="zh-CN" w:bidi="ar"/>
              </w:rPr>
              <w:t xml:space="preserve">标准要求。（提供饰面胶合板甲醛释放量检测报告）  </w:t>
            </w:r>
          </w:p>
          <w:p>
            <w:pPr>
              <w:keepNext w:val="0"/>
              <w:keepLines w:val="0"/>
              <w:widowControl/>
              <w:numPr>
                <w:ilvl w:val="0"/>
                <w:numId w:val="33"/>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表面耐磨、耐污、耐划伤，易清洁，耐磨测试250R无透底现象。  </w:t>
            </w:r>
          </w:p>
          <w:p>
            <w:pPr>
              <w:keepNext w:val="0"/>
              <w:keepLines w:val="0"/>
              <w:widowControl/>
              <w:numPr>
                <w:ilvl w:val="0"/>
                <w:numId w:val="33"/>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原生态木蜡油封边，重金属钡、铅、镉、锑、硒、铬、汞、砷等含量符合国家标准规范的要求。（提供木蜡油8大重金属检测报告）  </w:t>
            </w:r>
          </w:p>
          <w:p>
            <w:pPr>
              <w:keepNext w:val="0"/>
              <w:keepLines w:val="0"/>
              <w:widowControl/>
              <w:numPr>
                <w:ilvl w:val="0"/>
                <w:numId w:val="33"/>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五金件选用环保五金，安全无毒。符合国家标准规范的要求，钡、铅、镉、锑、硒、铬、汞、砷等含量控制指标完全符合要求。（提供五金件8大重金属检测报告）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5、边角安全防撞设计，对所有的外露面、外漏角进行弧状倒角设计，避免锐角的产生，最大程度的避免儿童磕碰伤害，符合GB28007-2011儿童家具通用技术条件的要求。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08"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38</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雅典花园五格中空柜-枫木纹 </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尺寸：110×30×57cm。</w:t>
            </w:r>
          </w:p>
          <w:p>
            <w:pPr>
              <w:keepNext w:val="0"/>
              <w:keepLines w:val="0"/>
              <w:widowControl/>
              <w:numPr>
                <w:ilvl w:val="0"/>
                <w:numId w:val="34"/>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主框架采用18mm厚优质环保枫木纹三聚氰胺双贴面橡胶木，甲醛释放量符合GB18580-2017标准要求。（提供饰面实木板甲醛释放量检测报告）层板采用15mm厚优质环保枫木纹三聚氰胺双贴面橡胶木。 </w:t>
            </w:r>
          </w:p>
          <w:p>
            <w:pPr>
              <w:keepNext w:val="0"/>
              <w:keepLines w:val="0"/>
              <w:widowControl/>
              <w:numPr>
                <w:ilvl w:val="0"/>
                <w:numId w:val="34"/>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表面耐磨、耐污、耐划伤，易清洁，耐磨测试250R无透底现象。  </w:t>
            </w:r>
          </w:p>
          <w:p>
            <w:pPr>
              <w:keepNext w:val="0"/>
              <w:keepLines w:val="0"/>
              <w:widowControl/>
              <w:numPr>
                <w:ilvl w:val="0"/>
                <w:numId w:val="34"/>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原生态木蜡油封边，重金属钡、铅、镉、锑、硒、铬、汞、砷等含量符合国家标准规范的要求。（提供木蜡油8大重金属检测报告）</w:t>
            </w:r>
          </w:p>
          <w:p>
            <w:pPr>
              <w:keepNext w:val="0"/>
              <w:keepLines w:val="0"/>
              <w:widowControl/>
              <w:numPr>
                <w:ilvl w:val="0"/>
                <w:numId w:val="34"/>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五金件选用环保五金，安全无毒。符合国家标准规范的要求，钡、铅、镉、锑、硒、铬、汞、砷等含量控制指标完全符合要求。（提供五金件8大重金属检测报告）   </w:t>
            </w:r>
          </w:p>
          <w:p>
            <w:pPr>
              <w:keepNext w:val="0"/>
              <w:keepLines w:val="0"/>
              <w:widowControl/>
              <w:numPr>
                <w:ilvl w:val="0"/>
                <w:numId w:val="34"/>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柜体采用踢脚板设计，即增加了稳定性，又可以防止杂物进入柜底。柜底配以耐磨塑胶PP脚钉，对地板等地面材料起到保护作用。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6、柜体内部格局分为二层，上层为2格，下层为3格。顶板及侧板内部连接处设置有塑料加固装置。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bdr w:val="single" w:color="000000" w:sz="4" w:space="0"/>
                <w:lang w:val="en-US" w:eastAsia="zh-CN" w:bidi="ar"/>
              </w:rPr>
              <w:drawing>
                <wp:anchor distT="0" distB="0" distL="114300" distR="114300" simplePos="0" relativeHeight="251692032" behindDoc="0" locked="0" layoutInCell="1" allowOverlap="1">
                  <wp:simplePos x="0" y="0"/>
                  <wp:positionH relativeFrom="column">
                    <wp:posOffset>19050</wp:posOffset>
                  </wp:positionH>
                  <wp:positionV relativeFrom="paragraph">
                    <wp:posOffset>666750</wp:posOffset>
                  </wp:positionV>
                  <wp:extent cx="667385" cy="1361440"/>
                  <wp:effectExtent l="0" t="0" r="18415" b="10160"/>
                  <wp:wrapNone/>
                  <wp:docPr id="341" name="图片_179"/>
                  <wp:cNvGraphicFramePr/>
                  <a:graphic xmlns:a="http://schemas.openxmlformats.org/drawingml/2006/main">
                    <a:graphicData uri="http://schemas.openxmlformats.org/drawingml/2006/picture">
                      <pic:pic xmlns:pic="http://schemas.openxmlformats.org/drawingml/2006/picture">
                        <pic:nvPicPr>
                          <pic:cNvPr id="341" name="图片_179"/>
                          <pic:cNvPicPr/>
                        </pic:nvPicPr>
                        <pic:blipFill>
                          <a:blip r:embed="rId62"/>
                          <a:stretch>
                            <a:fillRect/>
                          </a:stretch>
                        </pic:blipFill>
                        <pic:spPr>
                          <a:xfrm>
                            <a:off x="0" y="0"/>
                            <a:ext cx="667385" cy="1361440"/>
                          </a:xfrm>
                          <a:prstGeom prst="rect">
                            <a:avLst/>
                          </a:prstGeom>
                          <a:noFill/>
                          <a:ln>
                            <a:noFill/>
                          </a:ln>
                        </pic:spPr>
                      </pic:pic>
                    </a:graphicData>
                  </a:graphic>
                </wp:anchor>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08"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39</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45度中空双层转角柜-百搭 </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尺寸：54×33×56cm。</w:t>
            </w:r>
          </w:p>
          <w:p>
            <w:pPr>
              <w:keepNext w:val="0"/>
              <w:keepLines w:val="0"/>
              <w:widowControl/>
              <w:numPr>
                <w:ilvl w:val="0"/>
                <w:numId w:val="35"/>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框体采用16mm厚优质环保枫木纹三聚氰胺双贴面高密度刨花板，甲醛释放量符合GB18580-2017标准要求。（提供饰面刨花板甲醛释放量检测报告）   </w:t>
            </w:r>
          </w:p>
          <w:p>
            <w:pPr>
              <w:keepNext w:val="0"/>
              <w:keepLines w:val="0"/>
              <w:widowControl/>
              <w:numPr>
                <w:ilvl w:val="0"/>
                <w:numId w:val="35"/>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耐磨、耐污、耐划伤，易清洁，耐磨测试250R无透底现象。    </w:t>
            </w:r>
          </w:p>
          <w:p>
            <w:pPr>
              <w:keepNext w:val="0"/>
              <w:keepLines w:val="0"/>
              <w:widowControl/>
              <w:numPr>
                <w:ilvl w:val="0"/>
                <w:numId w:val="35"/>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2"/>
                <w:szCs w:val="22"/>
                <w:u w:val="none"/>
                <w:bdr w:val="single" w:color="000000" w:sz="4" w:space="0"/>
                <w:lang w:val="en-US" w:eastAsia="zh-CN" w:bidi="ar"/>
              </w:rPr>
              <w:drawing>
                <wp:anchor distT="0" distB="0" distL="114300" distR="114300" simplePos="0" relativeHeight="251693056" behindDoc="0" locked="0" layoutInCell="1" allowOverlap="1">
                  <wp:simplePos x="0" y="0"/>
                  <wp:positionH relativeFrom="column">
                    <wp:posOffset>3674110</wp:posOffset>
                  </wp:positionH>
                  <wp:positionV relativeFrom="paragraph">
                    <wp:posOffset>282575</wp:posOffset>
                  </wp:positionV>
                  <wp:extent cx="657225" cy="1133475"/>
                  <wp:effectExtent l="0" t="0" r="9525" b="9525"/>
                  <wp:wrapNone/>
                  <wp:docPr id="342" name="图片_180"/>
                  <wp:cNvGraphicFramePr/>
                  <a:graphic xmlns:a="http://schemas.openxmlformats.org/drawingml/2006/main">
                    <a:graphicData uri="http://schemas.openxmlformats.org/drawingml/2006/picture">
                      <pic:pic xmlns:pic="http://schemas.openxmlformats.org/drawingml/2006/picture">
                        <pic:nvPicPr>
                          <pic:cNvPr id="342" name="图片_180"/>
                          <pic:cNvPicPr/>
                        </pic:nvPicPr>
                        <pic:blipFill>
                          <a:blip r:embed="rId63"/>
                          <a:stretch>
                            <a:fillRect/>
                          </a:stretch>
                        </pic:blipFill>
                        <pic:spPr>
                          <a:xfrm>
                            <a:off x="0" y="0"/>
                            <a:ext cx="657225" cy="1133475"/>
                          </a:xfrm>
                          <a:prstGeom prst="rect">
                            <a:avLst/>
                          </a:prstGeom>
                          <a:noFill/>
                          <a:ln>
                            <a:noFill/>
                          </a:ln>
                        </pic:spPr>
                      </pic:pic>
                    </a:graphicData>
                  </a:graphic>
                </wp:anchor>
              </w:drawing>
            </w:r>
            <w:r>
              <w:rPr>
                <w:rFonts w:hint="eastAsia" w:ascii="宋体" w:hAnsi="宋体" w:eastAsia="宋体" w:cs="宋体"/>
                <w:i w:val="0"/>
                <w:color w:val="000000"/>
                <w:kern w:val="0"/>
                <w:sz w:val="20"/>
                <w:szCs w:val="20"/>
                <w:u w:val="none"/>
                <w:lang w:val="en-US" w:eastAsia="zh-CN" w:bidi="ar"/>
              </w:rPr>
              <w:t xml:space="preserve">优质PVC边条封边，邻苯二甲酸酯含量符合国家标准规范的要求。 （提供家具封边条邻苯二甲酸酯含量检测报告）   </w:t>
            </w:r>
          </w:p>
          <w:p>
            <w:pPr>
              <w:keepNext w:val="0"/>
              <w:keepLines w:val="0"/>
              <w:widowControl/>
              <w:numPr>
                <w:ilvl w:val="0"/>
                <w:numId w:val="35"/>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五金件选用环保五金，安全无毒。符合国家标准规范的要求，钡、铅、镉、锑、硒、铬、汞、砷等含量控制指标完全符合要求。（提供五金件8大重金属检测报告）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5、柜底配以耐磨塑胶PP脚钉，对地板等地面材料起到保护作用。   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08"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40</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毛巾架 </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尺寸：83×56×85cm。</w:t>
            </w:r>
          </w:p>
          <w:p>
            <w:pPr>
              <w:keepNext w:val="0"/>
              <w:keepLines w:val="0"/>
              <w:widowControl/>
              <w:numPr>
                <w:ilvl w:val="0"/>
                <w:numId w:val="36"/>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框体采用15mm厚优质环保三聚氰胺贴面胶合板，甲醛释放量符合GB18580-2017标准要求。（提供饰面胶合板甲醛释放量检测报告）    </w:t>
            </w:r>
          </w:p>
          <w:p>
            <w:pPr>
              <w:keepNext w:val="0"/>
              <w:keepLines w:val="0"/>
              <w:widowControl/>
              <w:numPr>
                <w:ilvl w:val="0"/>
                <w:numId w:val="36"/>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表面耐磨、耐污、耐划伤，易清洁，耐磨测试250R无透底现象。</w:t>
            </w:r>
          </w:p>
          <w:p>
            <w:pPr>
              <w:keepNext w:val="0"/>
              <w:keepLines w:val="0"/>
              <w:widowControl/>
              <w:numPr>
                <w:ilvl w:val="0"/>
                <w:numId w:val="36"/>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原生态木蜡油封边，重金属钡、铅、镉、锑、硒、铬、汞、砷等含量符合国家标准规范的要求。（提供木蜡油8大重金属检测报告）   </w:t>
            </w:r>
          </w:p>
          <w:p>
            <w:pPr>
              <w:keepNext w:val="0"/>
              <w:keepLines w:val="0"/>
              <w:widowControl/>
              <w:numPr>
                <w:ilvl w:val="0"/>
                <w:numId w:val="36"/>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五金件选用环保五金，安全无毒。符合国家标准规范的要求，钡、铅、镉、锑、硒、铬、汞、砷等含量控制指标完全符合要求。（提供五金件8大重金属检测报告）    </w:t>
            </w:r>
          </w:p>
          <w:p>
            <w:pPr>
              <w:keepNext w:val="0"/>
              <w:keepLines w:val="0"/>
              <w:widowControl/>
              <w:numPr>
                <w:ilvl w:val="0"/>
                <w:numId w:val="36"/>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底部各配以4个滑轮，便于移动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6、结构稳固，不易倾倒。全面采用圆角设计，安全缝隙和孔洞均符合GB28007-2011儿童家具通用技术条件的要求。                                 </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66675</wp:posOffset>
                  </wp:positionH>
                  <wp:positionV relativeFrom="paragraph">
                    <wp:posOffset>732790</wp:posOffset>
                  </wp:positionV>
                  <wp:extent cx="715645" cy="829310"/>
                  <wp:effectExtent l="0" t="0" r="8255" b="8890"/>
                  <wp:wrapNone/>
                  <wp:docPr id="343" name="图片_182"/>
                  <wp:cNvGraphicFramePr/>
                  <a:graphic xmlns:a="http://schemas.openxmlformats.org/drawingml/2006/main">
                    <a:graphicData uri="http://schemas.openxmlformats.org/drawingml/2006/picture">
                      <pic:pic xmlns:pic="http://schemas.openxmlformats.org/drawingml/2006/picture">
                        <pic:nvPicPr>
                          <pic:cNvPr id="343" name="图片_182"/>
                          <pic:cNvPicPr/>
                        </pic:nvPicPr>
                        <pic:blipFill>
                          <a:blip r:embed="rId64"/>
                          <a:stretch>
                            <a:fillRect/>
                          </a:stretch>
                        </pic:blipFill>
                        <pic:spPr>
                          <a:xfrm>
                            <a:off x="0" y="0"/>
                            <a:ext cx="715645" cy="829310"/>
                          </a:xfrm>
                          <a:prstGeom prst="rect">
                            <a:avLst/>
                          </a:prstGeom>
                          <a:noFill/>
                          <a:ln>
                            <a:noFill/>
                          </a:ln>
                        </pic:spPr>
                      </pic:pic>
                    </a:graphicData>
                  </a:graphic>
                </wp:anchor>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08"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41</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keepNext w:val="0"/>
              <w:keepLines w:val="0"/>
              <w:widowControl/>
              <w:suppressLineNumbers w:val="0"/>
              <w:jc w:val="left"/>
              <w:textAlignment w:val="bottom"/>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儿童衣架</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bdr w:val="single" w:color="000000" w:sz="4" w:space="0"/>
                <w:lang w:val="en-US" w:eastAsia="zh-CN" w:bidi="ar"/>
              </w:rPr>
              <w:drawing>
                <wp:anchor distT="0" distB="0" distL="114300" distR="114300" simplePos="0" relativeHeight="251695104" behindDoc="0" locked="0" layoutInCell="1" allowOverlap="1">
                  <wp:simplePos x="0" y="0"/>
                  <wp:positionH relativeFrom="column">
                    <wp:posOffset>75565</wp:posOffset>
                  </wp:positionH>
                  <wp:positionV relativeFrom="paragraph">
                    <wp:posOffset>108585</wp:posOffset>
                  </wp:positionV>
                  <wp:extent cx="689610" cy="681355"/>
                  <wp:effectExtent l="0" t="0" r="15240" b="4445"/>
                  <wp:wrapNone/>
                  <wp:docPr id="344" name="图片_6"/>
                  <wp:cNvGraphicFramePr/>
                  <a:graphic xmlns:a="http://schemas.openxmlformats.org/drawingml/2006/main">
                    <a:graphicData uri="http://schemas.openxmlformats.org/drawingml/2006/picture">
                      <pic:pic xmlns:pic="http://schemas.openxmlformats.org/drawingml/2006/picture">
                        <pic:nvPicPr>
                          <pic:cNvPr id="344" name="图片_6"/>
                          <pic:cNvPicPr/>
                        </pic:nvPicPr>
                        <pic:blipFill>
                          <a:blip r:embed="rId65"/>
                          <a:stretch>
                            <a:fillRect/>
                          </a:stretch>
                        </pic:blipFill>
                        <pic:spPr>
                          <a:xfrm>
                            <a:off x="0" y="0"/>
                            <a:ext cx="689610" cy="681355"/>
                          </a:xfrm>
                          <a:prstGeom prst="rect">
                            <a:avLst/>
                          </a:prstGeom>
                          <a:noFill/>
                          <a:ln>
                            <a:noFill/>
                          </a:ln>
                        </pic:spPr>
                      </pic:pic>
                    </a:graphicData>
                  </a:graphic>
                </wp:anchor>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08"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42</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消毒口杯柜 </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材质：不锈钢，尺寸：72*29*112cm</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bdr w:val="single" w:color="000000" w:sz="4" w:space="0"/>
                <w:lang w:val="en-US" w:eastAsia="zh-CN" w:bidi="ar"/>
              </w:rPr>
              <w:drawing>
                <wp:anchor distT="0" distB="0" distL="114300" distR="114300" simplePos="0" relativeHeight="251696128" behindDoc="0" locked="0" layoutInCell="1" allowOverlap="1">
                  <wp:simplePos x="0" y="0"/>
                  <wp:positionH relativeFrom="column">
                    <wp:posOffset>104775</wp:posOffset>
                  </wp:positionH>
                  <wp:positionV relativeFrom="paragraph">
                    <wp:posOffset>163830</wp:posOffset>
                  </wp:positionV>
                  <wp:extent cx="673100" cy="728980"/>
                  <wp:effectExtent l="0" t="0" r="12700" b="13970"/>
                  <wp:wrapNone/>
                  <wp:docPr id="345" name="图片_4_SpCnt_1"/>
                  <wp:cNvGraphicFramePr/>
                  <a:graphic xmlns:a="http://schemas.openxmlformats.org/drawingml/2006/main">
                    <a:graphicData uri="http://schemas.openxmlformats.org/drawingml/2006/picture">
                      <pic:pic xmlns:pic="http://schemas.openxmlformats.org/drawingml/2006/picture">
                        <pic:nvPicPr>
                          <pic:cNvPr id="345" name="图片_4_SpCnt_1"/>
                          <pic:cNvPicPr/>
                        </pic:nvPicPr>
                        <pic:blipFill>
                          <a:blip r:embed="rId66"/>
                          <a:stretch>
                            <a:fillRect/>
                          </a:stretch>
                        </pic:blipFill>
                        <pic:spPr>
                          <a:xfrm>
                            <a:off x="0" y="0"/>
                            <a:ext cx="673100" cy="728980"/>
                          </a:xfrm>
                          <a:prstGeom prst="rect">
                            <a:avLst/>
                          </a:prstGeom>
                          <a:noFill/>
                          <a:ln>
                            <a:noFill/>
                          </a:ln>
                        </pic:spPr>
                      </pic:pic>
                    </a:graphicData>
                  </a:graphic>
                </wp:anchor>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台</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08"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43</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饮水机 </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型号;M718,材质：食品级塑料</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bdr w:val="single" w:color="000000" w:sz="4" w:space="0"/>
                <w:lang w:val="en-US" w:eastAsia="zh-CN" w:bidi="ar"/>
              </w:rPr>
              <w:drawing>
                <wp:anchor distT="0" distB="0" distL="114300" distR="114300" simplePos="0" relativeHeight="251697152" behindDoc="0" locked="0" layoutInCell="1" allowOverlap="1">
                  <wp:simplePos x="0" y="0"/>
                  <wp:positionH relativeFrom="column">
                    <wp:posOffset>168275</wp:posOffset>
                  </wp:positionH>
                  <wp:positionV relativeFrom="paragraph">
                    <wp:posOffset>118110</wp:posOffset>
                  </wp:positionV>
                  <wp:extent cx="588645" cy="647700"/>
                  <wp:effectExtent l="0" t="0" r="1905" b="0"/>
                  <wp:wrapNone/>
                  <wp:docPr id="346" name="图片_5_SpCnt_1"/>
                  <wp:cNvGraphicFramePr/>
                  <a:graphic xmlns:a="http://schemas.openxmlformats.org/drawingml/2006/main">
                    <a:graphicData uri="http://schemas.openxmlformats.org/drawingml/2006/picture">
                      <pic:pic xmlns:pic="http://schemas.openxmlformats.org/drawingml/2006/picture">
                        <pic:nvPicPr>
                          <pic:cNvPr id="346" name="图片_5_SpCnt_1"/>
                          <pic:cNvPicPr/>
                        </pic:nvPicPr>
                        <pic:blipFill>
                          <a:blip r:embed="rId67"/>
                          <a:stretch>
                            <a:fillRect/>
                          </a:stretch>
                        </pic:blipFill>
                        <pic:spPr>
                          <a:xfrm>
                            <a:off x="0" y="0"/>
                            <a:ext cx="588645" cy="647700"/>
                          </a:xfrm>
                          <a:prstGeom prst="rect">
                            <a:avLst/>
                          </a:prstGeom>
                          <a:noFill/>
                          <a:ln>
                            <a:noFill/>
                          </a:ln>
                        </pic:spPr>
                      </pic:pic>
                    </a:graphicData>
                  </a:graphic>
                </wp:anchor>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台</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27" w:hRule="atLeast"/>
        </w:trPr>
        <w:tc>
          <w:tcPr>
            <w:tcW w:w="8840" w:type="dxa"/>
            <w:gridSpan w:val="5"/>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b/>
                <w:bCs w:val="0"/>
                <w:i w:val="0"/>
                <w:color w:val="000000"/>
                <w:kern w:val="0"/>
                <w:sz w:val="22"/>
                <w:szCs w:val="22"/>
                <w:u w:val="none"/>
                <w:lang w:val="en-US" w:eastAsia="zh-CN" w:bidi="ar"/>
              </w:rPr>
            </w:pPr>
            <w:r>
              <w:rPr>
                <w:rFonts w:hint="eastAsia" w:ascii="宋体" w:hAnsi="宋体" w:cs="宋体"/>
                <w:b/>
                <w:bCs w:val="0"/>
                <w:i w:val="0"/>
                <w:color w:val="000000"/>
                <w:kern w:val="0"/>
                <w:sz w:val="22"/>
                <w:szCs w:val="22"/>
                <w:u w:val="none"/>
                <w:lang w:val="en-US" w:eastAsia="zh-CN" w:bidi="ar"/>
              </w:rPr>
              <w:t>小班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97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rPr>
            </w:pPr>
            <w:r>
              <w:rPr>
                <w:rFonts w:hint="eastAsia" w:ascii="宋体" w:hAnsi="宋体" w:cs="宋体"/>
                <w:i w:val="0"/>
                <w:color w:val="000000"/>
                <w:kern w:val="0"/>
                <w:sz w:val="22"/>
                <w:szCs w:val="22"/>
                <w:u w:val="none"/>
                <w:lang w:val="en-US" w:eastAsia="zh-CN" w:bidi="ar"/>
              </w:rPr>
              <w:t>1</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tabs>
                <w:tab w:val="center" w:pos="1732"/>
              </w:tabs>
              <w:jc w:val="left"/>
              <w:textAlignment w:val="center"/>
              <w:rPr>
                <w:rFonts w:hint="eastAsia" w:ascii="宋体" w:hAnsi="宋体" w:cs="宋体"/>
                <w:b/>
                <w:bCs w:val="0"/>
                <w:i w:val="0"/>
                <w:color w:val="000000"/>
                <w:kern w:val="0"/>
                <w:sz w:val="20"/>
                <w:szCs w:val="20"/>
                <w:u w:val="none"/>
                <w:lang w:val="en-US" w:eastAsia="zh-CN" w:bidi="ar"/>
              </w:rPr>
            </w:pPr>
            <w:r>
              <w:rPr>
                <w:rFonts w:hint="eastAsia" w:ascii="宋体" w:hAnsi="宋体" w:eastAsia="宋体" w:cs="宋体"/>
                <w:b/>
                <w:bCs w:val="0"/>
                <w:i w:val="0"/>
                <w:color w:val="000000"/>
                <w:kern w:val="0"/>
                <w:sz w:val="20"/>
                <w:szCs w:val="20"/>
                <w:u w:val="none"/>
                <w:lang w:val="en-US" w:eastAsia="zh-CN" w:bidi="ar"/>
              </w:rPr>
              <w:t>童话王国实木6人桌面</w:t>
            </w:r>
            <w:r>
              <w:rPr>
                <w:rFonts w:hint="eastAsia" w:ascii="宋体" w:hAnsi="宋体" w:cs="宋体"/>
                <w:b/>
                <w:bCs w:val="0"/>
                <w:i w:val="0"/>
                <w:color w:val="000000"/>
                <w:kern w:val="0"/>
                <w:sz w:val="20"/>
                <w:szCs w:val="20"/>
                <w:u w:val="none"/>
                <w:lang w:val="en-US" w:eastAsia="zh-CN" w:bidi="ar"/>
              </w:rPr>
              <w:tab/>
            </w:r>
          </w:p>
          <w:p>
            <w:pPr>
              <w:keepNext w:val="0"/>
              <w:keepLines w:val="0"/>
              <w:widowControl/>
              <w:numPr>
                <w:ilvl w:val="0"/>
                <w:numId w:val="0"/>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桌面尺寸：120×60cm，高度：49/52/55cm。</w:t>
            </w:r>
          </w:p>
          <w:p>
            <w:pPr>
              <w:keepNext w:val="0"/>
              <w:keepLines w:val="0"/>
              <w:widowControl/>
              <w:numPr>
                <w:ilvl w:val="0"/>
                <w:numId w:val="0"/>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t xml:space="preserve">桌面采用30mm厚优质环保松木纹三聚氰胺双贴面橡胶木，甲醛释放量符合GB18580-2017标准要求。（提供饰面实木板甲醛释放量检测报告） </w:t>
            </w:r>
          </w:p>
          <w:p>
            <w:pPr>
              <w:keepNext w:val="0"/>
              <w:keepLines w:val="0"/>
              <w:widowControl/>
              <w:numPr>
                <w:ilvl w:val="0"/>
                <w:numId w:val="0"/>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2、表面耐磨、耐污、耐划伤，易清洁，耐磨测试250R无透底现象。    </w:t>
            </w:r>
          </w:p>
          <w:p>
            <w:pPr>
              <w:keepNext w:val="0"/>
              <w:keepLines w:val="0"/>
              <w:widowControl/>
              <w:numPr>
                <w:ilvl w:val="0"/>
                <w:numId w:val="0"/>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3、原生态木蜡油封边，重金属钡、铅、镉、锑、硒、铬、汞、砷等含量符合国家标准规范的要求。（提供木蜡油8大重金属检测报告）局部及拐角处采用PVC加厚边条进行围护。 </w:t>
            </w:r>
          </w:p>
          <w:p>
            <w:pPr>
              <w:keepNext w:val="0"/>
              <w:keepLines w:val="0"/>
              <w:widowControl/>
              <w:numPr>
                <w:ilvl w:val="0"/>
                <w:numId w:val="0"/>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4、桌脚采用直径80mm新西兰松木，表面喷涂高环保的清水油漆，重金属钡、铅、镉、锑、硒、铬、汞、砷等含量符合国家标准规范的要求。（提供油漆8大重金属检测报告）桌面背面设置有4个ABS塑料连接件，桌脚使用螺旋安装方式与桌面连接，方便拆卸 。桌脚底部安装有高度30mm的可调节塑料件，可通过调整塑料件的数量来改变桌面的整体高度。   </w:t>
            </w:r>
          </w:p>
          <w:p>
            <w:pPr>
              <w:keepNext w:val="0"/>
              <w:keepLines w:val="0"/>
              <w:widowControl/>
              <w:numPr>
                <w:ilvl w:val="0"/>
                <w:numId w:val="0"/>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5、五金件选用环保五金，安全无毒。符合国家标准规范的要求，钡、铅、镉、锑、硒、铬、汞、砷等含量控制指标完全符合要求。（提供五金件8大重金属检测报告）    </w:t>
            </w:r>
          </w:p>
          <w:p>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6、结构稳固，不易倾倒。圆角设计，符合GB28007-2011儿童家具通用技术条件的要求。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826135" cy="686435"/>
                  <wp:effectExtent l="0" t="0" r="12065" b="18415"/>
                  <wp:docPr id="435" name="Picture 16" descr="C:\Users\Administrator\AppData\Roaming\Tencent\Users\250482485\QQ\WinTemp\RichOle\1J}Q7_@KH%9}`9%TC}5QE1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Picture 16" descr="C:\Users\Administrator\AppData\Roaming\Tencent\Users\250482485\QQ\WinTemp\RichOle\1J}Q7_@KH%9}`9%TC}5QE1W.png"/>
                          <pic:cNvPicPr>
                            <a:picLocks noChangeAspect="1" noChangeArrowheads="1"/>
                          </pic:cNvPicPr>
                        </pic:nvPicPr>
                        <pic:blipFill>
                          <a:blip r:embed="rId12" cstate="print"/>
                          <a:srcRect/>
                          <a:stretch>
                            <a:fillRect/>
                          </a:stretch>
                        </pic:blipFill>
                        <pic:spPr>
                          <a:xfrm>
                            <a:off x="0" y="0"/>
                            <a:ext cx="826135" cy="686435"/>
                          </a:xfrm>
                          <a:prstGeom prst="rect">
                            <a:avLst/>
                          </a:prstGeom>
                          <a:noFill/>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sz w:val="22"/>
                <w:szCs w:val="22"/>
                <w:u w:val="none"/>
                <w:lang w:eastAsia="zh-CN"/>
              </w:rPr>
              <w:t>张</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12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97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rPr>
            </w:pPr>
            <w:r>
              <w:rPr>
                <w:rFonts w:hint="eastAsia" w:ascii="宋体" w:hAnsi="宋体" w:cs="宋体"/>
                <w:i w:val="0"/>
                <w:color w:val="000000"/>
                <w:kern w:val="0"/>
                <w:sz w:val="22"/>
                <w:szCs w:val="22"/>
                <w:u w:val="none"/>
                <w:lang w:val="en-US" w:eastAsia="zh-CN" w:bidi="ar"/>
              </w:rPr>
              <w:t>2</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bCs w:val="0"/>
                <w:i w:val="0"/>
                <w:color w:val="000000"/>
                <w:kern w:val="0"/>
                <w:sz w:val="20"/>
                <w:szCs w:val="20"/>
                <w:u w:val="none"/>
                <w:lang w:val="en-US" w:eastAsia="zh-CN" w:bidi="ar"/>
              </w:rPr>
            </w:pPr>
            <w:r>
              <w:rPr>
                <w:rFonts w:hint="eastAsia" w:ascii="宋体" w:hAnsi="宋体" w:eastAsia="宋体" w:cs="宋体"/>
                <w:b/>
                <w:bCs w:val="0"/>
                <w:i w:val="0"/>
                <w:color w:val="000000"/>
                <w:kern w:val="0"/>
                <w:sz w:val="20"/>
                <w:szCs w:val="20"/>
                <w:u w:val="none"/>
                <w:lang w:val="en-US" w:eastAsia="zh-CN" w:bidi="ar"/>
              </w:rPr>
              <w:t>60小方桌面-百搭</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桌面尺寸：60×60cm。</w:t>
            </w:r>
          </w:p>
          <w:p>
            <w:pPr>
              <w:keepNext w:val="0"/>
              <w:keepLines w:val="0"/>
              <w:widowControl/>
              <w:numPr>
                <w:ilvl w:val="0"/>
                <w:numId w:val="0"/>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t xml:space="preserve">桌面采用25mm厚优质环保枫木纹三聚氰胺双贴面高密度刨花板，甲醛释放量符合GB18580-2017标准要求。（提供饰面刨花板甲醛释放量检测报告）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2、</w:t>
            </w:r>
            <w:r>
              <w:rPr>
                <w:rFonts w:hint="eastAsia" w:ascii="宋体" w:hAnsi="宋体" w:eastAsia="宋体" w:cs="宋体"/>
                <w:i w:val="0"/>
                <w:color w:val="000000"/>
                <w:kern w:val="0"/>
                <w:sz w:val="20"/>
                <w:szCs w:val="20"/>
                <w:u w:val="none"/>
                <w:lang w:val="en-US" w:eastAsia="zh-CN" w:bidi="ar"/>
              </w:rPr>
              <w:t xml:space="preserve">耐磨、耐污、耐划伤，易清洁，耐磨测试250R无透底现象。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3、</w:t>
            </w:r>
            <w:r>
              <w:rPr>
                <w:rFonts w:hint="eastAsia" w:ascii="宋体" w:hAnsi="宋体" w:eastAsia="宋体" w:cs="宋体"/>
                <w:i w:val="0"/>
                <w:color w:val="000000"/>
                <w:kern w:val="0"/>
                <w:sz w:val="20"/>
                <w:szCs w:val="20"/>
                <w:u w:val="none"/>
                <w:lang w:val="en-US" w:eastAsia="zh-CN" w:bidi="ar"/>
              </w:rPr>
              <w:t xml:space="preserve">优质PVC边条封边，邻苯二甲酸酯含量符合国家标准规范的要求。 （提供家具封边条邻苯二甲酸酯含量检测报告）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4、</w:t>
            </w:r>
            <w:r>
              <w:rPr>
                <w:rFonts w:hint="eastAsia" w:ascii="宋体" w:hAnsi="宋体" w:eastAsia="宋体" w:cs="宋体"/>
                <w:i w:val="0"/>
                <w:color w:val="000000"/>
                <w:kern w:val="0"/>
                <w:sz w:val="20"/>
                <w:szCs w:val="20"/>
                <w:u w:val="none"/>
                <w:lang w:val="en-US" w:eastAsia="zh-CN" w:bidi="ar"/>
              </w:rPr>
              <w:t xml:space="preserve">桌脚采用直径48mm的桦木，表面喷涂高环保的清水油漆，重金属钡、铅、镉、锑、硒、铬、汞、砷等含量符合国家标准规范的要求。 （提供油漆8大重金属检测报告）桌面背面设置有4个ABS塑料连接件，桌脚使用螺旋安装方式与桌面连接，方便拆卸 。椅腿底部配以耐磨塑胶PP脚套，对地板等地面材料起到保护作用。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5、</w:t>
            </w:r>
            <w:r>
              <w:rPr>
                <w:rFonts w:hint="eastAsia" w:ascii="宋体" w:hAnsi="宋体" w:eastAsia="宋体" w:cs="宋体"/>
                <w:i w:val="0"/>
                <w:color w:val="000000"/>
                <w:kern w:val="0"/>
                <w:sz w:val="20"/>
                <w:szCs w:val="20"/>
                <w:u w:val="none"/>
                <w:lang w:val="en-US" w:eastAsia="zh-CN" w:bidi="ar"/>
              </w:rPr>
              <w:t xml:space="preserve">五金件选用环保五金，安全无毒。符合国家标准规范的要求，钡、铅、镉、锑、硒、铬、汞、砷等含量控制指标完全符合要求。（提供五金件8大重金属检测报告）    </w:t>
            </w:r>
          </w:p>
          <w:p>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6、圆角设计，符合GB28007-2011儿童家具通用技术条件的要求。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drawing>
                <wp:inline distT="0" distB="0" distL="114300" distR="114300">
                  <wp:extent cx="855345" cy="734695"/>
                  <wp:effectExtent l="0" t="0" r="1905" b="8255"/>
                  <wp:docPr id="437" name="图片 143" descr="E:\报价用图\2019\KB4-GYB6060T-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图片 143" descr="E:\报价用图\2019\KB4-GYB6060T-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855345" cy="734695"/>
                          </a:xfrm>
                          <a:prstGeom prst="rect">
                            <a:avLst/>
                          </a:prstGeom>
                          <a:noFill/>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张</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97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rPr>
            </w:pPr>
            <w:r>
              <w:rPr>
                <w:rFonts w:hint="eastAsia" w:ascii="宋体" w:hAnsi="宋体" w:cs="宋体"/>
                <w:i w:val="0"/>
                <w:color w:val="000000"/>
                <w:kern w:val="0"/>
                <w:sz w:val="22"/>
                <w:szCs w:val="22"/>
                <w:u w:val="none"/>
                <w:lang w:val="en-US" w:eastAsia="zh-CN" w:bidi="ar"/>
              </w:rPr>
              <w:t>3</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bCs w:val="0"/>
                <w:i w:val="0"/>
                <w:color w:val="000000"/>
                <w:kern w:val="0"/>
                <w:sz w:val="20"/>
                <w:szCs w:val="20"/>
                <w:u w:val="none"/>
                <w:lang w:val="en-US" w:eastAsia="zh-CN" w:bidi="ar"/>
              </w:rPr>
            </w:pPr>
            <w:r>
              <w:rPr>
                <w:rFonts w:hint="eastAsia" w:ascii="宋体" w:hAnsi="宋体" w:eastAsia="宋体" w:cs="宋体"/>
                <w:b/>
                <w:bCs w:val="0"/>
                <w:i w:val="0"/>
                <w:color w:val="000000"/>
                <w:kern w:val="0"/>
                <w:sz w:val="20"/>
                <w:szCs w:val="20"/>
                <w:u w:val="none"/>
                <w:lang w:val="en-US" w:eastAsia="zh-CN" w:bidi="ar"/>
              </w:rPr>
              <w:t>童话王国幼教椅2</w:t>
            </w:r>
            <w:r>
              <w:rPr>
                <w:rFonts w:hint="eastAsia" w:ascii="宋体" w:hAnsi="宋体" w:cs="宋体"/>
                <w:b/>
                <w:bCs w:val="0"/>
                <w:i w:val="0"/>
                <w:color w:val="000000"/>
                <w:kern w:val="0"/>
                <w:sz w:val="20"/>
                <w:szCs w:val="20"/>
                <w:u w:val="none"/>
                <w:lang w:val="en-US" w:eastAsia="zh-CN" w:bidi="ar"/>
              </w:rPr>
              <w:t>5</w:t>
            </w:r>
            <w:r>
              <w:rPr>
                <w:rFonts w:hint="eastAsia" w:ascii="宋体" w:hAnsi="宋体" w:eastAsia="宋体" w:cs="宋体"/>
                <w:b/>
                <w:bCs w:val="0"/>
                <w:i w:val="0"/>
                <w:color w:val="000000"/>
                <w:kern w:val="0"/>
                <w:sz w:val="20"/>
                <w:szCs w:val="20"/>
                <w:u w:val="none"/>
                <w:lang w:val="en-US" w:eastAsia="zh-CN" w:bidi="ar"/>
              </w:rPr>
              <w:t>CM</w:t>
            </w:r>
          </w:p>
          <w:p>
            <w:pPr>
              <w:keepNext w:val="0"/>
              <w:keepLines w:val="0"/>
              <w:widowControl/>
              <w:numPr>
                <w:ilvl w:val="0"/>
                <w:numId w:val="0"/>
              </w:numPr>
              <w:suppressLineNumbers w:val="0"/>
              <w:ind w:left="0" w:leftChars="0" w:firstLine="0" w:firstLineChars="0"/>
              <w:jc w:val="left"/>
              <w:textAlignment w:val="center"/>
              <w:rPr>
                <w:rFonts w:hint="eastAsia"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尺寸：座椅高25cm。</w:t>
            </w:r>
          </w:p>
          <w:p>
            <w:pPr>
              <w:keepNext w:val="0"/>
              <w:keepLines w:val="0"/>
              <w:widowControl/>
              <w:numPr>
                <w:ilvl w:val="0"/>
                <w:numId w:val="37"/>
              </w:numPr>
              <w:suppressLineNumbers w:val="0"/>
              <w:ind w:left="0" w:leftChars="0" w:firstLine="0" w:firstLineChars="0"/>
              <w:jc w:val="left"/>
              <w:textAlignment w:val="center"/>
              <w:rPr>
                <w:rFonts w:hint="eastAsia"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 xml:space="preserve">椅背、椅座采用18mm厚优质环保芬兰松木纹三聚氰胺贴面松木，原生态木蜡油封边，重金属钡、铅、镉、锑、硒、铬、汞、砷等含量符合国家标准规范的要求。（提供木蜡油8大重金属检测报告）侧板采用18mm厚优质环保 芬兰松木，表面木纹拉丝，并环保清水油漆处理，重金属钡、铅、镉、锑、硒、铬、汞、砷等含量符合国家标准规范的要求。（提供油漆8大重金属检测报告）    </w:t>
            </w:r>
          </w:p>
          <w:p>
            <w:pPr>
              <w:keepNext w:val="0"/>
              <w:keepLines w:val="0"/>
              <w:widowControl/>
              <w:numPr>
                <w:ilvl w:val="0"/>
                <w:numId w:val="37"/>
              </w:numPr>
              <w:suppressLineNumbers w:val="0"/>
              <w:ind w:left="0" w:leftChars="0" w:firstLine="0" w:firstLineChars="0"/>
              <w:jc w:val="left"/>
              <w:textAlignment w:val="center"/>
              <w:rPr>
                <w:rFonts w:hint="eastAsia"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 xml:space="preserve">耐磨、耐污、耐划伤，易清洁，耐磨测试250R无透底现象。    </w:t>
            </w:r>
          </w:p>
          <w:p>
            <w:pPr>
              <w:keepNext w:val="0"/>
              <w:keepLines w:val="0"/>
              <w:widowControl/>
              <w:numPr>
                <w:ilvl w:val="0"/>
                <w:numId w:val="37"/>
              </w:numPr>
              <w:suppressLineNumbers w:val="0"/>
              <w:ind w:left="0" w:leftChars="0" w:firstLine="0" w:firstLineChars="0"/>
              <w:jc w:val="left"/>
              <w:textAlignment w:val="center"/>
              <w:rPr>
                <w:rFonts w:hint="eastAsia"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 xml:space="preserve">五金件选用环保五金，安全无毒。符合国家标准规范的要求，钡、铅、镉、锑、硒、铬、汞、砷等含量控制指标完全符合要求。（提供五金件8大重金属检测报告）    </w:t>
            </w:r>
          </w:p>
          <w:p>
            <w:pPr>
              <w:keepNext w:val="0"/>
              <w:keepLines w:val="0"/>
              <w:widowControl/>
              <w:numPr>
                <w:ilvl w:val="0"/>
                <w:numId w:val="37"/>
              </w:numPr>
              <w:suppressLineNumbers w:val="0"/>
              <w:ind w:left="0" w:leftChars="0" w:firstLine="0" w:firstLineChars="0"/>
              <w:jc w:val="left"/>
              <w:textAlignment w:val="center"/>
              <w:rPr>
                <w:rFonts w:hint="eastAsia"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 xml:space="preserve">椅脚底部配以耐磨塑胶PP脚钉，对地板等地面材料起到保护作用。    </w:t>
            </w:r>
          </w:p>
          <w:p>
            <w:pPr>
              <w:keepNext w:val="0"/>
              <w:keepLines w:val="0"/>
              <w:widowControl/>
              <w:numPr>
                <w:ilvl w:val="0"/>
                <w:numId w:val="37"/>
              </w:numPr>
              <w:suppressLineNumbers w:val="0"/>
              <w:ind w:left="0" w:leftChars="0" w:firstLine="0" w:firstLineChars="0"/>
              <w:jc w:val="left"/>
              <w:textAlignment w:val="center"/>
              <w:rPr>
                <w:rFonts w:hint="eastAsia"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 xml:space="preserve">铆接工艺，强度高，可承受200KG的静载2小时，100KG的静载24小时，并可承受20000次的疲劳测试，椅背后倾测试8万次，安全耐用。    </w:t>
            </w:r>
          </w:p>
          <w:p>
            <w:pPr>
              <w:keepNext w:val="0"/>
              <w:keepLines w:val="0"/>
              <w:widowControl/>
              <w:numPr>
                <w:ilvl w:val="0"/>
                <w:numId w:val="37"/>
              </w:numPr>
              <w:suppressLineNumbers w:val="0"/>
              <w:ind w:left="0" w:leftChars="0" w:firstLine="0" w:firstLineChars="0"/>
              <w:jc w:val="left"/>
              <w:textAlignment w:val="center"/>
              <w:rPr>
                <w:rFonts w:hint="eastAsia"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 xml:space="preserve">前后加横档设计，增加了产品的结构强度，承重能力强，且不易断裂破损。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7、椅背采用城堡造型，符合系列主题。座位舒适，贴合幼儿身体曲线设计，结构稳固，不易倾翻，符合GB28007-2011儿童家具通用技术条件的要求。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drawing>
                <wp:inline distT="0" distB="0" distL="114300" distR="114300">
                  <wp:extent cx="814705" cy="742315"/>
                  <wp:effectExtent l="0" t="0" r="4445" b="635"/>
                  <wp:docPr id="439" name="Picture 17" descr="C:\Users\Administrator\AppData\Roaming\Tencent\Users\250482485\QQ\WinTemp\RichOle\YXUA1[OX7$O3AYB4NW315Y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Picture 17" descr="C:\Users\Administrator\AppData\Roaming\Tencent\Users\250482485\QQ\WinTemp\RichOle\YXUA1[OX7$O3AYB4NW315YX.png"/>
                          <pic:cNvPicPr>
                            <a:picLocks noChangeAspect="1" noChangeArrowheads="1"/>
                          </pic:cNvPicPr>
                        </pic:nvPicPr>
                        <pic:blipFill>
                          <a:blip r:embed="rId14" cstate="print"/>
                          <a:srcRect/>
                          <a:stretch>
                            <a:fillRect/>
                          </a:stretch>
                        </pic:blipFill>
                        <pic:spPr>
                          <a:xfrm>
                            <a:off x="0" y="0"/>
                            <a:ext cx="814705" cy="742315"/>
                          </a:xfrm>
                          <a:prstGeom prst="rect">
                            <a:avLst/>
                          </a:prstGeom>
                          <a:noFill/>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把</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80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68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rPr>
            </w:pPr>
            <w:r>
              <w:rPr>
                <w:rFonts w:hint="eastAsia" w:ascii="宋体" w:hAnsi="宋体" w:cs="宋体"/>
                <w:i w:val="0"/>
                <w:color w:val="000000"/>
                <w:kern w:val="0"/>
                <w:sz w:val="22"/>
                <w:szCs w:val="22"/>
                <w:u w:val="none"/>
                <w:lang w:val="en-US" w:eastAsia="zh-CN" w:bidi="ar"/>
              </w:rPr>
              <w:t>4</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bCs w:val="0"/>
                <w:i w:val="0"/>
                <w:color w:val="000000"/>
                <w:kern w:val="0"/>
                <w:sz w:val="20"/>
                <w:szCs w:val="20"/>
                <w:u w:val="none"/>
                <w:lang w:val="en-US" w:eastAsia="zh-CN" w:bidi="ar"/>
              </w:rPr>
            </w:pPr>
            <w:r>
              <w:rPr>
                <w:rFonts w:hint="eastAsia" w:ascii="宋体" w:hAnsi="宋体" w:eastAsia="宋体" w:cs="宋体"/>
                <w:b/>
                <w:bCs w:val="0"/>
                <w:i w:val="0"/>
                <w:color w:val="000000"/>
                <w:kern w:val="0"/>
                <w:sz w:val="20"/>
                <w:szCs w:val="20"/>
                <w:u w:val="none"/>
                <w:lang w:val="en-US" w:eastAsia="zh-CN" w:bidi="ar"/>
              </w:rPr>
              <w:t>双层l六人床</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尺寸：140×120×125cm。1、立柱采用优质松木，表面喷涂高环保的清水油漆，重金属钡、铅、镉、锑、硒、铬、汞、砷等含量符合国家标准规范的要求。（提供油漆8大重金属检测报告）围板采用15mm厚优质环保枫木纹三聚氰胺双贴面橡胶木，甲醛释放量符合GB18580-2017标准要求。（提供饰面实木板甲醛释放量检测报告） 床板为9mm枫木纹三聚氰胺双贴面胶合板。   2、原生态木蜡油封边，重金属钡、铅、镉、锑、硒、铬、汞、砷等含量符合国家标准规范的要求。（提供木蜡油8大重金属检测报告）    3、五金件选用环保五金，安全无毒。符合国家标准规范的要求，钡、铅、镉、锑、硒、铬、汞、砷等含量控制指标完全符合要求。（提供五金件8大重金属检测报告）    4、当床拉出使用，床与床之间设置有插销装置，用于床体之间的固定；5、每层抽屉床的底部均配以4个塑料滑轮（其中2个带锁定功能），方便移动及固定。    6、结构稳固，不易倾倒。全面采用圆角设计，安全缝隙和孔洞均符合GB28007-2011儿童家具通用技术条件的要求。 </w:t>
            </w:r>
            <w:r>
              <w:rPr>
                <w:rFonts w:ascii="宋体" w:hAnsi="宋体" w:eastAsia="宋体" w:cs="宋体"/>
                <w:kern w:val="0"/>
                <w:sz w:val="24"/>
                <w:szCs w:val="24"/>
                <w:lang w:val="en-US" w:eastAsia="zh-CN" w:bidi="ar"/>
              </w:rPr>
              <w:t> </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drawing>
                <wp:inline distT="0" distB="0" distL="114300" distR="114300">
                  <wp:extent cx="832485" cy="662305"/>
                  <wp:effectExtent l="0" t="0" r="5715" b="4445"/>
                  <wp:docPr id="441" name="图片 2" descr="15578078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图片 2" descr="1557807852(1)"/>
                          <pic:cNvPicPr>
                            <a:picLocks noChangeAspect="1"/>
                          </pic:cNvPicPr>
                        </pic:nvPicPr>
                        <pic:blipFill>
                          <a:blip r:embed="rId15"/>
                          <a:stretch>
                            <a:fillRect/>
                          </a:stretch>
                        </pic:blipFill>
                        <pic:spPr>
                          <a:xfrm>
                            <a:off x="0" y="0"/>
                            <a:ext cx="832485" cy="662305"/>
                          </a:xfrm>
                          <a:prstGeom prst="rect">
                            <a:avLst/>
                          </a:prstGeom>
                          <a:noFill/>
                          <a:ln w="9525">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sz w:val="22"/>
                <w:szCs w:val="22"/>
                <w:u w:val="none"/>
                <w:lang w:eastAsia="zh-CN"/>
              </w:rPr>
              <w:t>张</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12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97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rPr>
            </w:pPr>
            <w:r>
              <w:rPr>
                <w:rFonts w:hint="eastAsia" w:ascii="宋体" w:hAnsi="宋体" w:cs="宋体"/>
                <w:i w:val="0"/>
                <w:color w:val="000000"/>
                <w:kern w:val="0"/>
                <w:sz w:val="22"/>
                <w:szCs w:val="22"/>
                <w:u w:val="none"/>
                <w:lang w:val="en-US" w:eastAsia="zh-CN" w:bidi="ar"/>
              </w:rPr>
              <w:t>5</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b/>
                <w:bCs/>
                <w:i w:val="0"/>
                <w:color w:val="000000"/>
                <w:kern w:val="0"/>
                <w:sz w:val="20"/>
                <w:szCs w:val="20"/>
                <w:u w:val="none"/>
                <w:lang w:val="en-US" w:eastAsia="zh-CN" w:bidi="ar"/>
              </w:rPr>
              <w:t xml:space="preserve">雅典花园城堡入口 </w:t>
            </w:r>
            <w:r>
              <w:rPr>
                <w:rFonts w:hint="eastAsia" w:ascii="宋体" w:hAnsi="宋体" w:eastAsia="宋体" w:cs="宋体"/>
                <w:i w:val="0"/>
                <w:color w:val="000000"/>
                <w:kern w:val="0"/>
                <w:sz w:val="20"/>
                <w:szCs w:val="20"/>
                <w:u w:val="none"/>
                <w:lang w:val="en-US" w:eastAsia="zh-CN" w:bidi="ar"/>
              </w:rPr>
              <w:t xml:space="preserve">   </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尺寸：83×30×183cm。</w:t>
            </w:r>
          </w:p>
          <w:p>
            <w:pPr>
              <w:keepNext w:val="0"/>
              <w:keepLines w:val="0"/>
              <w:widowControl/>
              <w:numPr>
                <w:ilvl w:val="0"/>
                <w:numId w:val="0"/>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t>主框架采用18mm厚优质环保枫木纹三聚氰胺双贴面橡胶木，甲醛释放量符合GB18580-2017标准要求。（提供饰面实木板甲醛释放量检测报告）</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2、</w:t>
            </w:r>
            <w:r>
              <w:rPr>
                <w:rFonts w:hint="eastAsia" w:ascii="宋体" w:hAnsi="宋体" w:eastAsia="宋体" w:cs="宋体"/>
                <w:i w:val="0"/>
                <w:color w:val="000000"/>
                <w:kern w:val="0"/>
                <w:sz w:val="20"/>
                <w:szCs w:val="20"/>
                <w:u w:val="none"/>
                <w:lang w:val="en-US" w:eastAsia="zh-CN" w:bidi="ar"/>
              </w:rPr>
              <w:t xml:space="preserve">表面耐磨、耐污、耐划伤，易清洁，耐磨测试250R无透底现象。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3、</w:t>
            </w:r>
            <w:r>
              <w:rPr>
                <w:rFonts w:hint="eastAsia" w:ascii="宋体" w:hAnsi="宋体" w:eastAsia="宋体" w:cs="宋体"/>
                <w:i w:val="0"/>
                <w:color w:val="000000"/>
                <w:kern w:val="0"/>
                <w:sz w:val="20"/>
                <w:szCs w:val="20"/>
                <w:u w:val="none"/>
                <w:lang w:val="en-US" w:eastAsia="zh-CN" w:bidi="ar"/>
              </w:rPr>
              <w:t>原生态木蜡油封边，重金属钡、铅、镉、锑、硒、铬、汞、砷等含量符合国家标准规范的要求。</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（提供木蜡油8大重金属检测报告）</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4、</w:t>
            </w:r>
            <w:r>
              <w:rPr>
                <w:rFonts w:hint="eastAsia" w:ascii="宋体" w:hAnsi="宋体" w:eastAsia="宋体" w:cs="宋体"/>
                <w:i w:val="0"/>
                <w:color w:val="000000"/>
                <w:kern w:val="0"/>
                <w:sz w:val="20"/>
                <w:szCs w:val="20"/>
                <w:u w:val="none"/>
                <w:lang w:val="en-US" w:eastAsia="zh-CN" w:bidi="ar"/>
              </w:rPr>
              <w:t xml:space="preserve">五金件选用环保五金，安全无毒。符合国家标准规范的要求，钡、铅、镉、锑、硒、铬、汞、砷等含量控制指标完全符合要求。（提供五金件8大重金属检测报告）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5、</w:t>
            </w:r>
            <w:r>
              <w:rPr>
                <w:rFonts w:hint="eastAsia" w:ascii="宋体" w:hAnsi="宋体" w:eastAsia="宋体" w:cs="宋体"/>
                <w:i w:val="0"/>
                <w:color w:val="000000"/>
                <w:kern w:val="0"/>
                <w:sz w:val="20"/>
                <w:szCs w:val="20"/>
                <w:u w:val="none"/>
                <w:lang w:val="en-US" w:eastAsia="zh-CN" w:bidi="ar"/>
              </w:rPr>
              <w:t xml:space="preserve">底部配以耐磨塑胶PP脚钉，对地板等地面材料起到保护作用。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6、</w:t>
            </w:r>
            <w:r>
              <w:rPr>
                <w:rFonts w:hint="eastAsia" w:ascii="宋体" w:hAnsi="宋体" w:eastAsia="宋体" w:cs="宋体"/>
                <w:i w:val="0"/>
                <w:color w:val="000000"/>
                <w:kern w:val="0"/>
                <w:sz w:val="20"/>
                <w:szCs w:val="20"/>
                <w:u w:val="none"/>
                <w:lang w:val="en-US" w:eastAsia="zh-CN" w:bidi="ar"/>
              </w:rPr>
              <w:t xml:space="preserve">屋顶上方的苹果树图案部分采用9mm厚胶合板，丝印工艺处理，颜色不易脱落，且所使用的丝印油墨均为环保材料，重金属钡、铅、镉、锑、硒、铬、汞、砷等含量符合国家标准规范的要求。（提供油墨8大重金属检测报告） </w:t>
            </w:r>
          </w:p>
          <w:p>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7、边角安全防撞设计，对所有的外露面、外漏角进行弧状倒角设计，避免锐角的产生，最大程度的避免儿童磕碰伤害，符合GB28007-2011儿童家具通用技术条件的要求。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drawing>
                <wp:inline distT="0" distB="0" distL="114300" distR="114300">
                  <wp:extent cx="847725" cy="953770"/>
                  <wp:effectExtent l="0" t="0" r="9525" b="17780"/>
                  <wp:docPr id="451" name="图片 1" descr="E:\报价用图\2019\KB4-YDCP0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1" descr="E:\报价用图\2019\KB4-YDCP001-3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847725" cy="953770"/>
                          </a:xfrm>
                          <a:prstGeom prst="rect">
                            <a:avLst/>
                          </a:prstGeom>
                          <a:noFill/>
                          <a:ln>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根</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华文中宋" w:hAnsi="华文中宋" w:eastAsia="华文中宋" w:cs="华文中宋"/>
                <w:i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97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rPr>
            </w:pPr>
            <w:r>
              <w:rPr>
                <w:rFonts w:hint="eastAsia" w:ascii="宋体" w:hAnsi="宋体" w:cs="宋体"/>
                <w:i w:val="0"/>
                <w:color w:val="000000"/>
                <w:kern w:val="0"/>
                <w:sz w:val="22"/>
                <w:szCs w:val="22"/>
                <w:u w:val="none"/>
                <w:lang w:val="en-US" w:eastAsia="zh-CN" w:bidi="ar"/>
              </w:rPr>
              <w:t>6</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90度中空扇形6格柜-实木  </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尺寸：109×44×81cm。</w:t>
            </w:r>
          </w:p>
          <w:p>
            <w:pPr>
              <w:keepNext w:val="0"/>
              <w:keepLines w:val="0"/>
              <w:widowControl/>
              <w:numPr>
                <w:ilvl w:val="0"/>
                <w:numId w:val="0"/>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t>主框架采用18mm厚优质环保枫木纹三聚氰胺双贴面橡胶木，甲醛释放量符合GB18580-2017标准要求。层板采用15mm厚枫木纹三聚氰胺双贴面胶合板。 （提供饰面实木板甲醛释放量检测报告）</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2、</w:t>
            </w:r>
            <w:r>
              <w:rPr>
                <w:rFonts w:hint="eastAsia" w:ascii="宋体" w:hAnsi="宋体" w:eastAsia="宋体" w:cs="宋体"/>
                <w:i w:val="0"/>
                <w:color w:val="000000"/>
                <w:kern w:val="0"/>
                <w:sz w:val="20"/>
                <w:szCs w:val="20"/>
                <w:u w:val="none"/>
                <w:lang w:val="en-US" w:eastAsia="zh-CN" w:bidi="ar"/>
              </w:rPr>
              <w:t>表面耐磨、耐污、耐划伤，易清洁，耐磨测试250R无透底现象。</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3、</w:t>
            </w:r>
            <w:r>
              <w:rPr>
                <w:rFonts w:hint="eastAsia" w:ascii="宋体" w:hAnsi="宋体" w:eastAsia="宋体" w:cs="宋体"/>
                <w:i w:val="0"/>
                <w:color w:val="000000"/>
                <w:kern w:val="0"/>
                <w:sz w:val="20"/>
                <w:szCs w:val="20"/>
                <w:u w:val="none"/>
                <w:lang w:val="en-US" w:eastAsia="zh-CN" w:bidi="ar"/>
              </w:rPr>
              <w:t>原生态木蜡油封边，重金属钡、铅、镉、锑、硒、铬、汞、砷等含量符合国家标准规范的要求。（提供木蜡油8大重金属检测报告）</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4、</w:t>
            </w:r>
            <w:r>
              <w:rPr>
                <w:rFonts w:hint="eastAsia" w:ascii="宋体" w:hAnsi="宋体" w:eastAsia="宋体" w:cs="宋体"/>
                <w:i w:val="0"/>
                <w:color w:val="000000"/>
                <w:kern w:val="0"/>
                <w:sz w:val="20"/>
                <w:szCs w:val="20"/>
                <w:u w:val="none"/>
                <w:lang w:val="en-US" w:eastAsia="zh-CN" w:bidi="ar"/>
              </w:rPr>
              <w:t xml:space="preserve">五金件选用环保五金，安全无毒。符合国家标准规范的要求，钡、铅、镉、锑、硒、铬、汞、砷等含量控制指标完全符合要求。（提供五金件8大重金属检测报告）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5、</w:t>
            </w:r>
            <w:r>
              <w:rPr>
                <w:rFonts w:hint="eastAsia" w:ascii="宋体" w:hAnsi="宋体" w:eastAsia="宋体" w:cs="宋体"/>
                <w:i w:val="0"/>
                <w:color w:val="000000"/>
                <w:kern w:val="0"/>
                <w:sz w:val="20"/>
                <w:szCs w:val="20"/>
                <w:u w:val="none"/>
                <w:lang w:val="en-US" w:eastAsia="zh-CN" w:bidi="ar"/>
              </w:rPr>
              <w:t xml:space="preserve">柜体采用踢脚板设计，即增加了稳定性，又可以防止杂物进入柜底。柜底配以耐磨塑胶PP脚钉，对地板等地面材料起到保护作用。   </w:t>
            </w:r>
          </w:p>
          <w:p>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微软雅黑" w:hAnsi="微软雅黑" w:eastAsia="微软雅黑" w:cs="微软雅黑"/>
                <w:b/>
                <w:i w:val="0"/>
                <w:color w:val="000000"/>
                <w:kern w:val="0"/>
                <w:sz w:val="20"/>
                <w:szCs w:val="20"/>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104140</wp:posOffset>
                  </wp:positionH>
                  <wp:positionV relativeFrom="paragraph">
                    <wp:posOffset>666115</wp:posOffset>
                  </wp:positionV>
                  <wp:extent cx="610235" cy="867410"/>
                  <wp:effectExtent l="0" t="0" r="18415" b="8890"/>
                  <wp:wrapNone/>
                  <wp:docPr id="452" name="图片_3"/>
                  <wp:cNvGraphicFramePr/>
                  <a:graphic xmlns:a="http://schemas.openxmlformats.org/drawingml/2006/main">
                    <a:graphicData uri="http://schemas.openxmlformats.org/drawingml/2006/picture">
                      <pic:pic xmlns:pic="http://schemas.openxmlformats.org/drawingml/2006/picture">
                        <pic:nvPicPr>
                          <pic:cNvPr id="452" name="图片_3"/>
                          <pic:cNvPicPr/>
                        </pic:nvPicPr>
                        <pic:blipFill>
                          <a:blip r:embed="rId17"/>
                          <a:stretch>
                            <a:fillRect/>
                          </a:stretch>
                        </pic:blipFill>
                        <pic:spPr>
                          <a:xfrm>
                            <a:off x="0" y="0"/>
                            <a:ext cx="610235" cy="867410"/>
                          </a:xfrm>
                          <a:prstGeom prst="rect">
                            <a:avLst/>
                          </a:prstGeom>
                          <a:noFill/>
                          <a:ln>
                            <a:noFill/>
                          </a:ln>
                        </pic:spPr>
                      </pic:pic>
                    </a:graphicData>
                  </a:graphic>
                </wp:anchor>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华文中宋" w:hAnsi="华文中宋" w:eastAsia="华文中宋" w:cs="华文中宋"/>
                <w:i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97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rPr>
            </w:pPr>
            <w:r>
              <w:rPr>
                <w:rFonts w:hint="eastAsia" w:ascii="宋体" w:hAnsi="宋体" w:cs="宋体"/>
                <w:i w:val="0"/>
                <w:color w:val="000000"/>
                <w:kern w:val="0"/>
                <w:sz w:val="22"/>
                <w:szCs w:val="22"/>
                <w:u w:val="none"/>
                <w:lang w:val="en-US" w:eastAsia="zh-CN" w:bidi="ar"/>
              </w:rPr>
              <w:t>7</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花园画板柜  </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尺寸：83×30×131cm。</w:t>
            </w:r>
          </w:p>
          <w:p>
            <w:pPr>
              <w:keepNext w:val="0"/>
              <w:keepLines w:val="0"/>
              <w:widowControl/>
              <w:numPr>
                <w:ilvl w:val="0"/>
                <w:numId w:val="0"/>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t xml:space="preserve">采用18mm厚优质环保三聚氰胺双贴面高密度刨花板，甲醛释放量符合GB18580-2017标准要求。（提供饰面刨花板甲醛释放量检测报告）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2、</w:t>
            </w:r>
            <w:r>
              <w:rPr>
                <w:rFonts w:hint="eastAsia" w:ascii="宋体" w:hAnsi="宋体" w:eastAsia="宋体" w:cs="宋体"/>
                <w:i w:val="0"/>
                <w:color w:val="000000"/>
                <w:kern w:val="0"/>
                <w:sz w:val="20"/>
                <w:szCs w:val="20"/>
                <w:u w:val="none"/>
                <w:lang w:val="en-US" w:eastAsia="zh-CN" w:bidi="ar"/>
              </w:rPr>
              <w:t xml:space="preserve">表面耐磨、耐污、耐划伤，易清洁，耐磨测试250R无透底现象。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3、</w:t>
            </w:r>
            <w:r>
              <w:rPr>
                <w:rFonts w:hint="eastAsia" w:ascii="宋体" w:hAnsi="宋体" w:eastAsia="宋体" w:cs="宋体"/>
                <w:i w:val="0"/>
                <w:color w:val="000000"/>
                <w:kern w:val="0"/>
                <w:sz w:val="20"/>
                <w:szCs w:val="20"/>
                <w:u w:val="none"/>
                <w:lang w:val="en-US" w:eastAsia="zh-CN" w:bidi="ar"/>
              </w:rPr>
              <w:t xml:space="preserve">原生态木蜡油封边，重金属钡、铅、镉、锑、硒、铬、汞、砷等含量符合国家标准规范的要求。（提供木蜡油8大重金属检测报告）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4、</w:t>
            </w:r>
            <w:r>
              <w:rPr>
                <w:rFonts w:hint="eastAsia" w:ascii="宋体" w:hAnsi="宋体" w:eastAsia="宋体" w:cs="宋体"/>
                <w:i w:val="0"/>
                <w:color w:val="000000"/>
                <w:kern w:val="0"/>
                <w:sz w:val="20"/>
                <w:szCs w:val="20"/>
                <w:u w:val="none"/>
                <w:lang w:val="en-US" w:eastAsia="zh-CN" w:bidi="ar"/>
              </w:rPr>
              <w:t xml:space="preserve">五金件选用环保五金，安全无毒。符合国家标准规范的要求，钡、铅、镉、锑、硒、铬、汞、砷等含量控制指标完全符合要求。（提供五金件8大重金属检测报告）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5、</w:t>
            </w:r>
            <w:r>
              <w:rPr>
                <w:rFonts w:hint="eastAsia" w:ascii="宋体" w:hAnsi="宋体" w:eastAsia="宋体" w:cs="宋体"/>
                <w:i w:val="0"/>
                <w:color w:val="000000"/>
                <w:kern w:val="0"/>
                <w:sz w:val="20"/>
                <w:szCs w:val="20"/>
                <w:u w:val="none"/>
                <w:lang w:val="en-US" w:eastAsia="zh-CN" w:bidi="ar"/>
              </w:rPr>
              <w:t xml:space="preserve">图案采用丝印工艺，颜色不易脱落，且所使用的丝印油墨均为环保材料，重金属钡、铅、镉、锑、硒、铬、汞、砷等含量符合国家标准规范的要求。（提供油墨8大重金属检测报告）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6、</w:t>
            </w:r>
            <w:r>
              <w:rPr>
                <w:rFonts w:hint="eastAsia" w:ascii="宋体" w:hAnsi="宋体" w:eastAsia="宋体" w:cs="宋体"/>
                <w:i w:val="0"/>
                <w:color w:val="000000"/>
                <w:kern w:val="0"/>
                <w:sz w:val="20"/>
                <w:szCs w:val="20"/>
                <w:u w:val="none"/>
                <w:lang w:val="en-US" w:eastAsia="zh-CN" w:bidi="ar"/>
              </w:rPr>
              <w:t>双面透明亚克力画板。</w:t>
            </w:r>
          </w:p>
          <w:p>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7、采用踢脚板设计，即增加了稳定性，又可以防止杂物进入柜底。柜体底部配以耐磨塑胶PP脚钉，对地板等地面材料起到保护作用。结构稳固，不易倾倒。全面采用圆角设计，安全缝隙和孔洞均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微软雅黑" w:hAnsi="微软雅黑" w:eastAsia="微软雅黑" w:cs="微软雅黑"/>
                <w:b/>
                <w:i w:val="0"/>
                <w:color w:val="000000"/>
                <w:kern w:val="0"/>
                <w:sz w:val="20"/>
                <w:szCs w:val="20"/>
                <w:u w:val="none"/>
                <w:bdr w:val="single" w:color="000000" w:sz="4" w:space="0"/>
                <w:lang w:val="en-US" w:eastAsia="zh-CN" w:bidi="ar"/>
              </w:rPr>
              <w:drawing>
                <wp:anchor distT="0" distB="0" distL="114300" distR="114300" simplePos="0" relativeHeight="251809792" behindDoc="0" locked="0" layoutInCell="1" allowOverlap="1">
                  <wp:simplePos x="0" y="0"/>
                  <wp:positionH relativeFrom="column">
                    <wp:posOffset>66040</wp:posOffset>
                  </wp:positionH>
                  <wp:positionV relativeFrom="paragraph">
                    <wp:posOffset>942975</wp:posOffset>
                  </wp:positionV>
                  <wp:extent cx="648970" cy="838200"/>
                  <wp:effectExtent l="0" t="0" r="17780" b="0"/>
                  <wp:wrapNone/>
                  <wp:docPr id="453" name="图片_4"/>
                  <wp:cNvGraphicFramePr/>
                  <a:graphic xmlns:a="http://schemas.openxmlformats.org/drawingml/2006/main">
                    <a:graphicData uri="http://schemas.openxmlformats.org/drawingml/2006/picture">
                      <pic:pic xmlns:pic="http://schemas.openxmlformats.org/drawingml/2006/picture">
                        <pic:nvPicPr>
                          <pic:cNvPr id="453" name="图片_4"/>
                          <pic:cNvPicPr/>
                        </pic:nvPicPr>
                        <pic:blipFill>
                          <a:blip r:embed="rId18"/>
                          <a:stretch>
                            <a:fillRect/>
                          </a:stretch>
                        </pic:blipFill>
                        <pic:spPr>
                          <a:xfrm>
                            <a:off x="0" y="0"/>
                            <a:ext cx="648970" cy="838200"/>
                          </a:xfrm>
                          <a:prstGeom prst="rect">
                            <a:avLst/>
                          </a:prstGeom>
                          <a:noFill/>
                          <a:ln>
                            <a:noFill/>
                          </a:ln>
                        </pic:spPr>
                      </pic:pic>
                    </a:graphicData>
                  </a:graphic>
                </wp:anchor>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华文中宋" w:hAnsi="华文中宋" w:eastAsia="华文中宋" w:cs="华文中宋"/>
                <w:i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97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rPr>
            </w:pPr>
            <w:r>
              <w:rPr>
                <w:rFonts w:hint="eastAsia" w:ascii="宋体" w:hAnsi="宋体" w:cs="宋体"/>
                <w:i w:val="0"/>
                <w:color w:val="000000"/>
                <w:kern w:val="0"/>
                <w:sz w:val="22"/>
                <w:szCs w:val="22"/>
                <w:u w:val="none"/>
                <w:lang w:val="en-US" w:eastAsia="zh-CN" w:bidi="ar"/>
              </w:rPr>
              <w:t>8</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90度三层小角柜-实木 </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尺寸：30×30×81cm。</w:t>
            </w:r>
          </w:p>
          <w:p>
            <w:pPr>
              <w:keepNext w:val="0"/>
              <w:keepLines w:val="0"/>
              <w:widowControl/>
              <w:numPr>
                <w:ilvl w:val="0"/>
                <w:numId w:val="0"/>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t>主框架采用18mm厚优质环保枫木纹三聚氰胺双贴面橡胶木，甲醛释放量符合GB18580-2017标准要求。层板采用15mm厚枫木纹三聚氰胺双贴面胶合板。 （提供饰面实木板甲醛释放量检测报告）</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2、</w:t>
            </w:r>
            <w:r>
              <w:rPr>
                <w:rFonts w:hint="eastAsia" w:ascii="宋体" w:hAnsi="宋体" w:eastAsia="宋体" w:cs="宋体"/>
                <w:i w:val="0"/>
                <w:color w:val="000000"/>
                <w:kern w:val="0"/>
                <w:sz w:val="20"/>
                <w:szCs w:val="20"/>
                <w:u w:val="none"/>
                <w:lang w:val="en-US" w:eastAsia="zh-CN" w:bidi="ar"/>
              </w:rPr>
              <w:t>表面耐磨、耐污、耐划伤，易清洁，耐磨测试250R无透底现象。</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3、</w:t>
            </w:r>
            <w:r>
              <w:rPr>
                <w:rFonts w:hint="eastAsia" w:ascii="宋体" w:hAnsi="宋体" w:eastAsia="宋体" w:cs="宋体"/>
                <w:i w:val="0"/>
                <w:color w:val="000000"/>
                <w:kern w:val="0"/>
                <w:sz w:val="20"/>
                <w:szCs w:val="20"/>
                <w:u w:val="none"/>
                <w:lang w:val="en-US" w:eastAsia="zh-CN" w:bidi="ar"/>
              </w:rPr>
              <w:t>原生态木蜡油封边，重金属钡、铅、镉、锑、硒、铬、汞、砷等含量符合国家标准规范的要求。（提供木蜡油8大重金属检测报告）</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4、</w:t>
            </w:r>
            <w:r>
              <w:rPr>
                <w:rFonts w:hint="eastAsia" w:ascii="宋体" w:hAnsi="宋体" w:eastAsia="宋体" w:cs="宋体"/>
                <w:i w:val="0"/>
                <w:color w:val="000000"/>
                <w:kern w:val="0"/>
                <w:sz w:val="20"/>
                <w:szCs w:val="20"/>
                <w:u w:val="none"/>
                <w:lang w:val="en-US" w:eastAsia="zh-CN" w:bidi="ar"/>
              </w:rPr>
              <w:t xml:space="preserve">五金件选用环保五金，安全无毒。符合国家标准规范的要求，钡、铅、镉、锑、硒、铬、汞、砷等含量控制指标完全符合要求。（提供五金件8大重金属检测报告）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5、</w:t>
            </w:r>
            <w:r>
              <w:rPr>
                <w:rFonts w:hint="eastAsia" w:ascii="宋体" w:hAnsi="宋体" w:eastAsia="宋体" w:cs="宋体"/>
                <w:i w:val="0"/>
                <w:color w:val="000000"/>
                <w:kern w:val="0"/>
                <w:sz w:val="20"/>
                <w:szCs w:val="20"/>
                <w:u w:val="none"/>
                <w:lang w:val="en-US" w:eastAsia="zh-CN" w:bidi="ar"/>
              </w:rPr>
              <w:t xml:space="preserve">柜体采用踢脚板设计，即增加了稳定性，又可以防止杂物进入柜底。柜底配以耐磨塑胶PP脚钉，对地板等地面材料起到保护作用。   </w:t>
            </w:r>
          </w:p>
          <w:p>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微软雅黑" w:hAnsi="微软雅黑" w:eastAsia="微软雅黑" w:cs="微软雅黑"/>
                <w:b/>
                <w:i w:val="0"/>
                <w:color w:val="000000"/>
                <w:kern w:val="0"/>
                <w:sz w:val="20"/>
                <w:szCs w:val="20"/>
                <w:u w:val="none"/>
                <w:bdr w:val="single" w:color="000000" w:sz="4" w:space="0"/>
                <w:lang w:val="en-US" w:eastAsia="zh-CN" w:bidi="ar"/>
              </w:rPr>
              <w:drawing>
                <wp:anchor distT="0" distB="0" distL="114300" distR="114300" simplePos="0" relativeHeight="251859968" behindDoc="0" locked="0" layoutInCell="1" allowOverlap="1">
                  <wp:simplePos x="0" y="0"/>
                  <wp:positionH relativeFrom="column">
                    <wp:posOffset>46990</wp:posOffset>
                  </wp:positionH>
                  <wp:positionV relativeFrom="paragraph">
                    <wp:posOffset>426720</wp:posOffset>
                  </wp:positionV>
                  <wp:extent cx="706120" cy="1162050"/>
                  <wp:effectExtent l="0" t="0" r="17780" b="0"/>
                  <wp:wrapNone/>
                  <wp:docPr id="454" name="图片_5"/>
                  <wp:cNvGraphicFramePr/>
                  <a:graphic xmlns:a="http://schemas.openxmlformats.org/drawingml/2006/main">
                    <a:graphicData uri="http://schemas.openxmlformats.org/drawingml/2006/picture">
                      <pic:pic xmlns:pic="http://schemas.openxmlformats.org/drawingml/2006/picture">
                        <pic:nvPicPr>
                          <pic:cNvPr id="454" name="图片_5"/>
                          <pic:cNvPicPr/>
                        </pic:nvPicPr>
                        <pic:blipFill>
                          <a:blip r:embed="rId19"/>
                          <a:stretch>
                            <a:fillRect/>
                          </a:stretch>
                        </pic:blipFill>
                        <pic:spPr>
                          <a:xfrm>
                            <a:off x="0" y="0"/>
                            <a:ext cx="706120" cy="1162050"/>
                          </a:xfrm>
                          <a:prstGeom prst="rect">
                            <a:avLst/>
                          </a:prstGeom>
                          <a:noFill/>
                          <a:ln>
                            <a:noFill/>
                          </a:ln>
                        </pic:spPr>
                      </pic:pic>
                    </a:graphicData>
                  </a:graphic>
                </wp:anchor>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华文中宋" w:hAnsi="华文中宋" w:eastAsia="华文中宋" w:cs="华文中宋"/>
                <w:i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97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rPr>
            </w:pPr>
            <w:r>
              <w:rPr>
                <w:rFonts w:hint="eastAsia" w:ascii="宋体" w:hAnsi="宋体" w:cs="宋体"/>
                <w:i w:val="0"/>
                <w:color w:val="000000"/>
                <w:kern w:val="0"/>
                <w:sz w:val="22"/>
                <w:szCs w:val="22"/>
                <w:u w:val="none"/>
                <w:lang w:val="en-US" w:eastAsia="zh-CN" w:bidi="ar"/>
              </w:rPr>
              <w:t>9</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雅典花园8格中空柜-枫木纹  </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尺寸：110×30×81cm。</w:t>
            </w:r>
          </w:p>
          <w:p>
            <w:pPr>
              <w:keepNext w:val="0"/>
              <w:keepLines w:val="0"/>
              <w:widowControl/>
              <w:numPr>
                <w:ilvl w:val="0"/>
                <w:numId w:val="0"/>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t>主框架采用18mm厚优质环保枫木纹三聚氰胺双贴面橡胶木，甲醛释放量符合GB18580-2017标准要求。层板采用15mm厚优质环保枫木纹三聚氰胺双贴面橡胶木。（提供饰面实木板甲醛释放量检测报告）</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2、</w:t>
            </w:r>
            <w:r>
              <w:rPr>
                <w:rFonts w:hint="eastAsia" w:ascii="宋体" w:hAnsi="宋体" w:eastAsia="宋体" w:cs="宋体"/>
                <w:i w:val="0"/>
                <w:color w:val="000000"/>
                <w:kern w:val="0"/>
                <w:sz w:val="20"/>
                <w:szCs w:val="20"/>
                <w:u w:val="none"/>
                <w:lang w:val="en-US" w:eastAsia="zh-CN" w:bidi="ar"/>
              </w:rPr>
              <w:t xml:space="preserve">表面耐磨、耐污、耐划伤，易清洁，耐磨测试250R无透底现象。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3、</w:t>
            </w:r>
            <w:r>
              <w:rPr>
                <w:rFonts w:hint="eastAsia" w:ascii="宋体" w:hAnsi="宋体" w:eastAsia="宋体" w:cs="宋体"/>
                <w:i w:val="0"/>
                <w:color w:val="000000"/>
                <w:kern w:val="0"/>
                <w:sz w:val="20"/>
                <w:szCs w:val="20"/>
                <w:u w:val="none"/>
                <w:lang w:val="en-US" w:eastAsia="zh-CN" w:bidi="ar"/>
              </w:rPr>
              <w:t>原生态木蜡油封边，重金属钡、铅、镉、锑、硒、铬、汞、砷等含量符合国家标准规范的要求。（提供木蜡油8大重金属检测报告）</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4、</w:t>
            </w:r>
            <w:r>
              <w:rPr>
                <w:rFonts w:hint="eastAsia" w:ascii="宋体" w:hAnsi="宋体" w:eastAsia="宋体" w:cs="宋体"/>
                <w:i w:val="0"/>
                <w:color w:val="000000"/>
                <w:kern w:val="0"/>
                <w:sz w:val="20"/>
                <w:szCs w:val="20"/>
                <w:u w:val="none"/>
                <w:lang w:val="en-US" w:eastAsia="zh-CN" w:bidi="ar"/>
              </w:rPr>
              <w:t xml:space="preserve">五金件选用环保五金，安全无毒。符合国家标准规范的要求，钡、铅、镉、锑、硒、铬、汞、砷等含量控制指标完全符合要求。（提供五金件8大重金属检测报告）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5、</w:t>
            </w:r>
            <w:r>
              <w:rPr>
                <w:rFonts w:hint="eastAsia" w:ascii="宋体" w:hAnsi="宋体" w:eastAsia="宋体" w:cs="宋体"/>
                <w:i w:val="0"/>
                <w:color w:val="000000"/>
                <w:kern w:val="0"/>
                <w:sz w:val="20"/>
                <w:szCs w:val="20"/>
                <w:u w:val="none"/>
                <w:lang w:val="en-US" w:eastAsia="zh-CN" w:bidi="ar"/>
              </w:rPr>
              <w:t xml:space="preserve">柜体采用踢脚板设计，即增加了稳定性，又可以防止杂物进入柜底。柜底配以耐磨塑胶PP脚钉，对地板等地面材料起到保护作用。   </w:t>
            </w:r>
          </w:p>
          <w:p>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6、柜体内部格局分为三层，上、下层为3格，中层为2格。顶板及侧板内部连接处设置有塑料加固装置。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微软雅黑" w:hAnsi="微软雅黑" w:eastAsia="微软雅黑" w:cs="微软雅黑"/>
                <w:b/>
                <w:i w:val="0"/>
                <w:color w:val="000000"/>
                <w:kern w:val="0"/>
                <w:sz w:val="20"/>
                <w:szCs w:val="20"/>
                <w:u w:val="none"/>
                <w:bdr w:val="single" w:color="000000" w:sz="4" w:space="0"/>
                <w:lang w:val="en-US" w:eastAsia="zh-CN" w:bidi="ar"/>
              </w:rPr>
              <w:drawing>
                <wp:anchor distT="0" distB="0" distL="114300" distR="114300" simplePos="0" relativeHeight="251911168" behindDoc="0" locked="0" layoutInCell="1" allowOverlap="1">
                  <wp:simplePos x="0" y="0"/>
                  <wp:positionH relativeFrom="column">
                    <wp:posOffset>66675</wp:posOffset>
                  </wp:positionH>
                  <wp:positionV relativeFrom="paragraph">
                    <wp:posOffset>209550</wp:posOffset>
                  </wp:positionV>
                  <wp:extent cx="600710" cy="1009650"/>
                  <wp:effectExtent l="0" t="0" r="8890" b="0"/>
                  <wp:wrapNone/>
                  <wp:docPr id="455" name="图片_7"/>
                  <wp:cNvGraphicFramePr/>
                  <a:graphic xmlns:a="http://schemas.openxmlformats.org/drawingml/2006/main">
                    <a:graphicData uri="http://schemas.openxmlformats.org/drawingml/2006/picture">
                      <pic:pic xmlns:pic="http://schemas.openxmlformats.org/drawingml/2006/picture">
                        <pic:nvPicPr>
                          <pic:cNvPr id="455" name="图片_7"/>
                          <pic:cNvPicPr/>
                        </pic:nvPicPr>
                        <pic:blipFill>
                          <a:blip r:embed="rId20"/>
                          <a:stretch>
                            <a:fillRect/>
                          </a:stretch>
                        </pic:blipFill>
                        <pic:spPr>
                          <a:xfrm>
                            <a:off x="0" y="0"/>
                            <a:ext cx="600710" cy="1009650"/>
                          </a:xfrm>
                          <a:prstGeom prst="rect">
                            <a:avLst/>
                          </a:prstGeom>
                          <a:noFill/>
                          <a:ln>
                            <a:noFill/>
                          </a:ln>
                        </pic:spPr>
                      </pic:pic>
                    </a:graphicData>
                  </a:graphic>
                </wp:anchor>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华文中宋" w:hAnsi="华文中宋" w:eastAsia="华文中宋" w:cs="华文中宋"/>
                <w:i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97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rPr>
            </w:pPr>
            <w:r>
              <w:rPr>
                <w:rFonts w:hint="eastAsia" w:ascii="宋体" w:hAnsi="宋体" w:cs="宋体"/>
                <w:i w:val="0"/>
                <w:color w:val="000000"/>
                <w:kern w:val="0"/>
                <w:sz w:val="22"/>
                <w:szCs w:val="22"/>
                <w:u w:val="none"/>
                <w:lang w:val="en-US" w:eastAsia="zh-CN" w:bidi="ar"/>
              </w:rPr>
              <w:t>10</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美劳展示墙柜 1600*400*1400 </w:t>
            </w:r>
          </w:p>
          <w:p>
            <w:pPr>
              <w:keepNext w:val="0"/>
              <w:keepLines w:val="0"/>
              <w:widowControl/>
              <w:numPr>
                <w:ilvl w:val="0"/>
                <w:numId w:val="0"/>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t xml:space="preserve">框体采用16mm厚优质环保枫木纹三聚氰胺双贴面高密度刨花板，甲醛释放量符合GB18580-2017标准要求。（提供饰面刨花板甲醛释放量检测报告）   </w:t>
            </w:r>
          </w:p>
          <w:p>
            <w:pPr>
              <w:keepNext w:val="0"/>
              <w:keepLines w:val="0"/>
              <w:widowControl/>
              <w:numPr>
                <w:ilvl w:val="0"/>
                <w:numId w:val="0"/>
              </w:numPr>
              <w:suppressLineNumbers w:val="0"/>
              <w:ind w:leftChars="0"/>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2、</w:t>
            </w:r>
            <w:r>
              <w:rPr>
                <w:rFonts w:hint="eastAsia" w:ascii="宋体" w:hAnsi="宋体" w:eastAsia="宋体" w:cs="宋体"/>
                <w:i w:val="0"/>
                <w:color w:val="000000"/>
                <w:kern w:val="0"/>
                <w:sz w:val="20"/>
                <w:szCs w:val="20"/>
                <w:u w:val="none"/>
                <w:lang w:val="en-US" w:eastAsia="zh-CN" w:bidi="ar"/>
              </w:rPr>
              <w:t xml:space="preserve">耐磨、耐污、耐划伤，易清洁，耐磨测试250R无透底现象。    </w:t>
            </w:r>
          </w:p>
          <w:p>
            <w:pPr>
              <w:keepNext w:val="0"/>
              <w:keepLines w:val="0"/>
              <w:widowControl/>
              <w:numPr>
                <w:ilvl w:val="0"/>
                <w:numId w:val="0"/>
              </w:numPr>
              <w:suppressLineNumbers w:val="0"/>
              <w:ind w:leftChars="0"/>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3、</w:t>
            </w:r>
            <w:r>
              <w:rPr>
                <w:rFonts w:hint="eastAsia" w:ascii="宋体" w:hAnsi="宋体" w:eastAsia="宋体" w:cs="宋体"/>
                <w:i w:val="0"/>
                <w:color w:val="000000"/>
                <w:kern w:val="0"/>
                <w:sz w:val="20"/>
                <w:szCs w:val="20"/>
                <w:u w:val="none"/>
                <w:lang w:val="en-US" w:eastAsia="zh-CN" w:bidi="ar"/>
              </w:rPr>
              <w:t xml:space="preserve">优质PVC边条封边，邻苯二甲酸酯含量符合国家标准规范的要求。 （提供家具封边条邻苯二甲酸酯含量检测报告）   </w:t>
            </w:r>
          </w:p>
          <w:p>
            <w:pPr>
              <w:keepNext w:val="0"/>
              <w:keepLines w:val="0"/>
              <w:widowControl/>
              <w:numPr>
                <w:ilvl w:val="0"/>
                <w:numId w:val="0"/>
              </w:numPr>
              <w:suppressLineNumbers w:val="0"/>
              <w:ind w:left="0" w:leftChars="0" w:firstLine="0" w:firstLineChars="0"/>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4、五金件选用环保五金，安全无毒。符合国家标准规范的要求，钡、铅、镉、锑、硒、铬、汞、砷等含量控制指标完全符合要求。（提供五金件8大重金属检测报告</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微软雅黑" w:hAnsi="微软雅黑" w:eastAsia="微软雅黑" w:cs="微软雅黑"/>
                <w:b/>
                <w:i w:val="0"/>
                <w:color w:val="000000"/>
                <w:kern w:val="0"/>
                <w:sz w:val="20"/>
                <w:szCs w:val="20"/>
                <w:u w:val="none"/>
                <w:bdr w:val="single" w:color="000000" w:sz="4" w:space="0"/>
                <w:lang w:val="en-US" w:eastAsia="zh-CN" w:bidi="ar"/>
              </w:rPr>
              <w:drawing>
                <wp:anchor distT="0" distB="0" distL="114300" distR="114300" simplePos="0" relativeHeight="251963392" behindDoc="0" locked="0" layoutInCell="1" allowOverlap="1">
                  <wp:simplePos x="0" y="0"/>
                  <wp:positionH relativeFrom="column">
                    <wp:posOffset>57150</wp:posOffset>
                  </wp:positionH>
                  <wp:positionV relativeFrom="paragraph">
                    <wp:posOffset>352425</wp:posOffset>
                  </wp:positionV>
                  <wp:extent cx="695325" cy="908685"/>
                  <wp:effectExtent l="0" t="0" r="9525" b="5715"/>
                  <wp:wrapNone/>
                  <wp:docPr id="456" name="图片_209"/>
                  <wp:cNvGraphicFramePr/>
                  <a:graphic xmlns:a="http://schemas.openxmlformats.org/drawingml/2006/main">
                    <a:graphicData uri="http://schemas.openxmlformats.org/drawingml/2006/picture">
                      <pic:pic xmlns:pic="http://schemas.openxmlformats.org/drawingml/2006/picture">
                        <pic:nvPicPr>
                          <pic:cNvPr id="456" name="图片_209"/>
                          <pic:cNvPicPr/>
                        </pic:nvPicPr>
                        <pic:blipFill>
                          <a:blip r:embed="rId21"/>
                          <a:stretch>
                            <a:fillRect/>
                          </a:stretch>
                        </pic:blipFill>
                        <pic:spPr>
                          <a:xfrm>
                            <a:off x="0" y="0"/>
                            <a:ext cx="695325" cy="908685"/>
                          </a:xfrm>
                          <a:prstGeom prst="rect">
                            <a:avLst/>
                          </a:prstGeom>
                          <a:noFill/>
                          <a:ln>
                            <a:noFill/>
                          </a:ln>
                        </pic:spPr>
                      </pic:pic>
                    </a:graphicData>
                  </a:graphic>
                </wp:anchor>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华文中宋" w:hAnsi="华文中宋" w:eastAsia="华文中宋" w:cs="华文中宋"/>
                <w:i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97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rPr>
            </w:pPr>
            <w:r>
              <w:rPr>
                <w:rFonts w:hint="eastAsia" w:ascii="宋体" w:hAnsi="宋体" w:cs="宋体"/>
                <w:i w:val="0"/>
                <w:color w:val="000000"/>
                <w:kern w:val="0"/>
                <w:sz w:val="22"/>
                <w:szCs w:val="22"/>
                <w:u w:val="none"/>
                <w:lang w:val="en-US" w:eastAsia="zh-CN" w:bidi="ar"/>
              </w:rPr>
              <w:t>11</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 美罗美术综合柜</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尺寸：60×60×65cm。</w:t>
            </w:r>
          </w:p>
          <w:p>
            <w:pPr>
              <w:keepNext w:val="0"/>
              <w:keepLines w:val="0"/>
              <w:widowControl/>
              <w:numPr>
                <w:ilvl w:val="0"/>
                <w:numId w:val="0"/>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t xml:space="preserve">采用18mm厚优质环保三聚氰胺双贴面高密度刨花板，甲醛释放量符合GB18580-2017标准要求。（提供饰面刨花板甲醛释放量检测报告）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2、</w:t>
            </w:r>
            <w:r>
              <w:rPr>
                <w:rFonts w:hint="eastAsia" w:ascii="宋体" w:hAnsi="宋体" w:eastAsia="宋体" w:cs="宋体"/>
                <w:i w:val="0"/>
                <w:color w:val="000000"/>
                <w:kern w:val="0"/>
                <w:sz w:val="20"/>
                <w:szCs w:val="20"/>
                <w:u w:val="none"/>
                <w:lang w:val="en-US" w:eastAsia="zh-CN" w:bidi="ar"/>
              </w:rPr>
              <w:t xml:space="preserve">耐磨、耐污、耐划伤，易清洁，耐磨测试250R无透底现象。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3、</w:t>
            </w:r>
            <w:r>
              <w:rPr>
                <w:rFonts w:hint="eastAsia" w:ascii="宋体" w:hAnsi="宋体" w:eastAsia="宋体" w:cs="宋体"/>
                <w:i w:val="0"/>
                <w:color w:val="000000"/>
                <w:kern w:val="0"/>
                <w:sz w:val="20"/>
                <w:szCs w:val="20"/>
                <w:u w:val="none"/>
                <w:lang w:val="en-US" w:eastAsia="zh-CN" w:bidi="ar"/>
              </w:rPr>
              <w:t xml:space="preserve">优质PVC边条封边，邻苯二甲酸酯含量符合国家标准规范的要求。 （提供家具封边条邻苯二甲酸酯含量检测报告）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 4、五金件选用环保五金，安全无毒。符合国家标准规范的要求，钡、铅、镉、锑、硒、铬、汞、砷等含量控制指标完全符合要求。（提供五金件8大重金属检测报告）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5、柜体顶部9宫格储存空间，用于美术用品的摆放。柜体底部配以4个塑料滑轮，便于移动。         </w:t>
            </w:r>
          </w:p>
          <w:p>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6、结构稳固，不易倾倒。圆角设计，安全缝隙和孔洞符合GB28007-2011儿童家具通用技术条件的要求。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bdr w:val="single" w:color="000000" w:sz="4" w:space="0"/>
                <w:lang w:val="en-US" w:eastAsia="zh-CN" w:bidi="ar"/>
              </w:rPr>
              <w:drawing>
                <wp:anchor distT="0" distB="0" distL="114300" distR="114300" simplePos="0" relativeHeight="252016640" behindDoc="0" locked="0" layoutInCell="1" allowOverlap="1">
                  <wp:simplePos x="0" y="0"/>
                  <wp:positionH relativeFrom="column">
                    <wp:posOffset>18415</wp:posOffset>
                  </wp:positionH>
                  <wp:positionV relativeFrom="paragraph">
                    <wp:posOffset>124460</wp:posOffset>
                  </wp:positionV>
                  <wp:extent cx="714375" cy="905510"/>
                  <wp:effectExtent l="0" t="0" r="9525" b="8890"/>
                  <wp:wrapNone/>
                  <wp:docPr id="457" name="图片_65"/>
                  <wp:cNvGraphicFramePr/>
                  <a:graphic xmlns:a="http://schemas.openxmlformats.org/drawingml/2006/main">
                    <a:graphicData uri="http://schemas.openxmlformats.org/drawingml/2006/picture">
                      <pic:pic xmlns:pic="http://schemas.openxmlformats.org/drawingml/2006/picture">
                        <pic:nvPicPr>
                          <pic:cNvPr id="457" name="图片_65"/>
                          <pic:cNvPicPr/>
                        </pic:nvPicPr>
                        <pic:blipFill>
                          <a:blip r:embed="rId22"/>
                          <a:stretch>
                            <a:fillRect/>
                          </a:stretch>
                        </pic:blipFill>
                        <pic:spPr>
                          <a:xfrm>
                            <a:off x="0" y="0"/>
                            <a:ext cx="714375" cy="905510"/>
                          </a:xfrm>
                          <a:prstGeom prst="rect">
                            <a:avLst/>
                          </a:prstGeom>
                          <a:noFill/>
                          <a:ln>
                            <a:noFill/>
                          </a:ln>
                        </pic:spPr>
                      </pic:pic>
                    </a:graphicData>
                  </a:graphic>
                </wp:anchor>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97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rPr>
            </w:pPr>
            <w:r>
              <w:rPr>
                <w:rFonts w:hint="eastAsia" w:ascii="宋体" w:hAnsi="宋体" w:cs="宋体"/>
                <w:i w:val="0"/>
                <w:color w:val="000000"/>
                <w:kern w:val="0"/>
                <w:sz w:val="22"/>
                <w:szCs w:val="22"/>
                <w:u w:val="none"/>
                <w:lang w:val="en-US" w:eastAsia="zh-CN" w:bidi="ar"/>
              </w:rPr>
              <w:t>12</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乔托晾纸架</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尺寸：60×50×80cm。</w:t>
            </w:r>
          </w:p>
          <w:p>
            <w:pPr>
              <w:keepNext w:val="0"/>
              <w:keepLines w:val="0"/>
              <w:widowControl/>
              <w:numPr>
                <w:ilvl w:val="0"/>
                <w:numId w:val="0"/>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t xml:space="preserve">框体采用18mm厚优质环保三聚氰胺贴面胶合板，甲醛释放量符合GB18580-2017标准要求。（提供饰面胶合板甲醛释放量检测报告）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2、</w:t>
            </w:r>
            <w:r>
              <w:rPr>
                <w:rFonts w:hint="eastAsia" w:ascii="宋体" w:hAnsi="宋体" w:eastAsia="宋体" w:cs="宋体"/>
                <w:i w:val="0"/>
                <w:color w:val="000000"/>
                <w:kern w:val="0"/>
                <w:sz w:val="20"/>
                <w:szCs w:val="20"/>
                <w:u w:val="none"/>
                <w:lang w:val="en-US" w:eastAsia="zh-CN" w:bidi="ar"/>
              </w:rPr>
              <w:t xml:space="preserve">表面耐磨、耐污、耐划伤，易清洁，耐磨测试250R无透底现象。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2"/>
                <w:szCs w:val="22"/>
                <w:u w:val="none"/>
                <w:bdr w:val="single" w:color="000000" w:sz="4" w:space="0"/>
                <w:lang w:val="en-US" w:eastAsia="zh-CN" w:bidi="ar"/>
              </w:rPr>
              <w:drawing>
                <wp:anchor distT="0" distB="0" distL="114300" distR="114300" simplePos="0" relativeHeight="252070912" behindDoc="0" locked="0" layoutInCell="1" allowOverlap="1">
                  <wp:simplePos x="0" y="0"/>
                  <wp:positionH relativeFrom="column">
                    <wp:posOffset>3619500</wp:posOffset>
                  </wp:positionH>
                  <wp:positionV relativeFrom="paragraph">
                    <wp:posOffset>231775</wp:posOffset>
                  </wp:positionV>
                  <wp:extent cx="704850" cy="981710"/>
                  <wp:effectExtent l="0" t="0" r="0" b="8890"/>
                  <wp:wrapNone/>
                  <wp:docPr id="458" name="图片_66"/>
                  <wp:cNvGraphicFramePr/>
                  <a:graphic xmlns:a="http://schemas.openxmlformats.org/drawingml/2006/main">
                    <a:graphicData uri="http://schemas.openxmlformats.org/drawingml/2006/picture">
                      <pic:pic xmlns:pic="http://schemas.openxmlformats.org/drawingml/2006/picture">
                        <pic:nvPicPr>
                          <pic:cNvPr id="458" name="图片_66"/>
                          <pic:cNvPicPr/>
                        </pic:nvPicPr>
                        <pic:blipFill>
                          <a:blip r:embed="rId23"/>
                          <a:stretch>
                            <a:fillRect/>
                          </a:stretch>
                        </pic:blipFill>
                        <pic:spPr>
                          <a:xfrm>
                            <a:off x="0" y="0"/>
                            <a:ext cx="704850" cy="981710"/>
                          </a:xfrm>
                          <a:prstGeom prst="rect">
                            <a:avLst/>
                          </a:prstGeom>
                          <a:noFill/>
                          <a:ln>
                            <a:noFill/>
                          </a:ln>
                        </pic:spPr>
                      </pic:pic>
                    </a:graphicData>
                  </a:graphic>
                </wp:anchor>
              </w:drawing>
            </w:r>
            <w:r>
              <w:rPr>
                <w:rFonts w:hint="eastAsia" w:ascii="宋体" w:hAnsi="宋体" w:cs="宋体"/>
                <w:i w:val="0"/>
                <w:color w:val="000000"/>
                <w:kern w:val="0"/>
                <w:sz w:val="20"/>
                <w:szCs w:val="20"/>
                <w:u w:val="none"/>
                <w:lang w:val="en-US" w:eastAsia="zh-CN" w:bidi="ar"/>
              </w:rPr>
              <w:t>3、</w:t>
            </w:r>
            <w:r>
              <w:rPr>
                <w:rFonts w:hint="eastAsia" w:ascii="宋体" w:hAnsi="宋体" w:eastAsia="宋体" w:cs="宋体"/>
                <w:i w:val="0"/>
                <w:color w:val="000000"/>
                <w:kern w:val="0"/>
                <w:sz w:val="20"/>
                <w:szCs w:val="20"/>
                <w:u w:val="none"/>
                <w:lang w:val="en-US" w:eastAsia="zh-CN" w:bidi="ar"/>
              </w:rPr>
              <w:t xml:space="preserve">原生态木蜡油封边，重金属钡、铅、镉、锑、硒、铬、汞、砷等含量符合国家标准规范的要求。（提供木蜡油8大重金属检测报告）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4、</w:t>
            </w:r>
            <w:r>
              <w:rPr>
                <w:rFonts w:hint="eastAsia" w:ascii="宋体" w:hAnsi="宋体" w:eastAsia="宋体" w:cs="宋体"/>
                <w:i w:val="0"/>
                <w:color w:val="000000"/>
                <w:kern w:val="0"/>
                <w:sz w:val="20"/>
                <w:szCs w:val="20"/>
                <w:u w:val="none"/>
                <w:lang w:val="en-US" w:eastAsia="zh-CN" w:bidi="ar"/>
              </w:rPr>
              <w:t xml:space="preserve">五金件选用环保五金，安全无毒。符合国家标准规范的要求，钡、铅、镉、锑、硒、铬、汞、砷等含量控制指标完全符合要求。（提供五金件8大重金属检测报告）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5、</w:t>
            </w:r>
            <w:r>
              <w:rPr>
                <w:rFonts w:hint="eastAsia" w:ascii="宋体" w:hAnsi="宋体" w:eastAsia="宋体" w:cs="宋体"/>
                <w:i w:val="0"/>
                <w:color w:val="000000"/>
                <w:kern w:val="0"/>
                <w:sz w:val="20"/>
                <w:szCs w:val="20"/>
                <w:u w:val="none"/>
                <w:lang w:val="en-US" w:eastAsia="zh-CN" w:bidi="ar"/>
              </w:rPr>
              <w:t xml:space="preserve">柜体底部配以耐磨塑胶PP脚钉，对地板等地面材料起到保护作用。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6、</w:t>
            </w:r>
            <w:r>
              <w:rPr>
                <w:rFonts w:hint="eastAsia" w:ascii="宋体" w:hAnsi="宋体" w:eastAsia="宋体" w:cs="宋体"/>
                <w:i w:val="0"/>
                <w:color w:val="000000"/>
                <w:kern w:val="0"/>
                <w:sz w:val="20"/>
                <w:szCs w:val="20"/>
                <w:u w:val="none"/>
                <w:lang w:val="en-US" w:eastAsia="zh-CN" w:bidi="ar"/>
              </w:rPr>
              <w:t>晾晒的网片采用加粗钢丝焊接加工再喷漆而成，共分为11层。</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7、</w:t>
            </w:r>
            <w:r>
              <w:rPr>
                <w:rFonts w:hint="eastAsia" w:ascii="宋体" w:hAnsi="宋体" w:eastAsia="宋体" w:cs="宋体"/>
                <w:i w:val="0"/>
                <w:color w:val="000000"/>
                <w:kern w:val="0"/>
                <w:sz w:val="20"/>
                <w:szCs w:val="20"/>
                <w:u w:val="none"/>
                <w:lang w:val="en-US" w:eastAsia="zh-CN" w:bidi="ar"/>
              </w:rPr>
              <w:t xml:space="preserve">采用踢脚板设计，即增加稳定性，又可以防止杂物进入柜底。    </w:t>
            </w:r>
          </w:p>
          <w:p>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8、结构稳固，不易倾倒，符合GB28007-2011儿童家具通用技术条件的要求。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97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rPr>
            </w:pPr>
            <w:r>
              <w:rPr>
                <w:rFonts w:hint="eastAsia" w:ascii="宋体" w:hAnsi="宋体" w:cs="宋体"/>
                <w:i w:val="0"/>
                <w:color w:val="000000"/>
                <w:kern w:val="0"/>
                <w:sz w:val="22"/>
                <w:szCs w:val="22"/>
                <w:u w:val="none"/>
                <w:lang w:val="en-US" w:eastAsia="zh-CN" w:bidi="ar"/>
              </w:rPr>
              <w:t>13</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克利美劳用品柜</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尺寸：60×30×56cm。</w:t>
            </w:r>
          </w:p>
          <w:p>
            <w:pPr>
              <w:keepNext w:val="0"/>
              <w:keepLines w:val="0"/>
              <w:widowControl/>
              <w:numPr>
                <w:ilvl w:val="0"/>
                <w:numId w:val="0"/>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t xml:space="preserve">采用18mm厚优质环保三聚氰胺双贴面高密度刨花板，甲醛释放量符合GB18580-2017标准要求。（提供饰面刨花板甲醛释放量检测报告）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2、</w:t>
            </w:r>
            <w:r>
              <w:rPr>
                <w:rFonts w:hint="eastAsia" w:ascii="宋体" w:hAnsi="宋体" w:eastAsia="宋体" w:cs="宋体"/>
                <w:i w:val="0"/>
                <w:color w:val="000000"/>
                <w:kern w:val="0"/>
                <w:sz w:val="20"/>
                <w:szCs w:val="20"/>
                <w:u w:val="none"/>
                <w:lang w:val="en-US" w:eastAsia="zh-CN" w:bidi="ar"/>
              </w:rPr>
              <w:t xml:space="preserve">表面耐磨、耐污、耐划伤，易清洁，耐磨测试250R无透底现象。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3、</w:t>
            </w:r>
            <w:r>
              <w:rPr>
                <w:rFonts w:hint="eastAsia" w:ascii="宋体" w:hAnsi="宋体" w:eastAsia="宋体" w:cs="宋体"/>
                <w:i w:val="0"/>
                <w:color w:val="000000"/>
                <w:kern w:val="0"/>
                <w:sz w:val="20"/>
                <w:szCs w:val="20"/>
                <w:u w:val="none"/>
                <w:lang w:val="en-US" w:eastAsia="zh-CN" w:bidi="ar"/>
              </w:rPr>
              <w:t xml:space="preserve">优质PVC边条封边，邻苯二甲酸酯含量符合国家标准规范的要求。 （提供家具封边条邻苯二甲酸酯含量检测报告）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4、五金件选用环保五金，安全无毒。符合国家标准规范的要求，钡、铅、镉、锑、硒、铬、汞、砷等含量控制指标完全符合要求。（提供五金件8大重金属检测报告）    </w:t>
            </w:r>
          </w:p>
          <w:p>
            <w:pPr>
              <w:keepNext w:val="0"/>
              <w:keepLines w:val="0"/>
              <w:widowControl/>
              <w:numPr>
                <w:ilvl w:val="0"/>
                <w:numId w:val="17"/>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柜体底部配以耐磨塑胶PP脚钉，对地板等地面材料起到保护作用。    </w:t>
            </w:r>
          </w:p>
          <w:p>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6、结构稳固，不易倾倒。圆角设计，安全缝隙和孔洞符合GB28007-2011儿童家具通用技术条件的要求。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bdr w:val="single" w:color="000000" w:sz="4" w:space="0"/>
                <w:lang w:val="en-US" w:eastAsia="zh-CN" w:bidi="ar"/>
              </w:rPr>
              <w:drawing>
                <wp:anchor distT="0" distB="0" distL="114300" distR="114300" simplePos="0" relativeHeight="252126208" behindDoc="0" locked="0" layoutInCell="1" allowOverlap="1">
                  <wp:simplePos x="0" y="0"/>
                  <wp:positionH relativeFrom="column">
                    <wp:posOffset>47625</wp:posOffset>
                  </wp:positionH>
                  <wp:positionV relativeFrom="paragraph">
                    <wp:posOffset>74930</wp:posOffset>
                  </wp:positionV>
                  <wp:extent cx="743585" cy="1400175"/>
                  <wp:effectExtent l="0" t="0" r="18415" b="9525"/>
                  <wp:wrapNone/>
                  <wp:docPr id="459" name="图片_67"/>
                  <wp:cNvGraphicFramePr/>
                  <a:graphic xmlns:a="http://schemas.openxmlformats.org/drawingml/2006/main">
                    <a:graphicData uri="http://schemas.openxmlformats.org/drawingml/2006/picture">
                      <pic:pic xmlns:pic="http://schemas.openxmlformats.org/drawingml/2006/picture">
                        <pic:nvPicPr>
                          <pic:cNvPr id="459" name="图片_67"/>
                          <pic:cNvPicPr/>
                        </pic:nvPicPr>
                        <pic:blipFill>
                          <a:blip r:embed="rId24"/>
                          <a:stretch>
                            <a:fillRect/>
                          </a:stretch>
                        </pic:blipFill>
                        <pic:spPr>
                          <a:xfrm>
                            <a:off x="0" y="0"/>
                            <a:ext cx="743585" cy="1400175"/>
                          </a:xfrm>
                          <a:prstGeom prst="rect">
                            <a:avLst/>
                          </a:prstGeom>
                          <a:noFill/>
                          <a:ln>
                            <a:noFill/>
                          </a:ln>
                        </pic:spPr>
                      </pic:pic>
                    </a:graphicData>
                  </a:graphic>
                </wp:anchor>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97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eastAsia="宋体"/>
                <w:lang w:val="en-US" w:eastAsia="zh-CN"/>
              </w:rPr>
            </w:pPr>
            <w:r>
              <w:rPr>
                <w:rFonts w:hint="eastAsia"/>
                <w:lang w:val="en-US" w:eastAsia="zh-CN"/>
              </w:rPr>
              <w:t>14</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童话王国-实木90度内转角柜</w:t>
            </w:r>
          </w:p>
          <w:p>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尺寸：60×60×54cm。</w:t>
            </w:r>
          </w:p>
          <w:p>
            <w:pPr>
              <w:keepNext w:val="0"/>
              <w:keepLines w:val="0"/>
              <w:widowControl/>
              <w:numPr>
                <w:ilvl w:val="0"/>
                <w:numId w:val="38"/>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柜体采用18mm厚优质环保芬兰松木，表面木纹拉丝，并环保清水油漆处理，重金属钡、铅、镉、锑、硒、铬、汞、砷等含量符合国家标准规范的要求。（提供油漆8大重金属检测报告）    2、耐磨、耐污、耐划伤，易清洁，耐磨测试250R无透底现象。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3、</w:t>
            </w:r>
            <w:r>
              <w:rPr>
                <w:rFonts w:hint="eastAsia" w:ascii="宋体" w:hAnsi="宋体" w:eastAsia="宋体" w:cs="宋体"/>
                <w:i w:val="0"/>
                <w:color w:val="000000"/>
                <w:kern w:val="0"/>
                <w:sz w:val="20"/>
                <w:szCs w:val="20"/>
                <w:u w:val="none"/>
                <w:lang w:val="en-US" w:eastAsia="zh-CN" w:bidi="ar"/>
              </w:rPr>
              <w:t xml:space="preserve">五金件选用环保五金，安全无毒。符合国家标准规范的要求，钡、铅、镉、锑、硒、铬、汞、砷等含量控制指标完全符合要求。▲（提供五金件8大重金属检测报告）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4、柜体底部配以耐磨塑胶PP脚钉，对地板等地面材料起到保护作用。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5、L型造型，共有二层，下层采用半封闭形式，上层中空形式，用于各柜的转角连接。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6、采用顶板盖侧板的设计方式，保证了柜体表面的平整性。 </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7、采用踢脚板设计，即增加了稳定性，又可以防止杂物进入柜底。边角安全防撞设计，对所有的外露面、外漏角进行弧状倒角设计，避免锐角的产生，最大程度的避免儿童磕碰伤害，符合GB28007-2011儿童家具通用技术条件的要求。结构稳固，不易倾倒。全面采用圆角设计，安全缝隙和孔洞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微软雅黑" w:hAnsi="微软雅黑" w:eastAsia="微软雅黑" w:cs="微软雅黑"/>
                <w:b/>
                <w:i w:val="0"/>
                <w:color w:val="000000"/>
                <w:kern w:val="0"/>
                <w:sz w:val="20"/>
                <w:szCs w:val="20"/>
                <w:u w:val="none"/>
                <w:bdr w:val="single" w:color="000000" w:sz="4" w:space="0"/>
                <w:lang w:val="en-US" w:eastAsia="zh-CN" w:bidi="ar"/>
              </w:rPr>
              <w:drawing>
                <wp:anchor distT="0" distB="0" distL="114300" distR="114300" simplePos="0" relativeHeight="252127232" behindDoc="0" locked="0" layoutInCell="1" allowOverlap="1">
                  <wp:simplePos x="0" y="0"/>
                  <wp:positionH relativeFrom="column">
                    <wp:posOffset>46990</wp:posOffset>
                  </wp:positionH>
                  <wp:positionV relativeFrom="paragraph">
                    <wp:posOffset>438150</wp:posOffset>
                  </wp:positionV>
                  <wp:extent cx="665480" cy="904875"/>
                  <wp:effectExtent l="0" t="0" r="1270" b="9525"/>
                  <wp:wrapNone/>
                  <wp:docPr id="480" name="图片_62"/>
                  <wp:cNvGraphicFramePr/>
                  <a:graphic xmlns:a="http://schemas.openxmlformats.org/drawingml/2006/main">
                    <a:graphicData uri="http://schemas.openxmlformats.org/drawingml/2006/picture">
                      <pic:pic xmlns:pic="http://schemas.openxmlformats.org/drawingml/2006/picture">
                        <pic:nvPicPr>
                          <pic:cNvPr id="480" name="图片_62"/>
                          <pic:cNvPicPr/>
                        </pic:nvPicPr>
                        <pic:blipFill>
                          <a:blip r:embed="rId36"/>
                          <a:stretch>
                            <a:fillRect/>
                          </a:stretch>
                        </pic:blipFill>
                        <pic:spPr>
                          <a:xfrm>
                            <a:off x="0" y="0"/>
                            <a:ext cx="665480" cy="904875"/>
                          </a:xfrm>
                          <a:prstGeom prst="rect">
                            <a:avLst/>
                          </a:prstGeom>
                          <a:noFill/>
                          <a:ln>
                            <a:noFill/>
                          </a:ln>
                        </pic:spPr>
                      </pic:pic>
                    </a:graphicData>
                  </a:graphic>
                </wp:anchor>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华文中宋" w:hAnsi="华文中宋" w:eastAsia="华文中宋" w:cs="华文中宋"/>
                <w:i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97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2"/>
              <w:rPr>
                <w:rFonts w:hint="default" w:eastAsia="宋体"/>
                <w:lang w:val="en-US" w:eastAsia="zh-CN"/>
              </w:rPr>
            </w:pPr>
            <w:r>
              <w:rPr>
                <w:rFonts w:hint="eastAsia"/>
                <w:lang w:val="en-US" w:eastAsia="zh-CN"/>
              </w:rPr>
              <w:t>15</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童话王国-实木布偶台</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尺寸：84×30×120cm。</w:t>
            </w:r>
          </w:p>
          <w:p>
            <w:pPr>
              <w:keepNext w:val="0"/>
              <w:keepLines w:val="0"/>
              <w:widowControl/>
              <w:numPr>
                <w:ilvl w:val="0"/>
                <w:numId w:val="39"/>
              </w:numPr>
              <w:suppressLineNumbers w:val="0"/>
              <w:ind w:left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柜体采用18mm厚优质环保芬兰松木，表面木纹拉丝，并环保清水油漆处理，重金属钡、铅、镉、锑、硒、铬、汞、砷等含量符合国家标准规范的要求。（提供油漆8大重金属检测报告）    2、耐磨、耐污、耐划伤，易清洁，耐磨测试250R无透底现象。    </w:t>
            </w:r>
          </w:p>
          <w:p>
            <w:pPr>
              <w:keepNext w:val="0"/>
              <w:keepLines w:val="0"/>
              <w:widowControl/>
              <w:numPr>
                <w:ilvl w:val="0"/>
                <w:numId w:val="39"/>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五金件选用环保五金，安全无毒。符合国家标准规范的要求，钡、铅、镉、锑、硒、铬、汞、砷等含量控制指标完全符合要求。（提供五金件8大重金属检测报告）    </w:t>
            </w:r>
          </w:p>
          <w:p>
            <w:pPr>
              <w:keepNext w:val="0"/>
              <w:keepLines w:val="0"/>
              <w:widowControl/>
              <w:numPr>
                <w:ilvl w:val="0"/>
                <w:numId w:val="39"/>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柜体底部配以耐磨塑胶PP脚钉，对地板等地面材料起到保护作用。    </w:t>
            </w:r>
          </w:p>
          <w:p>
            <w:pPr>
              <w:keepNext w:val="0"/>
              <w:keepLines w:val="0"/>
              <w:widowControl/>
              <w:numPr>
                <w:ilvl w:val="0"/>
                <w:numId w:val="39"/>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布帘采用优质棉布。    </w:t>
            </w:r>
          </w:p>
          <w:p>
            <w:pPr>
              <w:keepNext w:val="0"/>
              <w:keepLines w:val="0"/>
              <w:widowControl/>
              <w:numPr>
                <w:ilvl w:val="0"/>
                <w:numId w:val="39"/>
              </w:numPr>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侧板采用镂空窗户造型。    </w:t>
            </w:r>
          </w:p>
          <w:p>
            <w:pPr>
              <w:keepNext w:val="0"/>
              <w:keepLines w:val="0"/>
              <w:widowControl/>
              <w:numPr>
                <w:ilvl w:val="0"/>
                <w:numId w:val="0"/>
              </w:numPr>
              <w:suppressLineNumbers w:val="0"/>
              <w:ind w:leftChars="0"/>
              <w:jc w:val="left"/>
              <w:textAlignment w:val="center"/>
              <w:rPr>
                <w:rFonts w:hint="eastAsia"/>
                <w:lang w:val="en-US" w:eastAsia="zh-CN"/>
              </w:rPr>
            </w:pPr>
            <w:r>
              <w:rPr>
                <w:rFonts w:hint="eastAsia" w:ascii="宋体" w:hAnsi="宋体" w:eastAsia="宋体" w:cs="宋体"/>
                <w:i w:val="0"/>
                <w:color w:val="000000"/>
                <w:kern w:val="0"/>
                <w:sz w:val="20"/>
                <w:szCs w:val="20"/>
                <w:u w:val="none"/>
                <w:lang w:val="en-US" w:eastAsia="zh-CN" w:bidi="ar"/>
              </w:rPr>
              <w:t>7、采用踢脚板设计，即增加了稳定性，又可以防止杂物进入柜底。边角安全防撞设计，对所有的外露面、外漏角进行弧状倒角设计，避免锐角的产生，最大程度的避免儿童磕碰伤害，符合GB28007-2011儿童家具通用技术条件的要求。 结构稳固，不易倾倒。全面采用圆角设计，安全缝隙和孔洞符合GB28007-2011儿童家具通用技术条件的要求。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微软雅黑" w:hAnsi="微软雅黑" w:eastAsia="微软雅黑" w:cs="微软雅黑"/>
                <w:b/>
                <w:i w:val="0"/>
                <w:color w:val="000000"/>
                <w:kern w:val="0"/>
                <w:sz w:val="20"/>
                <w:szCs w:val="20"/>
                <w:u w:val="none"/>
                <w:bdr w:val="single" w:color="000000" w:sz="4" w:space="0"/>
                <w:lang w:val="en-US" w:eastAsia="zh-CN" w:bidi="ar"/>
              </w:rPr>
              <w:drawing>
                <wp:anchor distT="0" distB="0" distL="114300" distR="114300" simplePos="0" relativeHeight="252128256" behindDoc="0" locked="0" layoutInCell="1" allowOverlap="1">
                  <wp:simplePos x="0" y="0"/>
                  <wp:positionH relativeFrom="column">
                    <wp:posOffset>47625</wp:posOffset>
                  </wp:positionH>
                  <wp:positionV relativeFrom="paragraph">
                    <wp:posOffset>262890</wp:posOffset>
                  </wp:positionV>
                  <wp:extent cx="715010" cy="829945"/>
                  <wp:effectExtent l="0" t="0" r="8890" b="8255"/>
                  <wp:wrapNone/>
                  <wp:docPr id="481" name="图片_23"/>
                  <wp:cNvGraphicFramePr/>
                  <a:graphic xmlns:a="http://schemas.openxmlformats.org/drawingml/2006/main">
                    <a:graphicData uri="http://schemas.openxmlformats.org/drawingml/2006/picture">
                      <pic:pic xmlns:pic="http://schemas.openxmlformats.org/drawingml/2006/picture">
                        <pic:nvPicPr>
                          <pic:cNvPr id="481" name="图片_23"/>
                          <pic:cNvPicPr/>
                        </pic:nvPicPr>
                        <pic:blipFill>
                          <a:blip r:embed="rId37"/>
                          <a:stretch>
                            <a:fillRect/>
                          </a:stretch>
                        </pic:blipFill>
                        <pic:spPr>
                          <a:xfrm>
                            <a:off x="0" y="0"/>
                            <a:ext cx="715010" cy="829945"/>
                          </a:xfrm>
                          <a:prstGeom prst="rect">
                            <a:avLst/>
                          </a:prstGeom>
                          <a:noFill/>
                          <a:ln>
                            <a:noFill/>
                          </a:ln>
                        </pic:spPr>
                      </pic:pic>
                    </a:graphicData>
                  </a:graphic>
                </wp:anchor>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 xml:space="preserve"> 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华文中宋" w:hAnsi="华文中宋" w:eastAsia="华文中宋" w:cs="华文中宋"/>
                <w:i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97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2"/>
              <w:rPr>
                <w:rFonts w:hint="default" w:eastAsia="宋体"/>
                <w:lang w:val="en-US" w:eastAsia="zh-CN"/>
              </w:rPr>
            </w:pPr>
            <w:r>
              <w:rPr>
                <w:rFonts w:hint="eastAsia"/>
                <w:lang w:val="en-US" w:eastAsia="zh-CN"/>
              </w:rPr>
              <w:t>16</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sz w:val="20"/>
                <w:szCs w:val="20"/>
                <w:lang w:val="en-US" w:eastAsia="zh-CN"/>
              </w:rPr>
            </w:pPr>
            <w:r>
              <w:rPr>
                <w:rFonts w:hint="eastAsia"/>
                <w:sz w:val="20"/>
                <w:szCs w:val="20"/>
                <w:lang w:val="en-US" w:eastAsia="zh-CN"/>
              </w:rPr>
              <w:t>童话王国-实木45度转角柜</w:t>
            </w:r>
          </w:p>
          <w:p>
            <w:pPr>
              <w:pStyle w:val="2"/>
              <w:jc w:val="left"/>
              <w:rPr>
                <w:rFonts w:hint="eastAsia"/>
                <w:sz w:val="20"/>
                <w:szCs w:val="20"/>
                <w:lang w:val="en-US" w:eastAsia="zh-CN"/>
              </w:rPr>
            </w:pPr>
            <w:r>
              <w:rPr>
                <w:rFonts w:hint="eastAsia"/>
                <w:sz w:val="20"/>
                <w:szCs w:val="20"/>
                <w:lang w:val="en-US" w:eastAsia="zh-CN"/>
              </w:rPr>
              <w:t>尺寸：50×32×57cm。</w:t>
            </w:r>
          </w:p>
          <w:p>
            <w:pPr>
              <w:pStyle w:val="2"/>
              <w:numPr>
                <w:ilvl w:val="0"/>
                <w:numId w:val="40"/>
              </w:numPr>
              <w:jc w:val="left"/>
              <w:rPr>
                <w:rFonts w:hint="eastAsia"/>
                <w:sz w:val="20"/>
                <w:szCs w:val="20"/>
                <w:lang w:val="en-US" w:eastAsia="zh-CN"/>
              </w:rPr>
            </w:pPr>
            <w:r>
              <w:rPr>
                <w:rFonts w:hint="eastAsia"/>
                <w:sz w:val="20"/>
                <w:szCs w:val="20"/>
                <w:lang w:val="en-US" w:eastAsia="zh-CN"/>
              </w:rPr>
              <w:t xml:space="preserve">柜体采用18mm厚优质环保芬兰松木，表面木纹拉丝，并环保清水油漆处理，重金属钡、铅、镉、锑、硒、铬、汞、砷等含量符合国家标准规范的要求。（提供油漆8大重金属检测报告）     </w:t>
            </w:r>
          </w:p>
          <w:p>
            <w:pPr>
              <w:pStyle w:val="2"/>
              <w:numPr>
                <w:ilvl w:val="0"/>
                <w:numId w:val="40"/>
              </w:numPr>
              <w:ind w:left="0" w:leftChars="0" w:firstLine="0" w:firstLineChars="0"/>
              <w:jc w:val="left"/>
              <w:rPr>
                <w:rFonts w:hint="eastAsia"/>
                <w:sz w:val="20"/>
                <w:szCs w:val="20"/>
                <w:lang w:val="en-US" w:eastAsia="zh-CN"/>
              </w:rPr>
            </w:pPr>
            <w:r>
              <w:rPr>
                <w:rFonts w:hint="eastAsia"/>
                <w:sz w:val="20"/>
                <w:szCs w:val="20"/>
                <w:lang w:val="en-US" w:eastAsia="zh-CN"/>
              </w:rPr>
              <w:t xml:space="preserve">耐磨、耐污、耐划伤，易清洁，耐磨测试250R无透底现象。    </w:t>
            </w:r>
          </w:p>
          <w:p>
            <w:pPr>
              <w:pStyle w:val="2"/>
              <w:numPr>
                <w:ilvl w:val="0"/>
                <w:numId w:val="40"/>
              </w:numPr>
              <w:ind w:left="0" w:leftChars="0" w:firstLine="0" w:firstLineChars="0"/>
              <w:jc w:val="left"/>
              <w:rPr>
                <w:rFonts w:hint="eastAsia"/>
                <w:sz w:val="20"/>
                <w:szCs w:val="20"/>
                <w:lang w:val="en-US" w:eastAsia="zh-CN"/>
              </w:rPr>
            </w:pPr>
            <w:r>
              <w:rPr>
                <w:rFonts w:hint="eastAsia"/>
                <w:sz w:val="20"/>
                <w:szCs w:val="20"/>
                <w:lang w:val="en-US" w:eastAsia="zh-CN"/>
              </w:rPr>
              <w:t xml:space="preserve">五金件选用环保五金，安全无毒。符合国家标准规范的要求，钡、铅、镉、锑、硒、铬、汞、砷等含量控制指标完全符合要求。（提供五金件8大重金属检测报告）    </w:t>
            </w:r>
          </w:p>
          <w:p>
            <w:pPr>
              <w:pStyle w:val="2"/>
              <w:numPr>
                <w:ilvl w:val="0"/>
                <w:numId w:val="40"/>
              </w:numPr>
              <w:ind w:left="0" w:leftChars="0" w:firstLine="0" w:firstLineChars="0"/>
              <w:jc w:val="left"/>
              <w:rPr>
                <w:rFonts w:hint="eastAsia"/>
                <w:sz w:val="20"/>
                <w:szCs w:val="20"/>
                <w:lang w:val="en-US" w:eastAsia="zh-CN"/>
              </w:rPr>
            </w:pPr>
            <w:r>
              <w:rPr>
                <w:rFonts w:hint="eastAsia"/>
                <w:sz w:val="20"/>
                <w:szCs w:val="20"/>
                <w:lang w:val="en-US" w:eastAsia="zh-CN"/>
              </w:rPr>
              <w:t xml:space="preserve">柜体底部配以耐磨塑胶PP脚钉，对地板等地面材料起到保护作用。     </w:t>
            </w:r>
          </w:p>
          <w:p>
            <w:pPr>
              <w:pStyle w:val="2"/>
              <w:numPr>
                <w:ilvl w:val="0"/>
                <w:numId w:val="40"/>
              </w:numPr>
              <w:ind w:left="0" w:leftChars="0" w:firstLine="0" w:firstLineChars="0"/>
              <w:jc w:val="left"/>
              <w:rPr>
                <w:rFonts w:hint="eastAsia"/>
                <w:sz w:val="20"/>
                <w:szCs w:val="20"/>
                <w:lang w:val="en-US" w:eastAsia="zh-CN"/>
              </w:rPr>
            </w:pPr>
            <w:r>
              <w:rPr>
                <w:rFonts w:hint="eastAsia"/>
                <w:sz w:val="20"/>
                <w:szCs w:val="20"/>
                <w:lang w:val="en-US" w:eastAsia="zh-CN"/>
              </w:rPr>
              <w:t xml:space="preserve">采用中空形式，用于各柜的转角连接。    </w:t>
            </w:r>
          </w:p>
          <w:p>
            <w:pPr>
              <w:pStyle w:val="2"/>
              <w:numPr>
                <w:ilvl w:val="0"/>
                <w:numId w:val="0"/>
              </w:numPr>
              <w:ind w:leftChars="0"/>
              <w:jc w:val="left"/>
              <w:rPr>
                <w:rFonts w:hint="eastAsia"/>
                <w:sz w:val="20"/>
                <w:szCs w:val="20"/>
                <w:lang w:val="en-US" w:eastAsia="zh-CN"/>
              </w:rPr>
            </w:pPr>
            <w:r>
              <w:rPr>
                <w:rFonts w:hint="eastAsia"/>
                <w:sz w:val="20"/>
                <w:szCs w:val="20"/>
                <w:lang w:val="en-US" w:eastAsia="zh-CN"/>
              </w:rPr>
              <w:t>6、采用顶板盖侧板的设计方式，保证了柜体表面的平整性。边角安全防撞设计，对所有的外露面、外漏角进行弧状倒角设计，避免锐角的产生，最大程度的避免儿童磕碰伤害，符合GB28007-2011儿童家具通用技术条件的要求。结构稳固，不易倾倒。全面采用圆角设计，安全缝隙和孔洞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微软雅黑" w:hAnsi="微软雅黑" w:eastAsia="微软雅黑" w:cs="微软雅黑"/>
                <w:b/>
                <w:i w:val="0"/>
                <w:color w:val="000000"/>
                <w:kern w:val="0"/>
                <w:sz w:val="20"/>
                <w:szCs w:val="20"/>
                <w:u w:val="none"/>
                <w:bdr w:val="single" w:color="000000" w:sz="4" w:space="0"/>
                <w:lang w:val="en-US" w:eastAsia="zh-CN" w:bidi="ar"/>
              </w:rPr>
              <w:drawing>
                <wp:anchor distT="0" distB="0" distL="114300" distR="114300" simplePos="0" relativeHeight="252129280" behindDoc="0" locked="0" layoutInCell="1" allowOverlap="1">
                  <wp:simplePos x="0" y="0"/>
                  <wp:positionH relativeFrom="column">
                    <wp:posOffset>1270</wp:posOffset>
                  </wp:positionH>
                  <wp:positionV relativeFrom="paragraph">
                    <wp:posOffset>597535</wp:posOffset>
                  </wp:positionV>
                  <wp:extent cx="762000" cy="1066800"/>
                  <wp:effectExtent l="0" t="0" r="0" b="0"/>
                  <wp:wrapNone/>
                  <wp:docPr id="482" name="图片_24"/>
                  <wp:cNvGraphicFramePr/>
                  <a:graphic xmlns:a="http://schemas.openxmlformats.org/drawingml/2006/main">
                    <a:graphicData uri="http://schemas.openxmlformats.org/drawingml/2006/picture">
                      <pic:pic xmlns:pic="http://schemas.openxmlformats.org/drawingml/2006/picture">
                        <pic:nvPicPr>
                          <pic:cNvPr id="482" name="图片_24"/>
                          <pic:cNvPicPr/>
                        </pic:nvPicPr>
                        <pic:blipFill>
                          <a:blip r:embed="rId38"/>
                          <a:stretch>
                            <a:fillRect/>
                          </a:stretch>
                        </pic:blipFill>
                        <pic:spPr>
                          <a:xfrm>
                            <a:off x="0" y="0"/>
                            <a:ext cx="762000" cy="1066800"/>
                          </a:xfrm>
                          <a:prstGeom prst="rect">
                            <a:avLst/>
                          </a:prstGeom>
                          <a:noFill/>
                          <a:ln>
                            <a:noFill/>
                          </a:ln>
                        </pic:spPr>
                      </pic:pic>
                    </a:graphicData>
                  </a:graphic>
                </wp:anchor>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华文中宋" w:hAnsi="华文中宋" w:eastAsia="华文中宋" w:cs="华文中宋"/>
                <w:i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97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2"/>
              <w:rPr>
                <w:rFonts w:hint="default" w:eastAsia="宋体"/>
                <w:lang w:val="en-US" w:eastAsia="zh-CN"/>
              </w:rPr>
            </w:pPr>
            <w:r>
              <w:rPr>
                <w:rFonts w:hint="eastAsia"/>
                <w:lang w:val="en-US" w:eastAsia="zh-CN"/>
              </w:rPr>
              <w:t>17</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sz w:val="20"/>
                <w:szCs w:val="20"/>
                <w:lang w:val="en-US" w:eastAsia="zh-CN"/>
              </w:rPr>
            </w:pPr>
            <w:r>
              <w:rPr>
                <w:rFonts w:hint="eastAsia"/>
                <w:sz w:val="20"/>
                <w:szCs w:val="20"/>
                <w:lang w:val="en-US" w:eastAsia="zh-CN"/>
              </w:rPr>
              <w:t>童话王国-实木系统图书柜</w:t>
            </w:r>
          </w:p>
          <w:p>
            <w:pPr>
              <w:pStyle w:val="2"/>
              <w:jc w:val="left"/>
              <w:rPr>
                <w:rFonts w:hint="eastAsia"/>
                <w:sz w:val="20"/>
                <w:szCs w:val="20"/>
                <w:lang w:val="en-US" w:eastAsia="zh-CN"/>
              </w:rPr>
            </w:pPr>
            <w:r>
              <w:rPr>
                <w:rFonts w:hint="eastAsia"/>
                <w:sz w:val="20"/>
                <w:szCs w:val="20"/>
                <w:lang w:val="en-US" w:eastAsia="zh-CN"/>
              </w:rPr>
              <w:t>尺寸：64×30×57cm。</w:t>
            </w:r>
          </w:p>
          <w:p>
            <w:pPr>
              <w:pStyle w:val="2"/>
              <w:numPr>
                <w:ilvl w:val="0"/>
                <w:numId w:val="41"/>
              </w:numPr>
              <w:jc w:val="left"/>
              <w:rPr>
                <w:rFonts w:hint="eastAsia"/>
                <w:sz w:val="20"/>
                <w:szCs w:val="20"/>
                <w:lang w:val="en-US" w:eastAsia="zh-CN"/>
              </w:rPr>
            </w:pPr>
            <w:r>
              <w:rPr>
                <w:rFonts w:hint="eastAsia"/>
                <w:sz w:val="20"/>
                <w:szCs w:val="20"/>
                <w:lang w:val="en-US" w:eastAsia="zh-CN"/>
              </w:rPr>
              <w:t xml:space="preserve">柜体采用18mm厚优质环保芬兰松木，表面木纹拉丝，并环保清水油漆处理，重金属钡、铅、镉、锑、硒、铬、汞、砷等含量符合国家标准规范的要求。（提供油漆8大重金属检测报告）    </w:t>
            </w:r>
          </w:p>
          <w:p>
            <w:pPr>
              <w:pStyle w:val="2"/>
              <w:numPr>
                <w:ilvl w:val="0"/>
                <w:numId w:val="41"/>
              </w:numPr>
              <w:ind w:left="0" w:leftChars="0" w:firstLine="0" w:firstLineChars="0"/>
              <w:jc w:val="left"/>
              <w:rPr>
                <w:rFonts w:hint="eastAsia"/>
                <w:sz w:val="20"/>
                <w:szCs w:val="20"/>
                <w:lang w:val="en-US" w:eastAsia="zh-CN"/>
              </w:rPr>
            </w:pPr>
            <w:r>
              <w:rPr>
                <w:rFonts w:hint="eastAsia"/>
                <w:sz w:val="20"/>
                <w:szCs w:val="20"/>
                <w:lang w:val="en-US" w:eastAsia="zh-CN"/>
              </w:rPr>
              <w:t xml:space="preserve">耐磨、耐污、耐划伤，易清洁，耐磨测试250R无透底现象。    </w:t>
            </w:r>
          </w:p>
          <w:p>
            <w:pPr>
              <w:pStyle w:val="2"/>
              <w:numPr>
                <w:ilvl w:val="0"/>
                <w:numId w:val="41"/>
              </w:numPr>
              <w:ind w:left="0" w:leftChars="0" w:firstLine="0" w:firstLineChars="0"/>
              <w:jc w:val="left"/>
              <w:rPr>
                <w:rFonts w:hint="eastAsia"/>
                <w:sz w:val="20"/>
                <w:szCs w:val="20"/>
                <w:lang w:val="en-US" w:eastAsia="zh-CN"/>
              </w:rPr>
            </w:pPr>
            <w:r>
              <w:rPr>
                <w:rFonts w:hint="eastAsia"/>
                <w:sz w:val="20"/>
                <w:szCs w:val="20"/>
                <w:lang w:val="en-US" w:eastAsia="zh-CN"/>
              </w:rPr>
              <w:t xml:space="preserve">五金件选用环保五金，安全无毒。符合国家标准规范的要求，钡、铅、镉、锑、硒、铬、汞、砷等含量控制指标完全符合要求。（提供五金件8大重金属检测报告）    </w:t>
            </w:r>
          </w:p>
          <w:p>
            <w:pPr>
              <w:pStyle w:val="2"/>
              <w:numPr>
                <w:ilvl w:val="0"/>
                <w:numId w:val="41"/>
              </w:numPr>
              <w:ind w:left="0" w:leftChars="0" w:firstLine="0" w:firstLineChars="0"/>
              <w:jc w:val="left"/>
              <w:rPr>
                <w:rFonts w:hint="eastAsia"/>
                <w:sz w:val="20"/>
                <w:szCs w:val="20"/>
                <w:lang w:val="en-US" w:eastAsia="zh-CN"/>
              </w:rPr>
            </w:pPr>
            <w:r>
              <w:rPr>
                <w:rFonts w:hint="eastAsia"/>
                <w:sz w:val="20"/>
                <w:szCs w:val="20"/>
                <w:lang w:val="en-US" w:eastAsia="zh-CN"/>
              </w:rPr>
              <w:t xml:space="preserve">柜体底部配以耐磨塑胶PP脚钉，对地板等地面材料起到保护作用。    </w:t>
            </w:r>
          </w:p>
          <w:p>
            <w:pPr>
              <w:pStyle w:val="2"/>
              <w:numPr>
                <w:ilvl w:val="0"/>
                <w:numId w:val="41"/>
              </w:numPr>
              <w:ind w:left="0" w:leftChars="0" w:firstLine="0" w:firstLineChars="0"/>
              <w:jc w:val="left"/>
              <w:rPr>
                <w:rFonts w:hint="eastAsia"/>
                <w:sz w:val="20"/>
                <w:szCs w:val="20"/>
                <w:lang w:val="en-US" w:eastAsia="zh-CN"/>
              </w:rPr>
            </w:pPr>
            <w:r>
              <w:rPr>
                <w:rFonts w:hint="eastAsia"/>
                <w:sz w:val="20"/>
                <w:szCs w:val="20"/>
                <w:lang w:val="en-US" w:eastAsia="zh-CN"/>
              </w:rPr>
              <w:t xml:space="preserve">共有二层，下层采用传统的立式存放空间，上层正面采用透明亚克力板作为挡板，便于儿童查找及取阅图书。    </w:t>
            </w:r>
          </w:p>
          <w:p>
            <w:pPr>
              <w:pStyle w:val="2"/>
              <w:numPr>
                <w:ilvl w:val="0"/>
                <w:numId w:val="0"/>
              </w:numPr>
              <w:ind w:leftChars="0"/>
              <w:jc w:val="left"/>
              <w:rPr>
                <w:rFonts w:hint="eastAsia"/>
                <w:sz w:val="20"/>
                <w:szCs w:val="20"/>
                <w:lang w:val="en-US" w:eastAsia="zh-CN"/>
              </w:rPr>
            </w:pPr>
            <w:r>
              <w:rPr>
                <w:rFonts w:hint="eastAsia"/>
                <w:sz w:val="20"/>
                <w:szCs w:val="20"/>
                <w:lang w:val="en-US" w:eastAsia="zh-CN"/>
              </w:rPr>
              <w:t>6、采用踢脚板设计，即增加了稳定性，又可以防止杂物进入柜底。边角安全防撞设计，对所有的外露面、外漏角进行弧状倒角设计，避免锐角的产生，最大程度的避免儿童磕碰伤害，符合GB28007-2011儿童家具通用技术条件的要求。结构稳固，不易倾倒。全面采用圆角设计，安全缝隙和孔洞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微软雅黑" w:hAnsi="微软雅黑" w:eastAsia="微软雅黑" w:cs="微软雅黑"/>
                <w:b/>
                <w:i w:val="0"/>
                <w:color w:val="000000"/>
                <w:kern w:val="0"/>
                <w:sz w:val="20"/>
                <w:szCs w:val="20"/>
                <w:u w:val="none"/>
                <w:bdr w:val="single" w:color="000000" w:sz="4" w:space="0"/>
                <w:lang w:val="en-US" w:eastAsia="zh-CN" w:bidi="ar"/>
              </w:rPr>
              <w:drawing>
                <wp:anchor distT="0" distB="0" distL="114300" distR="114300" simplePos="0" relativeHeight="252130304" behindDoc="0" locked="0" layoutInCell="1" allowOverlap="1">
                  <wp:simplePos x="0" y="0"/>
                  <wp:positionH relativeFrom="column">
                    <wp:posOffset>85725</wp:posOffset>
                  </wp:positionH>
                  <wp:positionV relativeFrom="paragraph">
                    <wp:posOffset>219075</wp:posOffset>
                  </wp:positionV>
                  <wp:extent cx="666115" cy="914400"/>
                  <wp:effectExtent l="0" t="0" r="635" b="0"/>
                  <wp:wrapNone/>
                  <wp:docPr id="483" name="图片_25"/>
                  <wp:cNvGraphicFramePr/>
                  <a:graphic xmlns:a="http://schemas.openxmlformats.org/drawingml/2006/main">
                    <a:graphicData uri="http://schemas.openxmlformats.org/drawingml/2006/picture">
                      <pic:pic xmlns:pic="http://schemas.openxmlformats.org/drawingml/2006/picture">
                        <pic:nvPicPr>
                          <pic:cNvPr id="483" name="图片_25"/>
                          <pic:cNvPicPr/>
                        </pic:nvPicPr>
                        <pic:blipFill>
                          <a:blip r:embed="rId68"/>
                          <a:stretch>
                            <a:fillRect/>
                          </a:stretch>
                        </pic:blipFill>
                        <pic:spPr>
                          <a:xfrm>
                            <a:off x="0" y="0"/>
                            <a:ext cx="666115" cy="914400"/>
                          </a:xfrm>
                          <a:prstGeom prst="rect">
                            <a:avLst/>
                          </a:prstGeom>
                          <a:noFill/>
                          <a:ln>
                            <a:noFill/>
                          </a:ln>
                        </pic:spPr>
                      </pic:pic>
                    </a:graphicData>
                  </a:graphic>
                </wp:anchor>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华文中宋" w:hAnsi="华文中宋" w:eastAsia="华文中宋" w:cs="华文中宋"/>
                <w:i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97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2"/>
              <w:rPr>
                <w:rFonts w:hint="default" w:eastAsia="宋体"/>
                <w:lang w:val="en-US" w:eastAsia="zh-CN"/>
              </w:rPr>
            </w:pPr>
            <w:r>
              <w:rPr>
                <w:rFonts w:hint="eastAsia"/>
                <w:lang w:val="en-US" w:eastAsia="zh-CN"/>
              </w:rPr>
              <w:t>18</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sz w:val="20"/>
                <w:szCs w:val="20"/>
                <w:lang w:val="en-US" w:eastAsia="zh-CN"/>
              </w:rPr>
            </w:pPr>
            <w:r>
              <w:rPr>
                <w:rFonts w:hint="eastAsia"/>
                <w:sz w:val="20"/>
                <w:szCs w:val="20"/>
                <w:lang w:val="en-US" w:eastAsia="zh-CN"/>
              </w:rPr>
              <w:t>童话王国-实木中空5格柜</w:t>
            </w:r>
          </w:p>
          <w:p>
            <w:pPr>
              <w:pStyle w:val="2"/>
              <w:jc w:val="left"/>
              <w:rPr>
                <w:rFonts w:hint="eastAsia"/>
                <w:sz w:val="20"/>
                <w:szCs w:val="20"/>
                <w:lang w:val="en-US" w:eastAsia="zh-CN"/>
              </w:rPr>
            </w:pPr>
            <w:r>
              <w:rPr>
                <w:rFonts w:hint="eastAsia"/>
                <w:sz w:val="20"/>
                <w:szCs w:val="20"/>
                <w:lang w:val="en-US" w:eastAsia="zh-CN"/>
              </w:rPr>
              <w:t>尺寸：111×30×57.2cm。1、柜体采用18mm厚优质环保芬兰松木，表面木纹拉丝，并环保清水油漆处理，重金属钡、铅、镉、锑、硒、铬、汞、砷等含量符合国家标准规范的要求。（提供油漆8大重金属检测报告）    2、耐磨、耐污、耐划伤，易清洁，耐磨测试250R无透底现象。    3、五金件选用环保五金，安全无毒。符合国家标准规范的要求，钡、铅、镉、锑、硒、铬、汞、砷等含量控制指标完全符合要求。（提供五金件8大重金属检测报告）    4、采用顶板盖侧板的设计方式，保证了柜体表面的平整性。柜体底部配以耐磨塑胶PP脚钉，对地板等地面材料起到保护作用。    5、采用踢脚板设计，即增加了稳定性，又可以防止杂物进入柜底。边角安全防撞设计，对所有的外露面、外漏角进行弧状倒角设计，避免锐角的产生，最大程度的避免儿童磕碰伤害，符合GB28007-2011儿童家具通用技术条件的要求。结构稳固，不易倾倒。全面采用圆角设计，安全缝隙和孔洞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drawing>
                <wp:inline distT="0" distB="0" distL="114300" distR="114300">
                  <wp:extent cx="784225" cy="914400"/>
                  <wp:effectExtent l="0" t="0" r="15875" b="0"/>
                  <wp:docPr id="484" name="图片 26" descr="E:\报价用图\2019\KB1-TKB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26" descr="E:\报价用图\2019\KB1-TKB004.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784225" cy="914400"/>
                          </a:xfrm>
                          <a:prstGeom prst="rect">
                            <a:avLst/>
                          </a:prstGeom>
                          <a:noFill/>
                          <a:ln>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3711360" behindDoc="0" locked="0" layoutInCell="1" allowOverlap="1">
                  <wp:simplePos x="0" y="0"/>
                  <wp:positionH relativeFrom="column">
                    <wp:posOffset>0</wp:posOffset>
                  </wp:positionH>
                  <wp:positionV relativeFrom="paragraph">
                    <wp:posOffset>0</wp:posOffset>
                  </wp:positionV>
                  <wp:extent cx="831850" cy="809625"/>
                  <wp:effectExtent l="0" t="0" r="0" b="0"/>
                  <wp:wrapNone/>
                  <wp:docPr id="542" name="AutoShape_413"/>
                  <wp:cNvGraphicFramePr/>
                  <a:graphic xmlns:a="http://schemas.openxmlformats.org/drawingml/2006/main">
                    <a:graphicData uri="http://schemas.openxmlformats.org/drawingml/2006/picture">
                      <pic:pic xmlns:pic="http://schemas.openxmlformats.org/drawingml/2006/picture">
                        <pic:nvPicPr>
                          <pic:cNvPr id="542" name="AutoShape_413"/>
                          <pic:cNvPicPr/>
                        </pic:nvPicPr>
                        <pic:blipFill>
                          <a:blip r:embed="rId70"/>
                          <a:stretch>
                            <a:fillRect/>
                          </a:stretch>
                        </pic:blipFill>
                        <pic:spPr>
                          <a:xfrm>
                            <a:off x="0" y="0"/>
                            <a:ext cx="831850" cy="809625"/>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3711360" behindDoc="0" locked="0" layoutInCell="1" allowOverlap="1">
                  <wp:simplePos x="0" y="0"/>
                  <wp:positionH relativeFrom="column">
                    <wp:posOffset>0</wp:posOffset>
                  </wp:positionH>
                  <wp:positionV relativeFrom="paragraph">
                    <wp:posOffset>0</wp:posOffset>
                  </wp:positionV>
                  <wp:extent cx="1189990" cy="1358900"/>
                  <wp:effectExtent l="0" t="0" r="0" b="0"/>
                  <wp:wrapNone/>
                  <wp:docPr id="543" name="AutoShape_31"/>
                  <wp:cNvGraphicFramePr/>
                  <a:graphic xmlns:a="http://schemas.openxmlformats.org/drawingml/2006/main">
                    <a:graphicData uri="http://schemas.openxmlformats.org/drawingml/2006/picture">
                      <pic:pic xmlns:pic="http://schemas.openxmlformats.org/drawingml/2006/picture">
                        <pic:nvPicPr>
                          <pic:cNvPr id="543" name="AutoShape_31"/>
                          <pic:cNvPicPr/>
                        </pic:nvPicPr>
                        <pic:blipFill>
                          <a:blip r:embed="rId71"/>
                          <a:stretch>
                            <a:fillRect/>
                          </a:stretch>
                        </pic:blipFill>
                        <pic:spPr>
                          <a:xfrm>
                            <a:off x="0" y="0"/>
                            <a:ext cx="1189990" cy="135890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3711360" behindDoc="0" locked="0" layoutInCell="1" allowOverlap="1">
                  <wp:simplePos x="0" y="0"/>
                  <wp:positionH relativeFrom="column">
                    <wp:posOffset>0</wp:posOffset>
                  </wp:positionH>
                  <wp:positionV relativeFrom="paragraph">
                    <wp:posOffset>0</wp:posOffset>
                  </wp:positionV>
                  <wp:extent cx="1189990" cy="1358900"/>
                  <wp:effectExtent l="0" t="0" r="0" b="0"/>
                  <wp:wrapNone/>
                  <wp:docPr id="544" name="AutoShape_30"/>
                  <wp:cNvGraphicFramePr/>
                  <a:graphic xmlns:a="http://schemas.openxmlformats.org/drawingml/2006/main">
                    <a:graphicData uri="http://schemas.openxmlformats.org/drawingml/2006/picture">
                      <pic:pic xmlns:pic="http://schemas.openxmlformats.org/drawingml/2006/picture">
                        <pic:nvPicPr>
                          <pic:cNvPr id="544" name="AutoShape_30"/>
                          <pic:cNvPicPr/>
                        </pic:nvPicPr>
                        <pic:blipFill>
                          <a:blip r:embed="rId71"/>
                          <a:stretch>
                            <a:fillRect/>
                          </a:stretch>
                        </pic:blipFill>
                        <pic:spPr>
                          <a:xfrm>
                            <a:off x="0" y="0"/>
                            <a:ext cx="1189990" cy="135890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3711360" behindDoc="0" locked="0" layoutInCell="1" allowOverlap="1">
                  <wp:simplePos x="0" y="0"/>
                  <wp:positionH relativeFrom="column">
                    <wp:posOffset>0</wp:posOffset>
                  </wp:positionH>
                  <wp:positionV relativeFrom="paragraph">
                    <wp:posOffset>0</wp:posOffset>
                  </wp:positionV>
                  <wp:extent cx="1189990" cy="1358900"/>
                  <wp:effectExtent l="0" t="0" r="0" b="0"/>
                  <wp:wrapNone/>
                  <wp:docPr id="545" name="AutoShape_30_SpCnt_1"/>
                  <wp:cNvGraphicFramePr/>
                  <a:graphic xmlns:a="http://schemas.openxmlformats.org/drawingml/2006/main">
                    <a:graphicData uri="http://schemas.openxmlformats.org/drawingml/2006/picture">
                      <pic:pic xmlns:pic="http://schemas.openxmlformats.org/drawingml/2006/picture">
                        <pic:nvPicPr>
                          <pic:cNvPr id="545" name="AutoShape_30_SpCnt_1"/>
                          <pic:cNvPicPr/>
                        </pic:nvPicPr>
                        <pic:blipFill>
                          <a:blip r:embed="rId71"/>
                          <a:stretch>
                            <a:fillRect/>
                          </a:stretch>
                        </pic:blipFill>
                        <pic:spPr>
                          <a:xfrm>
                            <a:off x="0" y="0"/>
                            <a:ext cx="1189990" cy="135890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3711360" behindDoc="0" locked="0" layoutInCell="1" allowOverlap="1">
                  <wp:simplePos x="0" y="0"/>
                  <wp:positionH relativeFrom="column">
                    <wp:posOffset>0</wp:posOffset>
                  </wp:positionH>
                  <wp:positionV relativeFrom="paragraph">
                    <wp:posOffset>0</wp:posOffset>
                  </wp:positionV>
                  <wp:extent cx="831850" cy="809625"/>
                  <wp:effectExtent l="0" t="0" r="0" b="0"/>
                  <wp:wrapNone/>
                  <wp:docPr id="546" name="AutoShape_487"/>
                  <wp:cNvGraphicFramePr/>
                  <a:graphic xmlns:a="http://schemas.openxmlformats.org/drawingml/2006/main">
                    <a:graphicData uri="http://schemas.openxmlformats.org/drawingml/2006/picture">
                      <pic:pic xmlns:pic="http://schemas.openxmlformats.org/drawingml/2006/picture">
                        <pic:nvPicPr>
                          <pic:cNvPr id="546" name="AutoShape_487"/>
                          <pic:cNvPicPr/>
                        </pic:nvPicPr>
                        <pic:blipFill>
                          <a:blip r:embed="rId45"/>
                          <a:stretch>
                            <a:fillRect/>
                          </a:stretch>
                        </pic:blipFill>
                        <pic:spPr>
                          <a:xfrm>
                            <a:off x="0" y="0"/>
                            <a:ext cx="831850" cy="809625"/>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3711360" behindDoc="0" locked="0" layoutInCell="1" allowOverlap="1">
                  <wp:simplePos x="0" y="0"/>
                  <wp:positionH relativeFrom="column">
                    <wp:posOffset>0</wp:posOffset>
                  </wp:positionH>
                  <wp:positionV relativeFrom="paragraph">
                    <wp:posOffset>0</wp:posOffset>
                  </wp:positionV>
                  <wp:extent cx="831850" cy="809625"/>
                  <wp:effectExtent l="0" t="0" r="0" b="0"/>
                  <wp:wrapNone/>
                  <wp:docPr id="547" name="AutoShape_487_SpCnt_1"/>
                  <wp:cNvGraphicFramePr/>
                  <a:graphic xmlns:a="http://schemas.openxmlformats.org/drawingml/2006/main">
                    <a:graphicData uri="http://schemas.openxmlformats.org/drawingml/2006/picture">
                      <pic:pic xmlns:pic="http://schemas.openxmlformats.org/drawingml/2006/picture">
                        <pic:nvPicPr>
                          <pic:cNvPr id="547" name="AutoShape_487_SpCnt_1"/>
                          <pic:cNvPicPr/>
                        </pic:nvPicPr>
                        <pic:blipFill>
                          <a:blip r:embed="rId45"/>
                          <a:stretch>
                            <a:fillRect/>
                          </a:stretch>
                        </pic:blipFill>
                        <pic:spPr>
                          <a:xfrm>
                            <a:off x="0" y="0"/>
                            <a:ext cx="831850" cy="809625"/>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3711360" behindDoc="0" locked="0" layoutInCell="1" allowOverlap="1">
                  <wp:simplePos x="0" y="0"/>
                  <wp:positionH relativeFrom="column">
                    <wp:posOffset>0</wp:posOffset>
                  </wp:positionH>
                  <wp:positionV relativeFrom="paragraph">
                    <wp:posOffset>0</wp:posOffset>
                  </wp:positionV>
                  <wp:extent cx="1189990" cy="1358900"/>
                  <wp:effectExtent l="0" t="0" r="0" b="0"/>
                  <wp:wrapNone/>
                  <wp:docPr id="548" name="AutoShape_31_SpCnt_1"/>
                  <wp:cNvGraphicFramePr/>
                  <a:graphic xmlns:a="http://schemas.openxmlformats.org/drawingml/2006/main">
                    <a:graphicData uri="http://schemas.openxmlformats.org/drawingml/2006/picture">
                      <pic:pic xmlns:pic="http://schemas.openxmlformats.org/drawingml/2006/picture">
                        <pic:nvPicPr>
                          <pic:cNvPr id="548" name="AutoShape_31_SpCnt_1"/>
                          <pic:cNvPicPr/>
                        </pic:nvPicPr>
                        <pic:blipFill>
                          <a:blip r:embed="rId71"/>
                          <a:stretch>
                            <a:fillRect/>
                          </a:stretch>
                        </pic:blipFill>
                        <pic:spPr>
                          <a:xfrm>
                            <a:off x="0" y="0"/>
                            <a:ext cx="1189990" cy="135890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3711360" behindDoc="0" locked="0" layoutInCell="1" allowOverlap="1">
                  <wp:simplePos x="0" y="0"/>
                  <wp:positionH relativeFrom="column">
                    <wp:posOffset>0</wp:posOffset>
                  </wp:positionH>
                  <wp:positionV relativeFrom="paragraph">
                    <wp:posOffset>0</wp:posOffset>
                  </wp:positionV>
                  <wp:extent cx="831850" cy="809625"/>
                  <wp:effectExtent l="0" t="0" r="0" b="0"/>
                  <wp:wrapNone/>
                  <wp:docPr id="549" name="AutoShape_413_SpCnt_1"/>
                  <wp:cNvGraphicFramePr/>
                  <a:graphic xmlns:a="http://schemas.openxmlformats.org/drawingml/2006/main">
                    <a:graphicData uri="http://schemas.openxmlformats.org/drawingml/2006/picture">
                      <pic:pic xmlns:pic="http://schemas.openxmlformats.org/drawingml/2006/picture">
                        <pic:nvPicPr>
                          <pic:cNvPr id="549" name="AutoShape_413_SpCnt_1"/>
                          <pic:cNvPicPr/>
                        </pic:nvPicPr>
                        <pic:blipFill>
                          <a:blip r:embed="rId45"/>
                          <a:stretch>
                            <a:fillRect/>
                          </a:stretch>
                        </pic:blipFill>
                        <pic:spPr>
                          <a:xfrm>
                            <a:off x="0" y="0"/>
                            <a:ext cx="831850" cy="809625"/>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3711360" behindDoc="0" locked="0" layoutInCell="1" allowOverlap="1">
                  <wp:simplePos x="0" y="0"/>
                  <wp:positionH relativeFrom="column">
                    <wp:posOffset>0</wp:posOffset>
                  </wp:positionH>
                  <wp:positionV relativeFrom="paragraph">
                    <wp:posOffset>0</wp:posOffset>
                  </wp:positionV>
                  <wp:extent cx="1189990" cy="1358900"/>
                  <wp:effectExtent l="0" t="0" r="0" b="0"/>
                  <wp:wrapNone/>
                  <wp:docPr id="550" name="AutoShape_30_SpCnt_2"/>
                  <wp:cNvGraphicFramePr/>
                  <a:graphic xmlns:a="http://schemas.openxmlformats.org/drawingml/2006/main">
                    <a:graphicData uri="http://schemas.openxmlformats.org/drawingml/2006/picture">
                      <pic:pic xmlns:pic="http://schemas.openxmlformats.org/drawingml/2006/picture">
                        <pic:nvPicPr>
                          <pic:cNvPr id="550" name="AutoShape_30_SpCnt_2"/>
                          <pic:cNvPicPr/>
                        </pic:nvPicPr>
                        <pic:blipFill>
                          <a:blip r:embed="rId71"/>
                          <a:stretch>
                            <a:fillRect/>
                          </a:stretch>
                        </pic:blipFill>
                        <pic:spPr>
                          <a:xfrm>
                            <a:off x="0" y="0"/>
                            <a:ext cx="1189990" cy="135890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3711360" behindDoc="0" locked="0" layoutInCell="1" allowOverlap="1">
                  <wp:simplePos x="0" y="0"/>
                  <wp:positionH relativeFrom="column">
                    <wp:posOffset>0</wp:posOffset>
                  </wp:positionH>
                  <wp:positionV relativeFrom="paragraph">
                    <wp:posOffset>0</wp:posOffset>
                  </wp:positionV>
                  <wp:extent cx="831850" cy="809625"/>
                  <wp:effectExtent l="0" t="0" r="0" b="0"/>
                  <wp:wrapNone/>
                  <wp:docPr id="551" name="AutoShape_413_SpCnt_2"/>
                  <wp:cNvGraphicFramePr/>
                  <a:graphic xmlns:a="http://schemas.openxmlformats.org/drawingml/2006/main">
                    <a:graphicData uri="http://schemas.openxmlformats.org/drawingml/2006/picture">
                      <pic:pic xmlns:pic="http://schemas.openxmlformats.org/drawingml/2006/picture">
                        <pic:nvPicPr>
                          <pic:cNvPr id="551" name="AutoShape_413_SpCnt_2"/>
                          <pic:cNvPicPr/>
                        </pic:nvPicPr>
                        <pic:blipFill>
                          <a:blip r:embed="rId45"/>
                          <a:stretch>
                            <a:fillRect/>
                          </a:stretch>
                        </pic:blipFill>
                        <pic:spPr>
                          <a:xfrm>
                            <a:off x="0" y="0"/>
                            <a:ext cx="831850" cy="809625"/>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3711360" behindDoc="0" locked="0" layoutInCell="1" allowOverlap="1">
                  <wp:simplePos x="0" y="0"/>
                  <wp:positionH relativeFrom="column">
                    <wp:posOffset>0</wp:posOffset>
                  </wp:positionH>
                  <wp:positionV relativeFrom="paragraph">
                    <wp:posOffset>0</wp:posOffset>
                  </wp:positionV>
                  <wp:extent cx="1189990" cy="1273810"/>
                  <wp:effectExtent l="0" t="0" r="0" b="0"/>
                  <wp:wrapNone/>
                  <wp:docPr id="552" name="AutoShape_30_SpCnt_3"/>
                  <wp:cNvGraphicFramePr/>
                  <a:graphic xmlns:a="http://schemas.openxmlformats.org/drawingml/2006/main">
                    <a:graphicData uri="http://schemas.openxmlformats.org/drawingml/2006/picture">
                      <pic:pic xmlns:pic="http://schemas.openxmlformats.org/drawingml/2006/picture">
                        <pic:nvPicPr>
                          <pic:cNvPr id="552" name="AutoShape_30_SpCnt_3"/>
                          <pic:cNvPicPr/>
                        </pic:nvPicPr>
                        <pic:blipFill>
                          <a:blip r:embed="rId72"/>
                          <a:stretch>
                            <a:fillRect/>
                          </a:stretch>
                        </pic:blipFill>
                        <pic:spPr>
                          <a:xfrm>
                            <a:off x="0" y="0"/>
                            <a:ext cx="1189990" cy="127381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3711360" behindDoc="0" locked="0" layoutInCell="1" allowOverlap="1">
                  <wp:simplePos x="0" y="0"/>
                  <wp:positionH relativeFrom="column">
                    <wp:posOffset>0</wp:posOffset>
                  </wp:positionH>
                  <wp:positionV relativeFrom="paragraph">
                    <wp:posOffset>0</wp:posOffset>
                  </wp:positionV>
                  <wp:extent cx="1189990" cy="1273810"/>
                  <wp:effectExtent l="0" t="0" r="0" b="0"/>
                  <wp:wrapNone/>
                  <wp:docPr id="553" name="AutoShape_30_SpCnt_4"/>
                  <wp:cNvGraphicFramePr/>
                  <a:graphic xmlns:a="http://schemas.openxmlformats.org/drawingml/2006/main">
                    <a:graphicData uri="http://schemas.openxmlformats.org/drawingml/2006/picture">
                      <pic:pic xmlns:pic="http://schemas.openxmlformats.org/drawingml/2006/picture">
                        <pic:nvPicPr>
                          <pic:cNvPr id="553" name="AutoShape_30_SpCnt_4"/>
                          <pic:cNvPicPr/>
                        </pic:nvPicPr>
                        <pic:blipFill>
                          <a:blip r:embed="rId72"/>
                          <a:stretch>
                            <a:fillRect/>
                          </a:stretch>
                        </pic:blipFill>
                        <pic:spPr>
                          <a:xfrm>
                            <a:off x="0" y="0"/>
                            <a:ext cx="1189990" cy="127381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3711360" behindDoc="0" locked="0" layoutInCell="1" allowOverlap="1">
                  <wp:simplePos x="0" y="0"/>
                  <wp:positionH relativeFrom="column">
                    <wp:posOffset>0</wp:posOffset>
                  </wp:positionH>
                  <wp:positionV relativeFrom="paragraph">
                    <wp:posOffset>0</wp:posOffset>
                  </wp:positionV>
                  <wp:extent cx="831850" cy="809625"/>
                  <wp:effectExtent l="0" t="0" r="0" b="0"/>
                  <wp:wrapNone/>
                  <wp:docPr id="554" name="AutoShape_413_SpCnt_3"/>
                  <wp:cNvGraphicFramePr/>
                  <a:graphic xmlns:a="http://schemas.openxmlformats.org/drawingml/2006/main">
                    <a:graphicData uri="http://schemas.openxmlformats.org/drawingml/2006/picture">
                      <pic:pic xmlns:pic="http://schemas.openxmlformats.org/drawingml/2006/picture">
                        <pic:nvPicPr>
                          <pic:cNvPr id="554" name="AutoShape_413_SpCnt_3"/>
                          <pic:cNvPicPr/>
                        </pic:nvPicPr>
                        <pic:blipFill>
                          <a:blip r:embed="rId45"/>
                          <a:stretch>
                            <a:fillRect/>
                          </a:stretch>
                        </pic:blipFill>
                        <pic:spPr>
                          <a:xfrm>
                            <a:off x="0" y="0"/>
                            <a:ext cx="831850" cy="809625"/>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3711360" behindDoc="0" locked="0" layoutInCell="1" allowOverlap="1">
                  <wp:simplePos x="0" y="0"/>
                  <wp:positionH relativeFrom="column">
                    <wp:posOffset>0</wp:posOffset>
                  </wp:positionH>
                  <wp:positionV relativeFrom="paragraph">
                    <wp:posOffset>0</wp:posOffset>
                  </wp:positionV>
                  <wp:extent cx="831850" cy="809625"/>
                  <wp:effectExtent l="0" t="0" r="0" b="0"/>
                  <wp:wrapNone/>
                  <wp:docPr id="555" name="AutoShape_413_SpCnt_4"/>
                  <wp:cNvGraphicFramePr/>
                  <a:graphic xmlns:a="http://schemas.openxmlformats.org/drawingml/2006/main">
                    <a:graphicData uri="http://schemas.openxmlformats.org/drawingml/2006/picture">
                      <pic:pic xmlns:pic="http://schemas.openxmlformats.org/drawingml/2006/picture">
                        <pic:nvPicPr>
                          <pic:cNvPr id="555" name="AutoShape_413_SpCnt_4"/>
                          <pic:cNvPicPr/>
                        </pic:nvPicPr>
                        <pic:blipFill>
                          <a:blip r:embed="rId45"/>
                          <a:stretch>
                            <a:fillRect/>
                          </a:stretch>
                        </pic:blipFill>
                        <pic:spPr>
                          <a:xfrm>
                            <a:off x="0" y="0"/>
                            <a:ext cx="831850" cy="809625"/>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3711360" behindDoc="0" locked="0" layoutInCell="1" allowOverlap="1">
                  <wp:simplePos x="0" y="0"/>
                  <wp:positionH relativeFrom="column">
                    <wp:posOffset>0</wp:posOffset>
                  </wp:positionH>
                  <wp:positionV relativeFrom="paragraph">
                    <wp:posOffset>0</wp:posOffset>
                  </wp:positionV>
                  <wp:extent cx="831850" cy="809625"/>
                  <wp:effectExtent l="0" t="0" r="0" b="0"/>
                  <wp:wrapNone/>
                  <wp:docPr id="556" name="AutoShape_413_SpCnt_5"/>
                  <wp:cNvGraphicFramePr/>
                  <a:graphic xmlns:a="http://schemas.openxmlformats.org/drawingml/2006/main">
                    <a:graphicData uri="http://schemas.openxmlformats.org/drawingml/2006/picture">
                      <pic:pic xmlns:pic="http://schemas.openxmlformats.org/drawingml/2006/picture">
                        <pic:nvPicPr>
                          <pic:cNvPr id="556" name="AutoShape_413_SpCnt_5"/>
                          <pic:cNvPicPr/>
                        </pic:nvPicPr>
                        <pic:blipFill>
                          <a:blip r:embed="rId45"/>
                          <a:stretch>
                            <a:fillRect/>
                          </a:stretch>
                        </pic:blipFill>
                        <pic:spPr>
                          <a:xfrm>
                            <a:off x="0" y="0"/>
                            <a:ext cx="831850" cy="809625"/>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3711360" behindDoc="0" locked="0" layoutInCell="1" allowOverlap="1">
                  <wp:simplePos x="0" y="0"/>
                  <wp:positionH relativeFrom="column">
                    <wp:posOffset>0</wp:posOffset>
                  </wp:positionH>
                  <wp:positionV relativeFrom="paragraph">
                    <wp:posOffset>0</wp:posOffset>
                  </wp:positionV>
                  <wp:extent cx="831850" cy="809625"/>
                  <wp:effectExtent l="0" t="0" r="0" b="0"/>
                  <wp:wrapNone/>
                  <wp:docPr id="557" name="AutoShape_487_SpCnt_2"/>
                  <wp:cNvGraphicFramePr/>
                  <a:graphic xmlns:a="http://schemas.openxmlformats.org/drawingml/2006/main">
                    <a:graphicData uri="http://schemas.openxmlformats.org/drawingml/2006/picture">
                      <pic:pic xmlns:pic="http://schemas.openxmlformats.org/drawingml/2006/picture">
                        <pic:nvPicPr>
                          <pic:cNvPr id="557" name="AutoShape_487_SpCnt_2"/>
                          <pic:cNvPicPr/>
                        </pic:nvPicPr>
                        <pic:blipFill>
                          <a:blip r:embed="rId45"/>
                          <a:stretch>
                            <a:fillRect/>
                          </a:stretch>
                        </pic:blipFill>
                        <pic:spPr>
                          <a:xfrm>
                            <a:off x="0" y="0"/>
                            <a:ext cx="831850" cy="809625"/>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3711360" behindDoc="0" locked="0" layoutInCell="1" allowOverlap="1">
                  <wp:simplePos x="0" y="0"/>
                  <wp:positionH relativeFrom="column">
                    <wp:posOffset>0</wp:posOffset>
                  </wp:positionH>
                  <wp:positionV relativeFrom="paragraph">
                    <wp:posOffset>0</wp:posOffset>
                  </wp:positionV>
                  <wp:extent cx="831850" cy="809625"/>
                  <wp:effectExtent l="0" t="0" r="0" b="0"/>
                  <wp:wrapNone/>
                  <wp:docPr id="558" name="AutoShape_413_SpCnt_6"/>
                  <wp:cNvGraphicFramePr/>
                  <a:graphic xmlns:a="http://schemas.openxmlformats.org/drawingml/2006/main">
                    <a:graphicData uri="http://schemas.openxmlformats.org/drawingml/2006/picture">
                      <pic:pic xmlns:pic="http://schemas.openxmlformats.org/drawingml/2006/picture">
                        <pic:nvPicPr>
                          <pic:cNvPr id="558" name="AutoShape_413_SpCnt_6"/>
                          <pic:cNvPicPr/>
                        </pic:nvPicPr>
                        <pic:blipFill>
                          <a:blip r:embed="rId45"/>
                          <a:stretch>
                            <a:fillRect/>
                          </a:stretch>
                        </pic:blipFill>
                        <pic:spPr>
                          <a:xfrm>
                            <a:off x="0" y="0"/>
                            <a:ext cx="831850" cy="809625"/>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3711360" behindDoc="0" locked="0" layoutInCell="1" allowOverlap="1">
                  <wp:simplePos x="0" y="0"/>
                  <wp:positionH relativeFrom="column">
                    <wp:posOffset>0</wp:posOffset>
                  </wp:positionH>
                  <wp:positionV relativeFrom="paragraph">
                    <wp:posOffset>190500</wp:posOffset>
                  </wp:positionV>
                  <wp:extent cx="1189990" cy="1273810"/>
                  <wp:effectExtent l="0" t="0" r="0" b="0"/>
                  <wp:wrapNone/>
                  <wp:docPr id="559" name="AutoShape_30_SpCnt_5"/>
                  <wp:cNvGraphicFramePr/>
                  <a:graphic xmlns:a="http://schemas.openxmlformats.org/drawingml/2006/main">
                    <a:graphicData uri="http://schemas.openxmlformats.org/drawingml/2006/picture">
                      <pic:pic xmlns:pic="http://schemas.openxmlformats.org/drawingml/2006/picture">
                        <pic:nvPicPr>
                          <pic:cNvPr id="559" name="AutoShape_30_SpCnt_5"/>
                          <pic:cNvPicPr/>
                        </pic:nvPicPr>
                        <pic:blipFill>
                          <a:blip r:embed="rId72"/>
                          <a:stretch>
                            <a:fillRect/>
                          </a:stretch>
                        </pic:blipFill>
                        <pic:spPr>
                          <a:xfrm>
                            <a:off x="0" y="0"/>
                            <a:ext cx="1189990" cy="127381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3711360" behindDoc="0" locked="0" layoutInCell="1" allowOverlap="1">
                  <wp:simplePos x="0" y="0"/>
                  <wp:positionH relativeFrom="column">
                    <wp:posOffset>57150</wp:posOffset>
                  </wp:positionH>
                  <wp:positionV relativeFrom="paragraph">
                    <wp:posOffset>0</wp:posOffset>
                  </wp:positionV>
                  <wp:extent cx="1123315" cy="1358900"/>
                  <wp:effectExtent l="0" t="0" r="0" b="0"/>
                  <wp:wrapNone/>
                  <wp:docPr id="560" name="AutoShape_31_SpCnt_2"/>
                  <wp:cNvGraphicFramePr/>
                  <a:graphic xmlns:a="http://schemas.openxmlformats.org/drawingml/2006/main">
                    <a:graphicData uri="http://schemas.openxmlformats.org/drawingml/2006/picture">
                      <pic:pic xmlns:pic="http://schemas.openxmlformats.org/drawingml/2006/picture">
                        <pic:nvPicPr>
                          <pic:cNvPr id="560" name="AutoShape_31_SpCnt_2"/>
                          <pic:cNvPicPr/>
                        </pic:nvPicPr>
                        <pic:blipFill>
                          <a:blip r:embed="rId73"/>
                          <a:stretch>
                            <a:fillRect/>
                          </a:stretch>
                        </pic:blipFill>
                        <pic:spPr>
                          <a:xfrm>
                            <a:off x="0" y="0"/>
                            <a:ext cx="1123315" cy="135890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3711360" behindDoc="0" locked="0" layoutInCell="1" allowOverlap="1">
                  <wp:simplePos x="0" y="0"/>
                  <wp:positionH relativeFrom="column">
                    <wp:posOffset>57150</wp:posOffset>
                  </wp:positionH>
                  <wp:positionV relativeFrom="paragraph">
                    <wp:posOffset>0</wp:posOffset>
                  </wp:positionV>
                  <wp:extent cx="1123315" cy="1273810"/>
                  <wp:effectExtent l="0" t="0" r="0" b="0"/>
                  <wp:wrapNone/>
                  <wp:docPr id="561" name="AutoShape_30_SpCnt_6"/>
                  <wp:cNvGraphicFramePr/>
                  <a:graphic xmlns:a="http://schemas.openxmlformats.org/drawingml/2006/main">
                    <a:graphicData uri="http://schemas.openxmlformats.org/drawingml/2006/picture">
                      <pic:pic xmlns:pic="http://schemas.openxmlformats.org/drawingml/2006/picture">
                        <pic:nvPicPr>
                          <pic:cNvPr id="561" name="AutoShape_30_SpCnt_6"/>
                          <pic:cNvPicPr/>
                        </pic:nvPicPr>
                        <pic:blipFill>
                          <a:blip r:embed="rId74"/>
                          <a:stretch>
                            <a:fillRect/>
                          </a:stretch>
                        </pic:blipFill>
                        <pic:spPr>
                          <a:xfrm>
                            <a:off x="0" y="0"/>
                            <a:ext cx="1123315" cy="127381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3711360" behindDoc="0" locked="0" layoutInCell="1" allowOverlap="1">
                  <wp:simplePos x="0" y="0"/>
                  <wp:positionH relativeFrom="column">
                    <wp:posOffset>57150</wp:posOffset>
                  </wp:positionH>
                  <wp:positionV relativeFrom="paragraph">
                    <wp:posOffset>0</wp:posOffset>
                  </wp:positionV>
                  <wp:extent cx="1123315" cy="1358900"/>
                  <wp:effectExtent l="0" t="0" r="0" b="0"/>
                  <wp:wrapNone/>
                  <wp:docPr id="562" name="AutoShape_30_SpCnt_7"/>
                  <wp:cNvGraphicFramePr/>
                  <a:graphic xmlns:a="http://schemas.openxmlformats.org/drawingml/2006/main">
                    <a:graphicData uri="http://schemas.openxmlformats.org/drawingml/2006/picture">
                      <pic:pic xmlns:pic="http://schemas.openxmlformats.org/drawingml/2006/picture">
                        <pic:nvPicPr>
                          <pic:cNvPr id="562" name="AutoShape_30_SpCnt_7"/>
                          <pic:cNvPicPr/>
                        </pic:nvPicPr>
                        <pic:blipFill>
                          <a:blip r:embed="rId73"/>
                          <a:stretch>
                            <a:fillRect/>
                          </a:stretch>
                        </pic:blipFill>
                        <pic:spPr>
                          <a:xfrm>
                            <a:off x="0" y="0"/>
                            <a:ext cx="1123315" cy="135890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97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2"/>
              <w:rPr>
                <w:rFonts w:hint="default" w:eastAsia="宋体"/>
                <w:lang w:val="en-US" w:eastAsia="zh-CN"/>
              </w:rPr>
            </w:pPr>
            <w:r>
              <w:rPr>
                <w:rFonts w:hint="eastAsia"/>
                <w:lang w:val="en-US" w:eastAsia="zh-CN"/>
              </w:rPr>
              <w:t>19</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sz w:val="20"/>
                <w:szCs w:val="20"/>
                <w:lang w:val="en-US" w:eastAsia="zh-CN"/>
              </w:rPr>
            </w:pPr>
            <w:r>
              <w:rPr>
                <w:rFonts w:hint="eastAsia"/>
                <w:sz w:val="20"/>
                <w:szCs w:val="20"/>
                <w:lang w:val="en-US" w:eastAsia="zh-CN"/>
              </w:rPr>
              <w:t>童话王国-实木三层柜</w:t>
            </w:r>
          </w:p>
          <w:p>
            <w:pPr>
              <w:pStyle w:val="2"/>
              <w:jc w:val="left"/>
              <w:rPr>
                <w:rFonts w:hint="eastAsia"/>
                <w:sz w:val="20"/>
                <w:szCs w:val="20"/>
                <w:lang w:val="en-US" w:eastAsia="zh-CN"/>
              </w:rPr>
            </w:pPr>
            <w:r>
              <w:rPr>
                <w:rFonts w:hint="eastAsia"/>
                <w:sz w:val="20"/>
                <w:szCs w:val="20"/>
                <w:lang w:val="en-US" w:eastAsia="zh-CN"/>
              </w:rPr>
              <w:t>尺寸：111×30×82cm。1、柜体采用18mm厚优质环保芬兰松木，表面木纹拉丝，并环保清水油漆处理，重金属钡、铅、镉、锑、硒、铬、汞、砷等含量符合国家标准规范的要求。（提供油漆8大重金属检测报告）    2、耐磨、耐污、耐划伤，易清洁，耐磨测试250R无透底现象。    3、五金件选用环保五金，安全无毒。符合国家标准规范的要求，钡、铅、镉、锑、硒、铬、汞、砷等含量控制指标完全符合要求。（提供五金件8大重金属检测报告）    4、采用顶板盖侧板的设计方式，保证了柜体表面的平整性。柜体底部配以耐磨塑胶PP脚钉，对地板等地面材料起到保护作用。    5、采用踢脚板设计，即增加了稳定性，又可以防止杂物进入柜底。边角安全防撞设计，对所有的外露面、外漏角进行弧状倒角设计，避免锐角的产生，最大程度的避免儿童磕碰伤害，符合GB28007-2011儿童家具通用技术条件的要求。结构稳固，不易倾倒。全面采用圆角设计，安全缝隙和孔洞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drawing>
                <wp:inline distT="0" distB="0" distL="114300" distR="114300">
                  <wp:extent cx="636905" cy="695325"/>
                  <wp:effectExtent l="0" t="0" r="10795" b="9525"/>
                  <wp:docPr id="486" name="图片 27" descr="E:\报价用图\2019\KB1-TKB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图片 27" descr="E:\报价用图\2019\KB1-TKB007.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636905" cy="695325"/>
                          </a:xfrm>
                          <a:prstGeom prst="rect">
                            <a:avLst/>
                          </a:prstGeom>
                          <a:noFill/>
                          <a:ln>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3712384" behindDoc="0" locked="0" layoutInCell="1" allowOverlap="1">
                  <wp:simplePos x="0" y="0"/>
                  <wp:positionH relativeFrom="column">
                    <wp:posOffset>0</wp:posOffset>
                  </wp:positionH>
                  <wp:positionV relativeFrom="paragraph">
                    <wp:posOffset>0</wp:posOffset>
                  </wp:positionV>
                  <wp:extent cx="1189990" cy="1358900"/>
                  <wp:effectExtent l="0" t="0" r="0" b="0"/>
                  <wp:wrapNone/>
                  <wp:docPr id="563" name="AutoShape_30_SpCnt_8"/>
                  <wp:cNvGraphicFramePr/>
                  <a:graphic xmlns:a="http://schemas.openxmlformats.org/drawingml/2006/main">
                    <a:graphicData uri="http://schemas.openxmlformats.org/drawingml/2006/picture">
                      <pic:pic xmlns:pic="http://schemas.openxmlformats.org/drawingml/2006/picture">
                        <pic:nvPicPr>
                          <pic:cNvPr id="563" name="AutoShape_30_SpCnt_8"/>
                          <pic:cNvPicPr/>
                        </pic:nvPicPr>
                        <pic:blipFill>
                          <a:blip r:embed="rId76"/>
                          <a:stretch>
                            <a:fillRect/>
                          </a:stretch>
                        </pic:blipFill>
                        <pic:spPr>
                          <a:xfrm>
                            <a:off x="0" y="0"/>
                            <a:ext cx="1189990" cy="135890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3712384" behindDoc="0" locked="0" layoutInCell="1" allowOverlap="1">
                  <wp:simplePos x="0" y="0"/>
                  <wp:positionH relativeFrom="column">
                    <wp:posOffset>0</wp:posOffset>
                  </wp:positionH>
                  <wp:positionV relativeFrom="paragraph">
                    <wp:posOffset>0</wp:posOffset>
                  </wp:positionV>
                  <wp:extent cx="1189990" cy="1273810"/>
                  <wp:effectExtent l="0" t="0" r="0" b="0"/>
                  <wp:wrapNone/>
                  <wp:docPr id="564" name="AutoShape_30_SpCnt_9"/>
                  <wp:cNvGraphicFramePr/>
                  <a:graphic xmlns:a="http://schemas.openxmlformats.org/drawingml/2006/main">
                    <a:graphicData uri="http://schemas.openxmlformats.org/drawingml/2006/picture">
                      <pic:pic xmlns:pic="http://schemas.openxmlformats.org/drawingml/2006/picture">
                        <pic:nvPicPr>
                          <pic:cNvPr id="564" name="AutoShape_30_SpCnt_9"/>
                          <pic:cNvPicPr/>
                        </pic:nvPicPr>
                        <pic:blipFill>
                          <a:blip r:embed="rId72"/>
                          <a:stretch>
                            <a:fillRect/>
                          </a:stretch>
                        </pic:blipFill>
                        <pic:spPr>
                          <a:xfrm>
                            <a:off x="0" y="0"/>
                            <a:ext cx="1189990" cy="127381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3712384" behindDoc="0" locked="0" layoutInCell="1" allowOverlap="1">
                  <wp:simplePos x="0" y="0"/>
                  <wp:positionH relativeFrom="column">
                    <wp:posOffset>0</wp:posOffset>
                  </wp:positionH>
                  <wp:positionV relativeFrom="paragraph">
                    <wp:posOffset>0</wp:posOffset>
                  </wp:positionV>
                  <wp:extent cx="1189990" cy="1273810"/>
                  <wp:effectExtent l="0" t="0" r="0" b="0"/>
                  <wp:wrapNone/>
                  <wp:docPr id="565" name="AutoShape_30_SpCnt_10"/>
                  <wp:cNvGraphicFramePr/>
                  <a:graphic xmlns:a="http://schemas.openxmlformats.org/drawingml/2006/main">
                    <a:graphicData uri="http://schemas.openxmlformats.org/drawingml/2006/picture">
                      <pic:pic xmlns:pic="http://schemas.openxmlformats.org/drawingml/2006/picture">
                        <pic:nvPicPr>
                          <pic:cNvPr id="565" name="AutoShape_30_SpCnt_10"/>
                          <pic:cNvPicPr/>
                        </pic:nvPicPr>
                        <pic:blipFill>
                          <a:blip r:embed="rId72"/>
                          <a:stretch>
                            <a:fillRect/>
                          </a:stretch>
                        </pic:blipFill>
                        <pic:spPr>
                          <a:xfrm>
                            <a:off x="0" y="0"/>
                            <a:ext cx="1189990" cy="127381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3712384" behindDoc="0" locked="0" layoutInCell="1" allowOverlap="1">
                  <wp:simplePos x="0" y="0"/>
                  <wp:positionH relativeFrom="column">
                    <wp:posOffset>0</wp:posOffset>
                  </wp:positionH>
                  <wp:positionV relativeFrom="paragraph">
                    <wp:posOffset>0</wp:posOffset>
                  </wp:positionV>
                  <wp:extent cx="1189990" cy="1358900"/>
                  <wp:effectExtent l="0" t="0" r="0" b="0"/>
                  <wp:wrapNone/>
                  <wp:docPr id="566" name="AutoShape_30_SpCnt_11"/>
                  <wp:cNvGraphicFramePr/>
                  <a:graphic xmlns:a="http://schemas.openxmlformats.org/drawingml/2006/main">
                    <a:graphicData uri="http://schemas.openxmlformats.org/drawingml/2006/picture">
                      <pic:pic xmlns:pic="http://schemas.openxmlformats.org/drawingml/2006/picture">
                        <pic:nvPicPr>
                          <pic:cNvPr id="566" name="AutoShape_30_SpCnt_11"/>
                          <pic:cNvPicPr/>
                        </pic:nvPicPr>
                        <pic:blipFill>
                          <a:blip r:embed="rId71"/>
                          <a:stretch>
                            <a:fillRect/>
                          </a:stretch>
                        </pic:blipFill>
                        <pic:spPr>
                          <a:xfrm>
                            <a:off x="0" y="0"/>
                            <a:ext cx="1189990" cy="135890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3712384" behindDoc="0" locked="0" layoutInCell="1" allowOverlap="1">
                  <wp:simplePos x="0" y="0"/>
                  <wp:positionH relativeFrom="column">
                    <wp:posOffset>0</wp:posOffset>
                  </wp:positionH>
                  <wp:positionV relativeFrom="paragraph">
                    <wp:posOffset>0</wp:posOffset>
                  </wp:positionV>
                  <wp:extent cx="1189990" cy="1358900"/>
                  <wp:effectExtent l="0" t="0" r="0" b="0"/>
                  <wp:wrapNone/>
                  <wp:docPr id="567" name="AutoShape_31_SpCnt_3"/>
                  <wp:cNvGraphicFramePr/>
                  <a:graphic xmlns:a="http://schemas.openxmlformats.org/drawingml/2006/main">
                    <a:graphicData uri="http://schemas.openxmlformats.org/drawingml/2006/picture">
                      <pic:pic xmlns:pic="http://schemas.openxmlformats.org/drawingml/2006/picture">
                        <pic:nvPicPr>
                          <pic:cNvPr id="567" name="AutoShape_31_SpCnt_3"/>
                          <pic:cNvPicPr/>
                        </pic:nvPicPr>
                        <pic:blipFill>
                          <a:blip r:embed="rId77"/>
                          <a:stretch>
                            <a:fillRect/>
                          </a:stretch>
                        </pic:blipFill>
                        <pic:spPr>
                          <a:xfrm>
                            <a:off x="0" y="0"/>
                            <a:ext cx="1189990" cy="135890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3712384" behindDoc="0" locked="0" layoutInCell="1" allowOverlap="1">
                  <wp:simplePos x="0" y="0"/>
                  <wp:positionH relativeFrom="column">
                    <wp:posOffset>0</wp:posOffset>
                  </wp:positionH>
                  <wp:positionV relativeFrom="paragraph">
                    <wp:posOffset>0</wp:posOffset>
                  </wp:positionV>
                  <wp:extent cx="1189990" cy="1273810"/>
                  <wp:effectExtent l="0" t="0" r="0" b="0"/>
                  <wp:wrapNone/>
                  <wp:docPr id="568" name="AutoShape_30_SpCnt_12"/>
                  <wp:cNvGraphicFramePr/>
                  <a:graphic xmlns:a="http://schemas.openxmlformats.org/drawingml/2006/main">
                    <a:graphicData uri="http://schemas.openxmlformats.org/drawingml/2006/picture">
                      <pic:pic xmlns:pic="http://schemas.openxmlformats.org/drawingml/2006/picture">
                        <pic:nvPicPr>
                          <pic:cNvPr id="568" name="AutoShape_30_SpCnt_12"/>
                          <pic:cNvPicPr/>
                        </pic:nvPicPr>
                        <pic:blipFill>
                          <a:blip r:embed="rId72"/>
                          <a:stretch>
                            <a:fillRect/>
                          </a:stretch>
                        </pic:blipFill>
                        <pic:spPr>
                          <a:xfrm>
                            <a:off x="0" y="0"/>
                            <a:ext cx="1189990" cy="127381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3712384" behindDoc="0" locked="0" layoutInCell="1" allowOverlap="1">
                  <wp:simplePos x="0" y="0"/>
                  <wp:positionH relativeFrom="column">
                    <wp:posOffset>0</wp:posOffset>
                  </wp:positionH>
                  <wp:positionV relativeFrom="paragraph">
                    <wp:posOffset>0</wp:posOffset>
                  </wp:positionV>
                  <wp:extent cx="1189990" cy="1358900"/>
                  <wp:effectExtent l="0" t="0" r="0" b="0"/>
                  <wp:wrapNone/>
                  <wp:docPr id="569" name="AutoShape_31_SpCnt_4"/>
                  <wp:cNvGraphicFramePr/>
                  <a:graphic xmlns:a="http://schemas.openxmlformats.org/drawingml/2006/main">
                    <a:graphicData uri="http://schemas.openxmlformats.org/drawingml/2006/picture">
                      <pic:pic xmlns:pic="http://schemas.openxmlformats.org/drawingml/2006/picture">
                        <pic:nvPicPr>
                          <pic:cNvPr id="569" name="AutoShape_31_SpCnt_4"/>
                          <pic:cNvPicPr/>
                        </pic:nvPicPr>
                        <pic:blipFill>
                          <a:blip r:embed="rId71"/>
                          <a:stretch>
                            <a:fillRect/>
                          </a:stretch>
                        </pic:blipFill>
                        <pic:spPr>
                          <a:xfrm>
                            <a:off x="0" y="0"/>
                            <a:ext cx="1189990" cy="135890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3712384" behindDoc="0" locked="0" layoutInCell="1" allowOverlap="1">
                  <wp:simplePos x="0" y="0"/>
                  <wp:positionH relativeFrom="column">
                    <wp:posOffset>0</wp:posOffset>
                  </wp:positionH>
                  <wp:positionV relativeFrom="paragraph">
                    <wp:posOffset>0</wp:posOffset>
                  </wp:positionV>
                  <wp:extent cx="1189990" cy="1358900"/>
                  <wp:effectExtent l="0" t="0" r="0" b="0"/>
                  <wp:wrapNone/>
                  <wp:docPr id="570" name="AutoShape_30_SpCnt_13"/>
                  <wp:cNvGraphicFramePr/>
                  <a:graphic xmlns:a="http://schemas.openxmlformats.org/drawingml/2006/main">
                    <a:graphicData uri="http://schemas.openxmlformats.org/drawingml/2006/picture">
                      <pic:pic xmlns:pic="http://schemas.openxmlformats.org/drawingml/2006/picture">
                        <pic:nvPicPr>
                          <pic:cNvPr id="570" name="AutoShape_30_SpCnt_13"/>
                          <pic:cNvPicPr/>
                        </pic:nvPicPr>
                        <pic:blipFill>
                          <a:blip r:embed="rId71"/>
                          <a:stretch>
                            <a:fillRect/>
                          </a:stretch>
                        </pic:blipFill>
                        <pic:spPr>
                          <a:xfrm>
                            <a:off x="0" y="0"/>
                            <a:ext cx="1189990" cy="135890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97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2"/>
              <w:rPr>
                <w:rFonts w:hint="default" w:eastAsia="宋体"/>
                <w:lang w:val="en-US" w:eastAsia="zh-CN"/>
              </w:rPr>
            </w:pPr>
            <w:r>
              <w:rPr>
                <w:rFonts w:hint="eastAsia"/>
                <w:lang w:val="en-US" w:eastAsia="zh-CN"/>
              </w:rPr>
              <w:t>20</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sz w:val="20"/>
                <w:szCs w:val="20"/>
                <w:lang w:val="en-US" w:eastAsia="zh-CN"/>
              </w:rPr>
            </w:pPr>
            <w:r>
              <w:rPr>
                <w:rFonts w:hint="eastAsia"/>
                <w:sz w:val="20"/>
                <w:szCs w:val="20"/>
                <w:lang w:val="en-US" w:eastAsia="zh-CN"/>
              </w:rPr>
              <w:t>童话王国-实木教具盒柜</w:t>
            </w:r>
          </w:p>
          <w:p>
            <w:pPr>
              <w:pStyle w:val="2"/>
              <w:jc w:val="left"/>
              <w:rPr>
                <w:rFonts w:hint="eastAsia"/>
                <w:sz w:val="20"/>
                <w:szCs w:val="20"/>
                <w:lang w:val="en-US" w:eastAsia="zh-CN"/>
              </w:rPr>
            </w:pPr>
            <w:r>
              <w:rPr>
                <w:rFonts w:hint="eastAsia"/>
                <w:sz w:val="20"/>
                <w:szCs w:val="20"/>
                <w:lang w:val="en-US" w:eastAsia="zh-CN"/>
              </w:rPr>
              <w:t>尺寸：82×30×82cm。1、柜体采用18mm厚优质环保芬兰松木，表面木纹拉丝，并环保清水油漆处理，重金属钡、铅、镉、锑、硒、铬、汞、砷等含量符合国家标准规范的要求。（提供油漆8大重金属检测报告）    2、耐磨、耐污、耐划伤，易清洁，耐磨测试250R无透底现象。    3、五金件选用环保五金，安全无毒。符合国家标准规范的要求，钡、铅、镉、锑、硒、铬、汞、砷等含量控制指标完全符合要求。（提供五金件8大重金属检测报告）    4、采用顶板盖侧板的设计方式，保证了柜体表面的平整性。柜体底部配以耐磨塑胶PP脚钉，对地板等地面材料起到保护作用。    5、侧板内侧设置有专用塑胶PP条，用于教具盒的存放。    6、采用踢脚板设计，即增加了稳定性，又可以防止杂物进入柜底。边角安全防撞设计，对所有的外露面、外漏角进行弧状倒角设计，避免锐角的产生，最大程度的避免儿童磕碰伤害，符合GB28007-2011儿童家具通用技术条件的要求。结构稳固，不易倾倒。全面采用圆角设计，安全缝隙和孔洞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drawing>
                <wp:inline distT="0" distB="0" distL="114300" distR="114300">
                  <wp:extent cx="629285" cy="629285"/>
                  <wp:effectExtent l="0" t="0" r="18415" b="18415"/>
                  <wp:docPr id="120" name="图片 119" descr="E:\报价用图\2019\KB1-TKB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19" descr="E:\报价用图\2019\KB1-TKB008.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629285" cy="629285"/>
                          </a:xfrm>
                          <a:prstGeom prst="rect">
                            <a:avLst/>
                          </a:prstGeom>
                          <a:noFill/>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3713408" behindDoc="0" locked="0" layoutInCell="1" allowOverlap="1">
                  <wp:simplePos x="0" y="0"/>
                  <wp:positionH relativeFrom="column">
                    <wp:posOffset>0</wp:posOffset>
                  </wp:positionH>
                  <wp:positionV relativeFrom="paragraph">
                    <wp:posOffset>0</wp:posOffset>
                  </wp:positionV>
                  <wp:extent cx="1189990" cy="1273810"/>
                  <wp:effectExtent l="0" t="0" r="0" b="0"/>
                  <wp:wrapNone/>
                  <wp:docPr id="571" name="AutoShape_30_SpCnt_14"/>
                  <wp:cNvGraphicFramePr/>
                  <a:graphic xmlns:a="http://schemas.openxmlformats.org/drawingml/2006/main">
                    <a:graphicData uri="http://schemas.openxmlformats.org/drawingml/2006/picture">
                      <pic:pic xmlns:pic="http://schemas.openxmlformats.org/drawingml/2006/picture">
                        <pic:nvPicPr>
                          <pic:cNvPr id="571" name="AutoShape_30_SpCnt_14"/>
                          <pic:cNvPicPr/>
                        </pic:nvPicPr>
                        <pic:blipFill>
                          <a:blip r:embed="rId72"/>
                          <a:stretch>
                            <a:fillRect/>
                          </a:stretch>
                        </pic:blipFill>
                        <pic:spPr>
                          <a:xfrm>
                            <a:off x="0" y="0"/>
                            <a:ext cx="1189990" cy="127381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3713408" behindDoc="0" locked="0" layoutInCell="1" allowOverlap="1">
                  <wp:simplePos x="0" y="0"/>
                  <wp:positionH relativeFrom="column">
                    <wp:posOffset>0</wp:posOffset>
                  </wp:positionH>
                  <wp:positionV relativeFrom="paragraph">
                    <wp:posOffset>0</wp:posOffset>
                  </wp:positionV>
                  <wp:extent cx="1189990" cy="1273810"/>
                  <wp:effectExtent l="0" t="0" r="0" b="0"/>
                  <wp:wrapNone/>
                  <wp:docPr id="572" name="AutoShape_30_SpCnt_15"/>
                  <wp:cNvGraphicFramePr/>
                  <a:graphic xmlns:a="http://schemas.openxmlformats.org/drawingml/2006/main">
                    <a:graphicData uri="http://schemas.openxmlformats.org/drawingml/2006/picture">
                      <pic:pic xmlns:pic="http://schemas.openxmlformats.org/drawingml/2006/picture">
                        <pic:nvPicPr>
                          <pic:cNvPr id="572" name="AutoShape_30_SpCnt_15"/>
                          <pic:cNvPicPr/>
                        </pic:nvPicPr>
                        <pic:blipFill>
                          <a:blip r:embed="rId72"/>
                          <a:stretch>
                            <a:fillRect/>
                          </a:stretch>
                        </pic:blipFill>
                        <pic:spPr>
                          <a:xfrm>
                            <a:off x="0" y="0"/>
                            <a:ext cx="1189990" cy="127381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3713408" behindDoc="0" locked="0" layoutInCell="1" allowOverlap="1">
                  <wp:simplePos x="0" y="0"/>
                  <wp:positionH relativeFrom="column">
                    <wp:posOffset>0</wp:posOffset>
                  </wp:positionH>
                  <wp:positionV relativeFrom="paragraph">
                    <wp:posOffset>0</wp:posOffset>
                  </wp:positionV>
                  <wp:extent cx="1189990" cy="1358900"/>
                  <wp:effectExtent l="0" t="0" r="0" b="0"/>
                  <wp:wrapNone/>
                  <wp:docPr id="573" name="AutoShape_31_SpCnt_5"/>
                  <wp:cNvGraphicFramePr/>
                  <a:graphic xmlns:a="http://schemas.openxmlformats.org/drawingml/2006/main">
                    <a:graphicData uri="http://schemas.openxmlformats.org/drawingml/2006/picture">
                      <pic:pic xmlns:pic="http://schemas.openxmlformats.org/drawingml/2006/picture">
                        <pic:nvPicPr>
                          <pic:cNvPr id="573" name="AutoShape_31_SpCnt_5"/>
                          <pic:cNvPicPr/>
                        </pic:nvPicPr>
                        <pic:blipFill>
                          <a:blip r:embed="rId71"/>
                          <a:stretch>
                            <a:fillRect/>
                          </a:stretch>
                        </pic:blipFill>
                        <pic:spPr>
                          <a:xfrm>
                            <a:off x="0" y="0"/>
                            <a:ext cx="1189990" cy="135890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3713408" behindDoc="0" locked="0" layoutInCell="1" allowOverlap="1">
                  <wp:simplePos x="0" y="0"/>
                  <wp:positionH relativeFrom="column">
                    <wp:posOffset>0</wp:posOffset>
                  </wp:positionH>
                  <wp:positionV relativeFrom="paragraph">
                    <wp:posOffset>0</wp:posOffset>
                  </wp:positionV>
                  <wp:extent cx="1189990" cy="1358900"/>
                  <wp:effectExtent l="0" t="0" r="0" b="0"/>
                  <wp:wrapNone/>
                  <wp:docPr id="574" name="AutoShape_30_SpCnt_16"/>
                  <wp:cNvGraphicFramePr/>
                  <a:graphic xmlns:a="http://schemas.openxmlformats.org/drawingml/2006/main">
                    <a:graphicData uri="http://schemas.openxmlformats.org/drawingml/2006/picture">
                      <pic:pic xmlns:pic="http://schemas.openxmlformats.org/drawingml/2006/picture">
                        <pic:nvPicPr>
                          <pic:cNvPr id="574" name="AutoShape_30_SpCnt_16"/>
                          <pic:cNvPicPr/>
                        </pic:nvPicPr>
                        <pic:blipFill>
                          <a:blip r:embed="rId71"/>
                          <a:stretch>
                            <a:fillRect/>
                          </a:stretch>
                        </pic:blipFill>
                        <pic:spPr>
                          <a:xfrm>
                            <a:off x="0" y="0"/>
                            <a:ext cx="1189990" cy="135890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3713408" behindDoc="0" locked="0" layoutInCell="1" allowOverlap="1">
                  <wp:simplePos x="0" y="0"/>
                  <wp:positionH relativeFrom="column">
                    <wp:posOffset>0</wp:posOffset>
                  </wp:positionH>
                  <wp:positionV relativeFrom="paragraph">
                    <wp:posOffset>0</wp:posOffset>
                  </wp:positionV>
                  <wp:extent cx="1189990" cy="1273810"/>
                  <wp:effectExtent l="0" t="0" r="0" b="0"/>
                  <wp:wrapNone/>
                  <wp:docPr id="575" name="AutoShape_30_SpCnt_17"/>
                  <wp:cNvGraphicFramePr/>
                  <a:graphic xmlns:a="http://schemas.openxmlformats.org/drawingml/2006/main">
                    <a:graphicData uri="http://schemas.openxmlformats.org/drawingml/2006/picture">
                      <pic:pic xmlns:pic="http://schemas.openxmlformats.org/drawingml/2006/picture">
                        <pic:nvPicPr>
                          <pic:cNvPr id="575" name="AutoShape_30_SpCnt_17"/>
                          <pic:cNvPicPr/>
                        </pic:nvPicPr>
                        <pic:blipFill>
                          <a:blip r:embed="rId72"/>
                          <a:stretch>
                            <a:fillRect/>
                          </a:stretch>
                        </pic:blipFill>
                        <pic:spPr>
                          <a:xfrm>
                            <a:off x="0" y="0"/>
                            <a:ext cx="1189990" cy="127381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3713408" behindDoc="0" locked="0" layoutInCell="1" allowOverlap="1">
                  <wp:simplePos x="0" y="0"/>
                  <wp:positionH relativeFrom="column">
                    <wp:posOffset>0</wp:posOffset>
                  </wp:positionH>
                  <wp:positionV relativeFrom="paragraph">
                    <wp:posOffset>0</wp:posOffset>
                  </wp:positionV>
                  <wp:extent cx="1189990" cy="1358900"/>
                  <wp:effectExtent l="0" t="0" r="0" b="0"/>
                  <wp:wrapNone/>
                  <wp:docPr id="576" name="AutoShape_30_SpCnt_18"/>
                  <wp:cNvGraphicFramePr/>
                  <a:graphic xmlns:a="http://schemas.openxmlformats.org/drawingml/2006/main">
                    <a:graphicData uri="http://schemas.openxmlformats.org/drawingml/2006/picture">
                      <pic:pic xmlns:pic="http://schemas.openxmlformats.org/drawingml/2006/picture">
                        <pic:nvPicPr>
                          <pic:cNvPr id="576" name="AutoShape_30_SpCnt_18"/>
                          <pic:cNvPicPr/>
                        </pic:nvPicPr>
                        <pic:blipFill>
                          <a:blip r:embed="rId71"/>
                          <a:stretch>
                            <a:fillRect/>
                          </a:stretch>
                        </pic:blipFill>
                        <pic:spPr>
                          <a:xfrm>
                            <a:off x="0" y="0"/>
                            <a:ext cx="1189990" cy="135890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3713408" behindDoc="0" locked="0" layoutInCell="1" allowOverlap="1">
                  <wp:simplePos x="0" y="0"/>
                  <wp:positionH relativeFrom="column">
                    <wp:posOffset>0</wp:posOffset>
                  </wp:positionH>
                  <wp:positionV relativeFrom="paragraph">
                    <wp:posOffset>0</wp:posOffset>
                  </wp:positionV>
                  <wp:extent cx="1189990" cy="1358900"/>
                  <wp:effectExtent l="0" t="0" r="0" b="0"/>
                  <wp:wrapNone/>
                  <wp:docPr id="577" name="AutoShape_30_SpCnt_19"/>
                  <wp:cNvGraphicFramePr/>
                  <a:graphic xmlns:a="http://schemas.openxmlformats.org/drawingml/2006/main">
                    <a:graphicData uri="http://schemas.openxmlformats.org/drawingml/2006/picture">
                      <pic:pic xmlns:pic="http://schemas.openxmlformats.org/drawingml/2006/picture">
                        <pic:nvPicPr>
                          <pic:cNvPr id="577" name="AutoShape_30_SpCnt_19"/>
                          <pic:cNvPicPr/>
                        </pic:nvPicPr>
                        <pic:blipFill>
                          <a:blip r:embed="rId71"/>
                          <a:stretch>
                            <a:fillRect/>
                          </a:stretch>
                        </pic:blipFill>
                        <pic:spPr>
                          <a:xfrm>
                            <a:off x="0" y="0"/>
                            <a:ext cx="1189990" cy="135890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3713408" behindDoc="0" locked="0" layoutInCell="1" allowOverlap="1">
                  <wp:simplePos x="0" y="0"/>
                  <wp:positionH relativeFrom="column">
                    <wp:posOffset>0</wp:posOffset>
                  </wp:positionH>
                  <wp:positionV relativeFrom="paragraph">
                    <wp:posOffset>0</wp:posOffset>
                  </wp:positionV>
                  <wp:extent cx="1189990" cy="1358900"/>
                  <wp:effectExtent l="0" t="0" r="0" b="0"/>
                  <wp:wrapNone/>
                  <wp:docPr id="578" name="AutoShape_31_SpCnt_6"/>
                  <wp:cNvGraphicFramePr/>
                  <a:graphic xmlns:a="http://schemas.openxmlformats.org/drawingml/2006/main">
                    <a:graphicData uri="http://schemas.openxmlformats.org/drawingml/2006/picture">
                      <pic:pic xmlns:pic="http://schemas.openxmlformats.org/drawingml/2006/picture">
                        <pic:nvPicPr>
                          <pic:cNvPr id="578" name="AutoShape_31_SpCnt_6"/>
                          <pic:cNvPicPr/>
                        </pic:nvPicPr>
                        <pic:blipFill>
                          <a:blip r:embed="rId71"/>
                          <a:stretch>
                            <a:fillRect/>
                          </a:stretch>
                        </pic:blipFill>
                        <pic:spPr>
                          <a:xfrm>
                            <a:off x="0" y="0"/>
                            <a:ext cx="1189990" cy="135890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97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2"/>
              <w:rPr>
                <w:rFonts w:hint="default" w:eastAsia="宋体"/>
                <w:lang w:val="en-US" w:eastAsia="zh-CN"/>
              </w:rPr>
            </w:pPr>
            <w:r>
              <w:rPr>
                <w:rFonts w:hint="eastAsia"/>
                <w:lang w:val="en-US" w:eastAsia="zh-CN"/>
              </w:rPr>
              <w:t>21</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i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童话王国-实木20格活动柜</w:t>
            </w:r>
          </w:p>
          <w:p>
            <w:pPr>
              <w:keepNext w:val="0"/>
              <w:keepLines w:val="0"/>
              <w:widowControl/>
              <w:suppressLineNumbers w:val="0"/>
              <w:jc w:val="left"/>
              <w:textAlignment w:val="center"/>
              <w:rPr>
                <w:rFonts w:hint="eastAsia"/>
                <w:sz w:val="20"/>
                <w:szCs w:val="20"/>
                <w:lang w:val="en-US" w:eastAsia="zh-CN"/>
              </w:rPr>
            </w:pPr>
            <w:r>
              <w:rPr>
                <w:rFonts w:hint="eastAsia" w:ascii="微软雅黑" w:hAnsi="微软雅黑" w:eastAsia="微软雅黑" w:cs="微软雅黑"/>
                <w:i w:val="0"/>
                <w:color w:val="000000"/>
                <w:kern w:val="0"/>
                <w:sz w:val="20"/>
                <w:szCs w:val="20"/>
                <w:u w:val="none"/>
                <w:lang w:val="en-US" w:eastAsia="zh-CN" w:bidi="ar"/>
              </w:rPr>
              <w:t>尺寸：111×30×82cm。1、柜体采用18mm厚优质环保芬兰松木，表面木纹拉丝，并环保清水油漆处理，重金属钡、铅、镉、锑、硒、铬、汞、砷等含量符合国家标准规范的要求。（提供油漆8大重金属检测报告）    2、耐磨、耐污、耐划伤，易清洁，耐磨测试250R无透底现象。    3、五金件选用环保五金，安全无毒。符合国家标准规范的要求，钡、铅、镉、锑、硒、铬、汞、砷等含量控制指标完全符合要求。（提供五金件8大重金属检测报告）    4、采用顶板盖侧板的设计方式，保证了柜体表面的平整性。柜体底部配以耐磨塑胶PP脚钉，对地板等地面材料起到保护作用。     5、采用踢脚板设计，即增加了稳定性，又可以防止杂物进入柜底。边角安全防撞设计，对所有的外露面、外漏角进行弧状倒角设计，避免锐角的产生，最大程度的避免儿童磕碰伤害，符合GB28007-2011儿童家具通用技术条件的要求。结构稳固，不易倾倒。全面采用圆角设计，安全缝隙和孔洞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drawing>
                <wp:inline distT="0" distB="0" distL="114300" distR="114300">
                  <wp:extent cx="571500" cy="571500"/>
                  <wp:effectExtent l="0" t="0" r="0" b="0"/>
                  <wp:docPr id="487" name="图片 120" descr="E:\报价用图\2019\KB1-TKB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图片 120" descr="E:\报价用图\2019\KB1-TKB003.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571500" cy="571500"/>
                          </a:xfrm>
                          <a:prstGeom prst="rect">
                            <a:avLst/>
                          </a:prstGeom>
                          <a:noFill/>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华文中宋" w:hAnsi="华文中宋" w:eastAsia="华文中宋" w:cs="华文中宋"/>
                <w:i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97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22</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sz w:val="20"/>
                <w:szCs w:val="20"/>
                <w:lang w:val="en-US" w:eastAsia="zh-CN"/>
              </w:rPr>
            </w:pPr>
            <w:r>
              <w:rPr>
                <w:rFonts w:hint="eastAsia"/>
                <w:sz w:val="20"/>
                <w:szCs w:val="20"/>
                <w:lang w:val="en-US" w:eastAsia="zh-CN"/>
              </w:rPr>
              <w:t>童话王国-实木三层综合柜</w:t>
            </w:r>
          </w:p>
          <w:p>
            <w:pPr>
              <w:pStyle w:val="2"/>
              <w:jc w:val="left"/>
              <w:rPr>
                <w:rFonts w:hint="eastAsia"/>
                <w:sz w:val="20"/>
                <w:szCs w:val="20"/>
                <w:lang w:val="en-US" w:eastAsia="zh-CN"/>
              </w:rPr>
            </w:pPr>
            <w:r>
              <w:rPr>
                <w:rFonts w:hint="eastAsia"/>
                <w:sz w:val="20"/>
                <w:szCs w:val="20"/>
                <w:lang w:val="en-US" w:eastAsia="zh-CN"/>
              </w:rPr>
              <w:t>尺寸：111×30×82cm。1、柜体采用18mm厚优质环保芬兰松木，表面木纹拉丝，并环保清水油漆处理，重金属钡、铅、镉、锑、硒、铬、汞、砷等含量符合国家标准规范的要求。（提供油漆8大重金属检测报告）   2、耐磨、耐污、耐划伤，易清洁，耐磨测试250R无透底现象。    3、五金件选用环保五金，安全无毒。符合国家标准规范的要求，钡、铅、镉、锑、硒、铬、汞、砷等含量控制指标完全符合要求。（提供五金件8大重金属检测报告）    4、采用顶板盖侧板的设计方式，保证了柜体表面的平整性。柜体底部配以耐磨塑胶PP脚钉，对地板等地面材料起到保护作用。  5、以三层存放空间为主，局部五层存放空间。    6、采用踢脚板设计，即增加了稳定性，又可以防止杂物进入柜底。边角安全防撞设计，对所有的外露面、外漏角进行弧状倒角设计，避免锐角的产生，最大程度的避免儿童磕碰伤害，符合GB28007-2011儿童家具通用技术条件的要求。  结构稳固，不易倾倒。全面采用圆角设计，安全缝隙和孔洞符合GB28007-2011儿童家具通用技术条件的要求。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drawing>
                <wp:inline distT="0" distB="0" distL="114300" distR="114300">
                  <wp:extent cx="628015" cy="638810"/>
                  <wp:effectExtent l="0" t="0" r="635" b="8890"/>
                  <wp:docPr id="126" name="图片 125" descr="E:\报价用图\2019\KB1-TKB006-V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5" descr="E:\报价用图\2019\KB1-TKB006-V01.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628015" cy="638810"/>
                          </a:xfrm>
                          <a:prstGeom prst="rect">
                            <a:avLst/>
                          </a:prstGeom>
                          <a:noFill/>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华文中宋" w:hAnsi="华文中宋" w:eastAsia="华文中宋" w:cs="华文中宋"/>
                <w:i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97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23</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sz w:val="20"/>
                <w:szCs w:val="20"/>
                <w:lang w:val="en-US" w:eastAsia="zh-CN"/>
              </w:rPr>
            </w:pPr>
            <w:r>
              <w:rPr>
                <w:rFonts w:hint="eastAsia"/>
                <w:sz w:val="20"/>
                <w:szCs w:val="20"/>
                <w:lang w:val="en-US" w:eastAsia="zh-CN"/>
              </w:rPr>
              <w:t>六角形软垫组合</w:t>
            </w:r>
          </w:p>
          <w:p>
            <w:pPr>
              <w:pStyle w:val="2"/>
              <w:jc w:val="left"/>
              <w:rPr>
                <w:rFonts w:hint="eastAsia"/>
                <w:sz w:val="20"/>
                <w:szCs w:val="20"/>
                <w:lang w:val="en-US" w:eastAsia="zh-CN"/>
              </w:rPr>
            </w:pPr>
            <w:r>
              <w:rPr>
                <w:rFonts w:hint="eastAsia"/>
                <w:sz w:val="20"/>
                <w:szCs w:val="20"/>
                <w:lang w:val="en-US" w:eastAsia="zh-CN"/>
              </w:rPr>
              <w:t>尺寸：直径30cm，座高20cm。采用环保耐磨皮和高密度泡棉包覆，皮革中不含可分解芳香胺，且游离甲醛含量符合国家标准规范的要求。（提供皮革可分解芳香胺和游离甲醛含量检测报告）。</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drawing>
                <wp:inline distT="0" distB="0" distL="114300" distR="114300">
                  <wp:extent cx="685800" cy="685800"/>
                  <wp:effectExtent l="0" t="0" r="0" b="0"/>
                  <wp:docPr id="488" name="图片 121" descr="E:\报价用图\2019\GP1-4012-V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图片 121" descr="E:\报价用图\2019\GP1-4012-V0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685800" cy="685800"/>
                          </a:xfrm>
                          <a:prstGeom prst="rect">
                            <a:avLst/>
                          </a:prstGeom>
                          <a:noFill/>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华文中宋" w:hAnsi="华文中宋" w:eastAsia="华文中宋" w:cs="华文中宋"/>
                <w:i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97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24</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sz w:val="20"/>
                <w:szCs w:val="20"/>
                <w:lang w:val="en-US" w:eastAsia="zh-CN"/>
              </w:rPr>
            </w:pPr>
            <w:r>
              <w:rPr>
                <w:rFonts w:hint="eastAsia"/>
                <w:sz w:val="20"/>
                <w:szCs w:val="20"/>
                <w:lang w:val="en-US" w:eastAsia="zh-CN"/>
              </w:rPr>
              <w:t>多彩教具盒小-木色</w:t>
            </w:r>
          </w:p>
          <w:p>
            <w:pPr>
              <w:pStyle w:val="2"/>
              <w:jc w:val="left"/>
              <w:rPr>
                <w:rFonts w:hint="eastAsia"/>
                <w:sz w:val="20"/>
                <w:szCs w:val="20"/>
                <w:lang w:val="en-US" w:eastAsia="zh-CN"/>
              </w:rPr>
            </w:pPr>
            <w:r>
              <w:rPr>
                <w:rFonts w:hint="eastAsia"/>
                <w:sz w:val="20"/>
                <w:szCs w:val="20"/>
                <w:lang w:val="en-US" w:eastAsia="zh-CN"/>
              </w:rPr>
              <w:t>尺寸：26×23×10cm。采用环保安全塑料。</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drawing>
                <wp:inline distT="0" distB="0" distL="114300" distR="114300">
                  <wp:extent cx="609600" cy="609600"/>
                  <wp:effectExtent l="0" t="0" r="0" b="0"/>
                  <wp:docPr id="489" name="图片 123" descr="E:\报价用图\2019\KB1-TR002-V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图片 123" descr="E:\报价用图\2019\KB1-TR002-V01-78.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609600" cy="609600"/>
                          </a:xfrm>
                          <a:prstGeom prst="rect">
                            <a:avLst/>
                          </a:prstGeom>
                          <a:noFill/>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华文中宋" w:hAnsi="华文中宋" w:eastAsia="华文中宋" w:cs="华文中宋"/>
                <w:i w:val="0"/>
                <w:color w:val="000000"/>
                <w:kern w:val="0"/>
                <w:sz w:val="22"/>
                <w:szCs w:val="22"/>
                <w:u w:val="none"/>
                <w:lang w:val="en-US" w:eastAsia="zh-CN" w:bidi="ar"/>
              </w:rPr>
              <w:t>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97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2"/>
              <w:rPr>
                <w:rFonts w:hint="default"/>
                <w:lang w:val="en-US" w:eastAsia="zh-CN"/>
              </w:rPr>
            </w:pPr>
            <w:r>
              <w:rPr>
                <w:rFonts w:hint="eastAsia"/>
                <w:lang w:val="en-US" w:eastAsia="zh-CN"/>
              </w:rPr>
              <w:t>25</w:t>
            </w:r>
          </w:p>
          <w:p>
            <w:pPr>
              <w:pStyle w:val="2"/>
              <w:rPr>
                <w:rFonts w:hint="eastAsia"/>
                <w:lang w:val="en-US" w:eastAsia="zh-CN"/>
              </w:rPr>
            </w:pP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2"/>
              <w:jc w:val="left"/>
              <w:rPr>
                <w:rFonts w:hint="eastAsia"/>
                <w:sz w:val="20"/>
                <w:szCs w:val="20"/>
                <w:lang w:val="en-US" w:eastAsia="zh-CN"/>
              </w:rPr>
            </w:pPr>
            <w:r>
              <w:rPr>
                <w:rFonts w:hint="eastAsia"/>
                <w:sz w:val="20"/>
                <w:szCs w:val="20"/>
                <w:lang w:val="en-US" w:eastAsia="zh-CN"/>
              </w:rPr>
              <w:t>多彩教具盒大-木色</w:t>
            </w:r>
          </w:p>
          <w:p>
            <w:pPr>
              <w:pStyle w:val="2"/>
              <w:jc w:val="left"/>
              <w:rPr>
                <w:rFonts w:hint="eastAsia"/>
                <w:sz w:val="20"/>
                <w:szCs w:val="20"/>
                <w:lang w:val="en-US" w:eastAsia="zh-CN"/>
              </w:rPr>
            </w:pPr>
            <w:r>
              <w:rPr>
                <w:rFonts w:hint="eastAsia"/>
                <w:sz w:val="20"/>
                <w:szCs w:val="20"/>
                <w:lang w:val="en-US" w:eastAsia="zh-CN"/>
              </w:rPr>
              <w:t>尺寸：26×23×19cm。采用环保安全塑料。</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pPr>
            <w:r>
              <w:drawing>
                <wp:inline distT="0" distB="0" distL="114300" distR="114300">
                  <wp:extent cx="645795" cy="642620"/>
                  <wp:effectExtent l="0" t="0" r="1905" b="5080"/>
                  <wp:docPr id="490" name="图片 124" descr="E:\报价用图\2019\KB1-TR002-V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图片 124" descr="E:\报价用图\2019\KB1-TR002-V01-78.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645795" cy="642620"/>
                          </a:xfrm>
                          <a:prstGeom prst="rect">
                            <a:avLst/>
                          </a:prstGeom>
                          <a:noFill/>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华文中宋" w:hAnsi="华文中宋" w:eastAsia="华文中宋" w:cs="华文中宋"/>
                <w:i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97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2"/>
              <w:rPr>
                <w:rFonts w:hint="default"/>
                <w:lang w:val="en-US" w:eastAsia="zh-CN"/>
              </w:rPr>
            </w:pPr>
            <w:r>
              <w:rPr>
                <w:rFonts w:hint="eastAsia"/>
                <w:lang w:val="en-US" w:eastAsia="zh-CN"/>
              </w:rPr>
              <w:t>26</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2"/>
              <w:jc w:val="left"/>
              <w:rPr>
                <w:rFonts w:hint="eastAsia"/>
                <w:sz w:val="20"/>
                <w:szCs w:val="20"/>
                <w:lang w:val="en-US" w:eastAsia="zh-CN"/>
              </w:rPr>
            </w:pPr>
            <w:r>
              <w:rPr>
                <w:rFonts w:hint="eastAsia"/>
                <w:sz w:val="20"/>
                <w:szCs w:val="20"/>
                <w:lang w:val="en-US" w:eastAsia="zh-CN"/>
              </w:rPr>
              <w:t>90度双层小角柜-实木</w:t>
            </w:r>
          </w:p>
          <w:p>
            <w:pPr>
              <w:pStyle w:val="2"/>
              <w:jc w:val="left"/>
              <w:rPr>
                <w:rFonts w:hint="eastAsia"/>
                <w:sz w:val="20"/>
                <w:szCs w:val="20"/>
                <w:lang w:val="en-US" w:eastAsia="zh-CN"/>
              </w:rPr>
            </w:pPr>
            <w:r>
              <w:rPr>
                <w:rFonts w:hint="eastAsia"/>
                <w:sz w:val="20"/>
                <w:szCs w:val="20"/>
                <w:lang w:val="en-US" w:eastAsia="zh-CN"/>
              </w:rPr>
              <w:t>尺寸：30×30×57cm。1、主框架采用18mm厚优质环保枫木纹三聚氰胺双贴面橡胶木，甲醛释放量符合GB18580-2017标准要求。（提供饰面实木板甲醛释放量检测报告）层板采用15mm厚枫木纹三聚氰胺双贴面胶合板。 2、表面耐磨、耐污、耐划伤，易清洁，耐磨测试250R无透底现象。3、原生态木蜡油封边，重金属钡、铅、镉、锑、硒、铬、汞、砷等含量符合国家标准规范的要求。（提供木蜡油8大重金属检测报告）4、五金件选用环保五金，安全无毒。符合国家标准规范的要求，钡、铅、镉、锑、硒、铬、汞、砷等含量控制指标完全符合要求。（提供五金件8大重金属检测报告）  5、柜体采用踢脚板设计，即增加了稳定性，又可以防止杂物进入柜底。柜底配以耐磨塑胶PP脚钉，对地板等地面材料起到保护作用。   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pPr>
            <w:r>
              <w:drawing>
                <wp:inline distT="0" distB="0" distL="114300" distR="114300">
                  <wp:extent cx="695960" cy="695960"/>
                  <wp:effectExtent l="0" t="0" r="8890" b="8890"/>
                  <wp:docPr id="147" name="图片 53" descr="E:\报价用图\2019\KB1-GY190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53" descr="E:\报价用图\2019\KB1-GY19005-30.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695960" cy="695960"/>
                          </a:xfrm>
                          <a:prstGeom prst="rect">
                            <a:avLst/>
                          </a:prstGeom>
                          <a:noFill/>
                          <a:ln>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华文中宋" w:hAnsi="华文中宋" w:eastAsia="华文中宋" w:cs="华文中宋"/>
                <w:i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97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2"/>
              <w:rPr>
                <w:rFonts w:hint="default"/>
                <w:lang w:val="en-US" w:eastAsia="zh-CN"/>
              </w:rPr>
            </w:pPr>
            <w:r>
              <w:rPr>
                <w:rFonts w:hint="eastAsia"/>
                <w:lang w:val="en-US" w:eastAsia="zh-CN"/>
              </w:rPr>
              <w:t>27</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2"/>
              <w:jc w:val="left"/>
              <w:rPr>
                <w:rFonts w:hint="eastAsia"/>
                <w:sz w:val="20"/>
                <w:szCs w:val="20"/>
                <w:lang w:val="en-US" w:eastAsia="zh-CN"/>
              </w:rPr>
            </w:pPr>
            <w:r>
              <w:rPr>
                <w:rFonts w:hint="eastAsia"/>
                <w:sz w:val="20"/>
                <w:szCs w:val="20"/>
                <w:lang w:val="en-US" w:eastAsia="zh-CN"/>
              </w:rPr>
              <w:t>挪葳森林-厨房扮演（碗盘柜）</w:t>
            </w:r>
          </w:p>
          <w:p>
            <w:pPr>
              <w:pStyle w:val="2"/>
              <w:jc w:val="left"/>
              <w:rPr>
                <w:rFonts w:hint="eastAsia"/>
                <w:sz w:val="20"/>
                <w:szCs w:val="20"/>
                <w:lang w:val="en-US" w:eastAsia="zh-CN"/>
              </w:rPr>
            </w:pPr>
            <w:r>
              <w:rPr>
                <w:rFonts w:hint="eastAsia"/>
                <w:sz w:val="20"/>
                <w:szCs w:val="20"/>
                <w:lang w:val="en-US" w:eastAsia="zh-CN"/>
              </w:rPr>
              <w:t>尺寸：60×31.5×94.6cm。1、采用18mm厚优质环保三聚氰胺贴面胶合板，甲醛释放量符合GB18580-2017标准要求。（提供饰面胶合板甲醛释放量检测报告）  2、表面耐磨、耐污、耐划伤，易清洁，耐磨测试250R无透底现象。  3、原生态木蜡油封边，重金属钡、铅、镉、锑、硒、铬、汞、砷等含量符合国家标准规范的要求。（提供木蜡油8大重金属检测报告）  4、五金件选用环保五金，安全无毒。符合国家标准规范的要求，钡、铅、镉、锑、硒、铬、汞、砷等含量控制指标完全符合要求。（提供五金件8大重金属检测报告）  5、柜体转角部分采用塑料圆角配件，与顶板及侧板进行连接，塑料件中领苯二甲酸酯含量符合标准规范的要求。（提供塑料件领苯二甲酸酯含量检测报告）   6、弧形柜门设计，美观大气。  7、有门的密闭空间采用小隔间的安全设计，防儿童误入，符合相关标准的要求；8、采用踢脚板设计，即增加稳定性，又可以防止杂物进入柜底。底部配以耐磨塑胶PP脚钉，对地板等地面材料起到保护作用。 9、结构稳固，不易倾倒，符合GB28007-2011儿童家具通用技术条件的要求。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pPr>
            <w:r>
              <w:drawing>
                <wp:inline distT="0" distB="0" distL="114300" distR="114300">
                  <wp:extent cx="886460" cy="886460"/>
                  <wp:effectExtent l="0" t="0" r="8890" b="8890"/>
                  <wp:docPr id="149" name="图片 55" descr="E:\报价用图\2019\KB1-NWA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55" descr="E:\报价用图\2019\KB1-NWA013.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886460" cy="886460"/>
                          </a:xfrm>
                          <a:prstGeom prst="rect">
                            <a:avLst/>
                          </a:prstGeom>
                          <a:noFill/>
                          <a:ln>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华文中宋" w:hAnsi="华文中宋" w:eastAsia="华文中宋" w:cs="华文中宋"/>
                <w:i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97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2"/>
              <w:rPr>
                <w:rFonts w:hint="default"/>
                <w:lang w:val="en-US" w:eastAsia="zh-CN"/>
              </w:rPr>
            </w:pPr>
            <w:r>
              <w:rPr>
                <w:rFonts w:hint="eastAsia"/>
                <w:lang w:val="en-US" w:eastAsia="zh-CN"/>
              </w:rPr>
              <w:t>28</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2"/>
              <w:jc w:val="left"/>
              <w:rPr>
                <w:rFonts w:hint="eastAsia"/>
                <w:sz w:val="20"/>
                <w:szCs w:val="20"/>
                <w:lang w:val="en-US" w:eastAsia="zh-CN"/>
              </w:rPr>
            </w:pPr>
            <w:r>
              <w:rPr>
                <w:rFonts w:hint="eastAsia"/>
                <w:sz w:val="20"/>
                <w:szCs w:val="20"/>
                <w:lang w:val="en-US" w:eastAsia="zh-CN"/>
              </w:rPr>
              <w:t>挪葳森林-厨房扮演（冰箱）</w:t>
            </w:r>
          </w:p>
          <w:p>
            <w:pPr>
              <w:pStyle w:val="2"/>
              <w:jc w:val="left"/>
              <w:rPr>
                <w:rFonts w:hint="eastAsia"/>
                <w:sz w:val="20"/>
                <w:szCs w:val="20"/>
                <w:lang w:val="en-US" w:eastAsia="zh-CN"/>
              </w:rPr>
            </w:pPr>
            <w:r>
              <w:rPr>
                <w:rFonts w:hint="eastAsia"/>
                <w:sz w:val="20"/>
                <w:szCs w:val="20"/>
                <w:lang w:val="en-US" w:eastAsia="zh-CN"/>
              </w:rPr>
              <w:t>尺寸：60×31.5×88cm。1、采用18mm厚优质环保三聚氰胺贴面胶合板，甲醛释放量符合GB18580-2017标准要求。（提供饰面胶合板甲醛释放量检测报告）  2、表面耐磨、耐污、耐划伤，易清洁，耐磨测试250R无透底现象。  3、原生态木蜡油封边，重金属钡、铅、镉、锑、硒、铬、汞、砷等含量符合国家标准规范的要求。（提供木蜡油8大重金属检测报告）  4、五金件选用环保五金，安全无毒。符合国家标准规范的要求，钡、铅、镉、锑、硒、铬、汞、砷等含量控制指标完全符合要求。（提供五金件8大重金属检测报告）  5、柜体转角部分采用塑料圆角配件，与顶板及侧板进行连接，塑料件中领苯二甲酸酯含量符合标准规范的要求。（提供塑料件领苯二甲酸酯含量检测报告）   6、弧形柜门设计，美观大气。  7、有门的密闭空间采用小隔间的安全设计，防儿童误入，符合相关标准的要求；8、采用踢脚板设计，即增加稳定性，又可以防止杂物进入柜底。底部配以耐磨塑胶PP脚钉，对地板等地面材料起到保护作用。  9、结构稳固，不易倾倒，符合GB28007-2011儿童家具通用技术条件的要求。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pPr>
            <w:r>
              <w:drawing>
                <wp:inline distT="0" distB="0" distL="114300" distR="114300">
                  <wp:extent cx="600710" cy="600710"/>
                  <wp:effectExtent l="0" t="0" r="8890" b="8890"/>
                  <wp:docPr id="150" name="图片 56" descr="E:\报价用图\2019\KB1-NWA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56" descr="E:\报价用图\2019\KB1-NWA014.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600710" cy="600710"/>
                          </a:xfrm>
                          <a:prstGeom prst="rect">
                            <a:avLst/>
                          </a:prstGeom>
                          <a:noFill/>
                          <a:ln>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华文中宋" w:hAnsi="华文中宋" w:eastAsia="华文中宋" w:cs="华文中宋"/>
                <w:i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97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2"/>
              <w:rPr>
                <w:rFonts w:hint="default"/>
                <w:lang w:val="en-US" w:eastAsia="zh-CN"/>
              </w:rPr>
            </w:pPr>
            <w:r>
              <w:rPr>
                <w:rFonts w:hint="eastAsia"/>
                <w:lang w:val="en-US" w:eastAsia="zh-CN"/>
              </w:rPr>
              <w:t>29</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2"/>
              <w:jc w:val="left"/>
              <w:rPr>
                <w:rFonts w:hint="eastAsia"/>
                <w:sz w:val="20"/>
                <w:szCs w:val="20"/>
                <w:lang w:val="en-US" w:eastAsia="zh-CN"/>
              </w:rPr>
            </w:pPr>
            <w:r>
              <w:rPr>
                <w:rFonts w:hint="eastAsia"/>
                <w:sz w:val="20"/>
                <w:szCs w:val="20"/>
                <w:lang w:val="en-US" w:eastAsia="zh-CN"/>
              </w:rPr>
              <w:t>挪葳森林-厨房扮演（灶台组）</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尺寸：60×31.5×57cm。1、采用18mm厚优质环保三聚氰胺贴面胶合板，甲醛释放量符合GB18580-2017标准要求。（提供饰面胶合板甲醛释放量检测报告）  2、表面耐磨、耐污、耐划伤，易清洁，耐磨测试250R无透底现象。  3、原生态木蜡油封边，重金属钡、铅、镉、锑、硒、铬、汞、砷等含量符合国家标准规范的要求。（提供木蜡油8大重金属检测报告）  4、五金件选用环保五金，安全无毒。符合国家标准规范的要求，钡、铅、镉、锑、硒、铬、汞、砷等含量控制指标完全符合要求。（提供五金件8大重金属检测报告）  5、柜体转角部分采用塑料圆角配件，与顶板及侧板进行连接，塑料件中领苯二甲酸酯含量符合标准规范的要求。（提供塑料件领苯二甲酸酯含量检测报告）  6、弧形柜门设计，美观大气。  7、瓦斯炉采用环保塑料材质，木质旋钮采用直径33mm加大旋钮设计，易于儿童使用，并明显标识指针位置，寓教于乐。  8、有门的密闭空间采用小隔间的安全设计，防儿童误入，符合相关标准的要求；9、采用踢脚板设计，即增加稳定性，又可以防止杂物进入柜底。底部配以耐磨塑胶PP脚钉，对地板等地面材料起到保护作用。  10、结构稳固，不易倾倒，符合GB28007-2011儿童家具通用技术条件的要求。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pPr>
            <w:r>
              <w:drawing>
                <wp:inline distT="0" distB="0" distL="114300" distR="114300">
                  <wp:extent cx="762000" cy="762000"/>
                  <wp:effectExtent l="0" t="0" r="0" b="0"/>
                  <wp:docPr id="151" name="图片 57" descr="E:\报价用图\2019\KB1-NWA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57" descr="E:\报价用图\2019\KB1-NWA011.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762000" cy="762000"/>
                          </a:xfrm>
                          <a:prstGeom prst="rect">
                            <a:avLst/>
                          </a:prstGeom>
                          <a:noFill/>
                          <a:ln>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华文中宋" w:hAnsi="华文中宋" w:eastAsia="华文中宋" w:cs="华文中宋"/>
                <w:i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97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2"/>
              <w:rPr>
                <w:rFonts w:hint="default"/>
                <w:lang w:val="en-US" w:eastAsia="zh-CN"/>
              </w:rPr>
            </w:pPr>
            <w:r>
              <w:rPr>
                <w:rFonts w:hint="eastAsia"/>
                <w:lang w:val="en-US" w:eastAsia="zh-CN"/>
              </w:rPr>
              <w:t>30</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挪葳森林-厨房扮演（洗涤台组）</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尺寸：40×30×57cm。1、采用18mm厚优质环保三聚氰胺贴面胶合板，甲醛释放量符合GB18580-2017标准要求。（提供饰面胶合板甲醛释放量检测报告）  2、表面耐磨、耐污、耐划伤，易清洁，耐磨测试250R无透底现象。  3、原生态木蜡油封边，重金属钡、铅、镉、锑、硒、铬、汞、砷等含量符合国家标准规范的要求。（提供木蜡油8大重金属检测报告）  4、五金件选用环保五金，安全无毒。符合国家标准规范的要求，钡、铅、镉、锑、硒、铬、汞、砷等含量控制指标完全符合要求。（提供五金件8大重金属检测报告）  5、柜体转角部分采用塑料圆角配件，与顶板及侧板进行连接，塑料件中领苯二甲酸酯含量符合标准规范的要求。（提供塑料件领苯二甲酸酯含量检测报告）   6、顶板有1个孔洞，用于放置塑料教具盒。  7、采用踢脚板设计，即增加稳定性，又可以防止杂物进入柜底底部配以耐磨塑胶PP脚钉，对地板等地面材料起到保护作用。  8、结构稳固，不易倾倒，符合GB28007-2011儿童家具通用技术条件的要求。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pPr>
            <w:r>
              <w:drawing>
                <wp:inline distT="0" distB="0" distL="114300" distR="114300">
                  <wp:extent cx="705485" cy="705485"/>
                  <wp:effectExtent l="0" t="0" r="18415" b="18415"/>
                  <wp:docPr id="152" name="图片 58" descr="E:\报价用图\2019\KB1-NWA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58" descr="E:\报价用图\2019\KB1-NWA012.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705485" cy="705485"/>
                          </a:xfrm>
                          <a:prstGeom prst="rect">
                            <a:avLst/>
                          </a:prstGeom>
                          <a:noFill/>
                          <a:ln>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97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2"/>
              <w:rPr>
                <w:rFonts w:hint="default"/>
                <w:lang w:val="en-US" w:eastAsia="zh-CN"/>
              </w:rPr>
            </w:pPr>
            <w:r>
              <w:rPr>
                <w:rFonts w:hint="eastAsia"/>
                <w:lang w:val="en-US" w:eastAsia="zh-CN"/>
              </w:rPr>
              <w:t>31</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豪华厨房-洗衣机</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尺寸：40×30×57cm。1、采用18mm厚优质环保三聚氰胺贴面胶合板，甲醛释放量符合GB18580-2017标准要求。（提供饰面胶合板甲醛释放量检测报告）2、表面耐磨、耐污、耐划伤，易清洁，耐磨测试250R无透底现象。3、原生态木蜡油封边，重金属钡、铅、镉、锑、硒、铬、汞、砷等含量符合国家标准规范的要求。（提供木蜡油8大重金属检测报告）  4、五金件选用环保五金，安全无毒。符合国家标准规范的要求，钡、铅、镉、锑、硒、铬、汞、砷等含量控制指标完全符合要求。（提供五金件8大重金属检测报告）5、柜体转角部分采用塑料圆角配件，与顶板及侧板进行连接，塑料件中领苯二甲酸酯含量符合标准规范的要求。（提供塑料件领苯二甲酸酯含量检测报告）  6、木质旋钮采用直径33mm加大旋钮设计，易于儿童使用，并明显标识指针位置，寓教于乐。  7、采用踢脚板设计，即增加稳定性，又可以防止杂物进入柜底。底部配以耐磨塑胶PP脚钉，对地板等地面材料起到保护作用。8、结构稳固，不易倾倒，符合GB28007-2011儿童家具通用技术条件的要求。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pPr>
            <w:r>
              <w:drawing>
                <wp:inline distT="0" distB="0" distL="114300" distR="114300">
                  <wp:extent cx="675640" cy="675640"/>
                  <wp:effectExtent l="0" t="0" r="10160" b="10160"/>
                  <wp:docPr id="153" name="图片 59" descr="E:\报价用图\2019\KB1-GY19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59" descr="E:\报价用图\2019\KB1-GY19016.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675640" cy="675640"/>
                          </a:xfrm>
                          <a:prstGeom prst="rect">
                            <a:avLst/>
                          </a:prstGeom>
                          <a:noFill/>
                          <a:ln>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97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32</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毛巾架</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 xml:space="preserve">尺寸：83×56×85cm。1、框体采用15mm厚优质环保三聚氰胺贴面胶合板，甲醛释放量符合GB18580-2017标准要求。（提供饰面胶合板甲醛释放量检测报告）    2、表面耐磨、耐污、耐划伤，易清洁，耐磨测试250R无透底现象。  3、原生态木蜡油封边，重金属钡、铅、镉、锑、硒、铬、汞、砷等含量符合国家标准规范的要求。（提供木蜡油8大重金属检测报告）    4、五金件选用环保五金，安全无毒。符合国家标准规范的要求，钡、铅、镉、锑、硒、铬、汞、砷等含量控制指标完全符合要求。（提供五金件8大重金属检测报告）    5、底部各配以4个滑轮，便于移动    6、结构稳固，不易倾倒。全面采用圆角设计，安全缝隙和孔洞均符合GB28007-2011儿童家具通用技术条件的要求。                                 </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pPr>
            <w:r>
              <w:drawing>
                <wp:inline distT="0" distB="0" distL="114300" distR="114300">
                  <wp:extent cx="504825" cy="504825"/>
                  <wp:effectExtent l="0" t="0" r="9525" b="9525"/>
                  <wp:docPr id="142" name="图片 141" descr="E:\报价用图\2019\KB1-NX13012-V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1" descr="E:\报价用图\2019\KB1-NX13012-V0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504825" cy="504825"/>
                          </a:xfrm>
                          <a:prstGeom prst="rect">
                            <a:avLst/>
                          </a:prstGeom>
                          <a:noFill/>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97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33</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keepNext w:val="0"/>
              <w:keepLines w:val="0"/>
              <w:widowControl/>
              <w:suppressLineNumbers w:val="0"/>
              <w:jc w:val="left"/>
              <w:textAlignment w:val="bottom"/>
              <w:rPr>
                <w:rFonts w:hint="eastAsia"/>
                <w:sz w:val="20"/>
                <w:szCs w:val="20"/>
                <w:lang w:val="en-US" w:eastAsia="zh-CN"/>
              </w:rPr>
            </w:pPr>
            <w:r>
              <w:rPr>
                <w:rFonts w:hint="eastAsia" w:ascii="宋体" w:hAnsi="宋体" w:eastAsia="宋体" w:cs="宋体"/>
                <w:i w:val="0"/>
                <w:color w:val="000000"/>
                <w:kern w:val="0"/>
                <w:sz w:val="20"/>
                <w:szCs w:val="20"/>
                <w:u w:val="none"/>
                <w:lang w:val="en-US" w:eastAsia="zh-CN" w:bidi="ar"/>
              </w:rPr>
              <w:t>儿童衣架</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2"/>
                <w:szCs w:val="22"/>
                <w:u w:val="none"/>
                <w:bdr w:val="single" w:color="000000" w:sz="4" w:space="0"/>
                <w:lang w:val="en-US" w:eastAsia="zh-CN" w:bidi="ar"/>
              </w:rPr>
              <w:drawing>
                <wp:anchor distT="0" distB="0" distL="114300" distR="114300" simplePos="0" relativeHeight="252681216" behindDoc="0" locked="0" layoutInCell="1" allowOverlap="1">
                  <wp:simplePos x="0" y="0"/>
                  <wp:positionH relativeFrom="column">
                    <wp:posOffset>75565</wp:posOffset>
                  </wp:positionH>
                  <wp:positionV relativeFrom="paragraph">
                    <wp:posOffset>108585</wp:posOffset>
                  </wp:positionV>
                  <wp:extent cx="689610" cy="681355"/>
                  <wp:effectExtent l="0" t="0" r="15240" b="4445"/>
                  <wp:wrapNone/>
                  <wp:docPr id="494" name="图片_6"/>
                  <wp:cNvGraphicFramePr/>
                  <a:graphic xmlns:a="http://schemas.openxmlformats.org/drawingml/2006/main">
                    <a:graphicData uri="http://schemas.openxmlformats.org/drawingml/2006/picture">
                      <pic:pic xmlns:pic="http://schemas.openxmlformats.org/drawingml/2006/picture">
                        <pic:nvPicPr>
                          <pic:cNvPr id="494" name="图片_6"/>
                          <pic:cNvPicPr/>
                        </pic:nvPicPr>
                        <pic:blipFill>
                          <a:blip r:embed="rId65"/>
                          <a:stretch>
                            <a:fillRect/>
                          </a:stretch>
                        </pic:blipFill>
                        <pic:spPr>
                          <a:xfrm>
                            <a:off x="0" y="0"/>
                            <a:ext cx="689610" cy="681355"/>
                          </a:xfrm>
                          <a:prstGeom prst="rect">
                            <a:avLst/>
                          </a:prstGeom>
                          <a:noFill/>
                          <a:ln>
                            <a:noFill/>
                          </a:ln>
                        </pic:spPr>
                      </pic:pic>
                    </a:graphicData>
                  </a:graphic>
                </wp:anchor>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97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34</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消毒口杯柜 </w:t>
            </w:r>
          </w:p>
          <w:p>
            <w:pPr>
              <w:keepNext w:val="0"/>
              <w:keepLines w:val="0"/>
              <w:widowControl/>
              <w:suppressLineNumbers w:val="0"/>
              <w:jc w:val="left"/>
              <w:textAlignment w:val="center"/>
              <w:rPr>
                <w:rFonts w:hint="eastAsia"/>
                <w:sz w:val="20"/>
                <w:szCs w:val="20"/>
                <w:lang w:val="en-US" w:eastAsia="zh-CN"/>
              </w:rPr>
            </w:pPr>
            <w:r>
              <w:rPr>
                <w:rFonts w:hint="eastAsia" w:ascii="宋体" w:hAnsi="宋体" w:eastAsia="宋体" w:cs="宋体"/>
                <w:i w:val="0"/>
                <w:color w:val="000000"/>
                <w:kern w:val="0"/>
                <w:sz w:val="20"/>
                <w:szCs w:val="20"/>
                <w:u w:val="none"/>
                <w:lang w:val="en-US" w:eastAsia="zh-CN" w:bidi="ar"/>
              </w:rPr>
              <w:t>材质：不锈钢，尺寸：72*29*112cm</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2"/>
                <w:szCs w:val="22"/>
                <w:u w:val="none"/>
                <w:bdr w:val="single" w:color="000000" w:sz="4" w:space="0"/>
                <w:lang w:val="en-US" w:eastAsia="zh-CN" w:bidi="ar"/>
              </w:rPr>
              <w:drawing>
                <wp:anchor distT="0" distB="0" distL="114300" distR="114300" simplePos="0" relativeHeight="253193216" behindDoc="0" locked="0" layoutInCell="1" allowOverlap="1">
                  <wp:simplePos x="0" y="0"/>
                  <wp:positionH relativeFrom="column">
                    <wp:posOffset>104775</wp:posOffset>
                  </wp:positionH>
                  <wp:positionV relativeFrom="paragraph">
                    <wp:posOffset>163830</wp:posOffset>
                  </wp:positionV>
                  <wp:extent cx="673100" cy="728980"/>
                  <wp:effectExtent l="0" t="0" r="12700" b="13970"/>
                  <wp:wrapNone/>
                  <wp:docPr id="495" name="图片_4_SpCnt_1"/>
                  <wp:cNvGraphicFramePr/>
                  <a:graphic xmlns:a="http://schemas.openxmlformats.org/drawingml/2006/main">
                    <a:graphicData uri="http://schemas.openxmlformats.org/drawingml/2006/picture">
                      <pic:pic xmlns:pic="http://schemas.openxmlformats.org/drawingml/2006/picture">
                        <pic:nvPicPr>
                          <pic:cNvPr id="495" name="图片_4_SpCnt_1"/>
                          <pic:cNvPicPr/>
                        </pic:nvPicPr>
                        <pic:blipFill>
                          <a:blip r:embed="rId66"/>
                          <a:stretch>
                            <a:fillRect/>
                          </a:stretch>
                        </pic:blipFill>
                        <pic:spPr>
                          <a:xfrm>
                            <a:off x="0" y="0"/>
                            <a:ext cx="673100" cy="728980"/>
                          </a:xfrm>
                          <a:prstGeom prst="rect">
                            <a:avLst/>
                          </a:prstGeom>
                          <a:noFill/>
                          <a:ln>
                            <a:noFill/>
                          </a:ln>
                        </pic:spPr>
                      </pic:pic>
                    </a:graphicData>
                  </a:graphic>
                </wp:anchor>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台</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97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35</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饮水机 </w:t>
            </w:r>
          </w:p>
          <w:p>
            <w:pPr>
              <w:keepNext w:val="0"/>
              <w:keepLines w:val="0"/>
              <w:widowControl/>
              <w:suppressLineNumbers w:val="0"/>
              <w:jc w:val="left"/>
              <w:textAlignment w:val="center"/>
              <w:rPr>
                <w:rFonts w:hint="eastAsia"/>
                <w:sz w:val="20"/>
                <w:szCs w:val="20"/>
                <w:lang w:val="en-US" w:eastAsia="zh-CN"/>
              </w:rPr>
            </w:pPr>
            <w:r>
              <w:rPr>
                <w:rFonts w:hint="eastAsia" w:ascii="宋体" w:hAnsi="宋体" w:eastAsia="宋体" w:cs="宋体"/>
                <w:i w:val="0"/>
                <w:color w:val="000000"/>
                <w:kern w:val="0"/>
                <w:sz w:val="20"/>
                <w:szCs w:val="20"/>
                <w:u w:val="none"/>
                <w:lang w:val="en-US" w:eastAsia="zh-CN" w:bidi="ar"/>
              </w:rPr>
              <w:t>型号;M718,材质：食品级塑料</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2"/>
                <w:szCs w:val="22"/>
                <w:u w:val="none"/>
                <w:bdr w:val="single" w:color="000000" w:sz="4" w:space="0"/>
                <w:lang w:val="en-US" w:eastAsia="zh-CN" w:bidi="ar"/>
              </w:rPr>
              <w:drawing>
                <wp:anchor distT="0" distB="0" distL="114300" distR="114300" simplePos="0" relativeHeight="253706240" behindDoc="0" locked="0" layoutInCell="1" allowOverlap="1">
                  <wp:simplePos x="0" y="0"/>
                  <wp:positionH relativeFrom="column">
                    <wp:posOffset>228600</wp:posOffset>
                  </wp:positionH>
                  <wp:positionV relativeFrom="paragraph">
                    <wp:posOffset>152400</wp:posOffset>
                  </wp:positionV>
                  <wp:extent cx="528320" cy="613410"/>
                  <wp:effectExtent l="0" t="0" r="5080" b="15240"/>
                  <wp:wrapNone/>
                  <wp:docPr id="496" name="图片_5_SpCnt_1"/>
                  <wp:cNvGraphicFramePr/>
                  <a:graphic xmlns:a="http://schemas.openxmlformats.org/drawingml/2006/main">
                    <a:graphicData uri="http://schemas.openxmlformats.org/drawingml/2006/picture">
                      <pic:pic xmlns:pic="http://schemas.openxmlformats.org/drawingml/2006/picture">
                        <pic:nvPicPr>
                          <pic:cNvPr id="496" name="图片_5_SpCnt_1"/>
                          <pic:cNvPicPr/>
                        </pic:nvPicPr>
                        <pic:blipFill>
                          <a:blip r:embed="rId67"/>
                          <a:stretch>
                            <a:fillRect/>
                          </a:stretch>
                        </pic:blipFill>
                        <pic:spPr>
                          <a:xfrm>
                            <a:off x="0" y="0"/>
                            <a:ext cx="528320" cy="613410"/>
                          </a:xfrm>
                          <a:prstGeom prst="rect">
                            <a:avLst/>
                          </a:prstGeom>
                          <a:noFill/>
                          <a:ln>
                            <a:noFill/>
                          </a:ln>
                        </pic:spPr>
                      </pic:pic>
                    </a:graphicData>
                  </a:graphic>
                </wp:anchor>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台</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97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36</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2"/>
              <w:jc w:val="left"/>
              <w:rPr>
                <w:rFonts w:hint="eastAsia"/>
                <w:sz w:val="20"/>
                <w:szCs w:val="20"/>
                <w:lang w:val="en-US" w:eastAsia="zh-CN"/>
              </w:rPr>
            </w:pPr>
            <w:r>
              <w:rPr>
                <w:rFonts w:hint="eastAsia"/>
                <w:sz w:val="20"/>
                <w:szCs w:val="20"/>
                <w:lang w:val="en-US" w:eastAsia="zh-CN"/>
              </w:rPr>
              <w:t>海绵宝宝书柜</w:t>
            </w:r>
          </w:p>
          <w:p>
            <w:pPr>
              <w:pStyle w:val="2"/>
              <w:jc w:val="left"/>
              <w:rPr>
                <w:rFonts w:hint="eastAsia"/>
                <w:sz w:val="20"/>
                <w:szCs w:val="20"/>
                <w:lang w:val="en-US" w:eastAsia="zh-CN"/>
              </w:rPr>
            </w:pPr>
            <w:r>
              <w:rPr>
                <w:rFonts w:hint="eastAsia"/>
                <w:sz w:val="20"/>
                <w:szCs w:val="20"/>
                <w:lang w:val="en-US" w:eastAsia="zh-CN"/>
              </w:rPr>
              <w:t>材质：双面环保多层板，规格：60*75*60m</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pPr>
            <w:r>
              <w:rPr>
                <w:rFonts w:hint="eastAsia" w:ascii="宋体" w:hAnsi="宋体" w:eastAsia="宋体" w:cs="宋体"/>
                <w:i w:val="0"/>
                <w:color w:val="000000"/>
                <w:kern w:val="0"/>
                <w:sz w:val="22"/>
                <w:szCs w:val="22"/>
                <w:u w:val="none"/>
                <w:bdr w:val="single" w:color="000000" w:sz="4" w:space="0"/>
                <w:lang w:val="en-US" w:eastAsia="zh-CN" w:bidi="ar"/>
              </w:rPr>
              <w:drawing>
                <wp:anchor distT="0" distB="0" distL="114300" distR="114300" simplePos="0" relativeHeight="253707264" behindDoc="0" locked="0" layoutInCell="1" allowOverlap="1">
                  <wp:simplePos x="0" y="0"/>
                  <wp:positionH relativeFrom="column">
                    <wp:posOffset>63500</wp:posOffset>
                  </wp:positionH>
                  <wp:positionV relativeFrom="paragraph">
                    <wp:posOffset>161925</wp:posOffset>
                  </wp:positionV>
                  <wp:extent cx="753110" cy="648970"/>
                  <wp:effectExtent l="0" t="0" r="8890" b="17780"/>
                  <wp:wrapNone/>
                  <wp:docPr id="501" name="图片_8"/>
                  <wp:cNvGraphicFramePr/>
                  <a:graphic xmlns:a="http://schemas.openxmlformats.org/drawingml/2006/main">
                    <a:graphicData uri="http://schemas.openxmlformats.org/drawingml/2006/picture">
                      <pic:pic xmlns:pic="http://schemas.openxmlformats.org/drawingml/2006/picture">
                        <pic:nvPicPr>
                          <pic:cNvPr id="501" name="图片_8"/>
                          <pic:cNvPicPr/>
                        </pic:nvPicPr>
                        <pic:blipFill>
                          <a:blip r:embed="rId90"/>
                          <a:stretch>
                            <a:fillRect/>
                          </a:stretch>
                        </pic:blipFill>
                        <pic:spPr>
                          <a:xfrm>
                            <a:off x="0" y="0"/>
                            <a:ext cx="753110" cy="648970"/>
                          </a:xfrm>
                          <a:prstGeom prst="rect">
                            <a:avLst/>
                          </a:prstGeom>
                          <a:noFill/>
                          <a:ln>
                            <a:noFill/>
                          </a:ln>
                        </pic:spPr>
                      </pic:pic>
                    </a:graphicData>
                  </a:graphic>
                </wp:anchor>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97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37</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2"/>
              <w:jc w:val="left"/>
              <w:rPr>
                <w:rFonts w:hint="eastAsia"/>
                <w:sz w:val="20"/>
                <w:szCs w:val="20"/>
                <w:lang w:val="en-US" w:eastAsia="zh-CN"/>
              </w:rPr>
            </w:pPr>
            <w:r>
              <w:rPr>
                <w:rFonts w:hint="eastAsia"/>
                <w:sz w:val="20"/>
                <w:szCs w:val="20"/>
                <w:lang w:val="en-US" w:eastAsia="zh-CN"/>
              </w:rPr>
              <w:t>猪宝宝书柜</w:t>
            </w:r>
          </w:p>
          <w:p>
            <w:pPr>
              <w:pStyle w:val="2"/>
              <w:jc w:val="left"/>
              <w:rPr>
                <w:rFonts w:hint="eastAsia"/>
                <w:sz w:val="20"/>
                <w:szCs w:val="20"/>
                <w:lang w:val="en-US" w:eastAsia="zh-CN"/>
              </w:rPr>
            </w:pPr>
            <w:r>
              <w:rPr>
                <w:rFonts w:hint="eastAsia"/>
                <w:sz w:val="20"/>
                <w:szCs w:val="20"/>
                <w:lang w:val="en-US" w:eastAsia="zh-CN"/>
              </w:rPr>
              <w:t>材质：双面环保多层板，规格：60*75*60m</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2"/>
                <w:szCs w:val="22"/>
                <w:u w:val="none"/>
                <w:bdr w:val="single" w:color="000000" w:sz="4" w:space="0"/>
                <w:lang w:val="en-US" w:eastAsia="zh-CN" w:bidi="ar"/>
              </w:rPr>
              <w:drawing>
                <wp:anchor distT="0" distB="0" distL="114300" distR="114300" simplePos="0" relativeHeight="253708288" behindDoc="0" locked="0" layoutInCell="1" allowOverlap="1">
                  <wp:simplePos x="0" y="0"/>
                  <wp:positionH relativeFrom="column">
                    <wp:posOffset>52705</wp:posOffset>
                  </wp:positionH>
                  <wp:positionV relativeFrom="paragraph">
                    <wp:posOffset>304800</wp:posOffset>
                  </wp:positionV>
                  <wp:extent cx="723900" cy="738505"/>
                  <wp:effectExtent l="0" t="0" r="0" b="4445"/>
                  <wp:wrapNone/>
                  <wp:docPr id="502" name="图片_9"/>
                  <wp:cNvGraphicFramePr/>
                  <a:graphic xmlns:a="http://schemas.openxmlformats.org/drawingml/2006/main">
                    <a:graphicData uri="http://schemas.openxmlformats.org/drawingml/2006/picture">
                      <pic:pic xmlns:pic="http://schemas.openxmlformats.org/drawingml/2006/picture">
                        <pic:nvPicPr>
                          <pic:cNvPr id="502" name="图片_9"/>
                          <pic:cNvPicPr/>
                        </pic:nvPicPr>
                        <pic:blipFill>
                          <a:blip r:embed="rId91"/>
                          <a:stretch>
                            <a:fillRect/>
                          </a:stretch>
                        </pic:blipFill>
                        <pic:spPr>
                          <a:xfrm>
                            <a:off x="0" y="0"/>
                            <a:ext cx="723900" cy="738505"/>
                          </a:xfrm>
                          <a:prstGeom prst="rect">
                            <a:avLst/>
                          </a:prstGeom>
                          <a:noFill/>
                          <a:ln>
                            <a:noFill/>
                          </a:ln>
                        </pic:spPr>
                      </pic:pic>
                    </a:graphicData>
                  </a:graphic>
                </wp:anchor>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97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38</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2"/>
              <w:jc w:val="left"/>
              <w:rPr>
                <w:rFonts w:hint="eastAsia"/>
                <w:sz w:val="20"/>
                <w:szCs w:val="20"/>
                <w:lang w:val="en-US" w:eastAsia="zh-CN"/>
              </w:rPr>
            </w:pPr>
            <w:r>
              <w:rPr>
                <w:rFonts w:hint="eastAsia"/>
                <w:sz w:val="20"/>
                <w:szCs w:val="20"/>
                <w:lang w:val="en-US" w:eastAsia="zh-CN"/>
              </w:rPr>
              <w:t>懒人沙发</w:t>
            </w:r>
          </w:p>
          <w:p>
            <w:pPr>
              <w:pStyle w:val="2"/>
              <w:jc w:val="left"/>
              <w:rPr>
                <w:rFonts w:hint="eastAsia"/>
                <w:sz w:val="20"/>
                <w:szCs w:val="20"/>
                <w:lang w:val="en-US" w:eastAsia="zh-CN"/>
              </w:rPr>
            </w:pPr>
            <w:r>
              <w:rPr>
                <w:rFonts w:hint="eastAsia"/>
                <w:sz w:val="20"/>
                <w:szCs w:val="20"/>
                <w:lang w:val="en-US" w:eastAsia="zh-CN"/>
              </w:rPr>
              <w:t>标志款—暖灰色，规格：80*90cm</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2"/>
                <w:szCs w:val="22"/>
                <w:u w:val="none"/>
                <w:bdr w:val="single" w:color="000000" w:sz="4" w:space="0"/>
                <w:lang w:val="en-US" w:eastAsia="zh-CN" w:bidi="ar"/>
              </w:rPr>
              <w:drawing>
                <wp:anchor distT="0" distB="0" distL="114300" distR="114300" simplePos="0" relativeHeight="253709312" behindDoc="0" locked="0" layoutInCell="1" allowOverlap="1">
                  <wp:simplePos x="0" y="0"/>
                  <wp:positionH relativeFrom="column">
                    <wp:posOffset>85725</wp:posOffset>
                  </wp:positionH>
                  <wp:positionV relativeFrom="paragraph">
                    <wp:posOffset>184150</wp:posOffset>
                  </wp:positionV>
                  <wp:extent cx="716280" cy="690245"/>
                  <wp:effectExtent l="0" t="0" r="7620" b="14605"/>
                  <wp:wrapNone/>
                  <wp:docPr id="503" name="图片_10"/>
                  <wp:cNvGraphicFramePr/>
                  <a:graphic xmlns:a="http://schemas.openxmlformats.org/drawingml/2006/main">
                    <a:graphicData uri="http://schemas.openxmlformats.org/drawingml/2006/picture">
                      <pic:pic xmlns:pic="http://schemas.openxmlformats.org/drawingml/2006/picture">
                        <pic:nvPicPr>
                          <pic:cNvPr id="503" name="图片_10"/>
                          <pic:cNvPicPr/>
                        </pic:nvPicPr>
                        <pic:blipFill>
                          <a:blip r:embed="rId92"/>
                          <a:stretch>
                            <a:fillRect/>
                          </a:stretch>
                        </pic:blipFill>
                        <pic:spPr>
                          <a:xfrm>
                            <a:off x="0" y="0"/>
                            <a:ext cx="716280" cy="690245"/>
                          </a:xfrm>
                          <a:prstGeom prst="rect">
                            <a:avLst/>
                          </a:prstGeom>
                          <a:noFill/>
                          <a:ln>
                            <a:noFill/>
                          </a:ln>
                        </pic:spPr>
                      </pic:pic>
                    </a:graphicData>
                  </a:graphic>
                </wp:anchor>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97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39</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2"/>
              <w:jc w:val="left"/>
              <w:rPr>
                <w:rFonts w:hint="eastAsia"/>
                <w:sz w:val="20"/>
                <w:szCs w:val="20"/>
                <w:lang w:val="en-US" w:eastAsia="zh-CN"/>
              </w:rPr>
            </w:pPr>
            <w:r>
              <w:rPr>
                <w:rFonts w:hint="eastAsia"/>
                <w:sz w:val="20"/>
                <w:szCs w:val="20"/>
                <w:lang w:val="en-US" w:eastAsia="zh-CN"/>
              </w:rPr>
              <w:t>儿童帐篷</w:t>
            </w:r>
          </w:p>
          <w:p>
            <w:pPr>
              <w:pStyle w:val="2"/>
              <w:jc w:val="left"/>
              <w:rPr>
                <w:rFonts w:hint="eastAsia"/>
                <w:sz w:val="20"/>
                <w:szCs w:val="20"/>
                <w:lang w:val="en-US" w:eastAsia="zh-CN"/>
              </w:rPr>
            </w:pPr>
            <w:r>
              <w:rPr>
                <w:rFonts w:hint="eastAsia"/>
                <w:sz w:val="20"/>
                <w:szCs w:val="20"/>
                <w:lang w:val="en-US" w:eastAsia="zh-CN"/>
              </w:rPr>
              <w:t>材质;全棉，规格：120*120*130cm</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2"/>
                <w:szCs w:val="22"/>
                <w:u w:val="none"/>
                <w:bdr w:val="single" w:color="000000" w:sz="4" w:space="0"/>
                <w:lang w:val="en-US" w:eastAsia="zh-CN" w:bidi="ar"/>
              </w:rPr>
              <w:drawing>
                <wp:anchor distT="0" distB="0" distL="114300" distR="114300" simplePos="0" relativeHeight="253710336" behindDoc="0" locked="0" layoutInCell="1" allowOverlap="1">
                  <wp:simplePos x="0" y="0"/>
                  <wp:positionH relativeFrom="column">
                    <wp:posOffset>47625</wp:posOffset>
                  </wp:positionH>
                  <wp:positionV relativeFrom="paragraph">
                    <wp:posOffset>276225</wp:posOffset>
                  </wp:positionV>
                  <wp:extent cx="702945" cy="585470"/>
                  <wp:effectExtent l="0" t="0" r="1905" b="5080"/>
                  <wp:wrapNone/>
                  <wp:docPr id="504" name="图片_11"/>
                  <wp:cNvGraphicFramePr/>
                  <a:graphic xmlns:a="http://schemas.openxmlformats.org/drawingml/2006/main">
                    <a:graphicData uri="http://schemas.openxmlformats.org/drawingml/2006/picture">
                      <pic:pic xmlns:pic="http://schemas.openxmlformats.org/drawingml/2006/picture">
                        <pic:nvPicPr>
                          <pic:cNvPr id="504" name="图片_11"/>
                          <pic:cNvPicPr/>
                        </pic:nvPicPr>
                        <pic:blipFill>
                          <a:blip r:embed="rId93"/>
                          <a:stretch>
                            <a:fillRect/>
                          </a:stretch>
                        </pic:blipFill>
                        <pic:spPr>
                          <a:xfrm>
                            <a:off x="0" y="0"/>
                            <a:ext cx="702945" cy="585470"/>
                          </a:xfrm>
                          <a:prstGeom prst="rect">
                            <a:avLst/>
                          </a:prstGeom>
                          <a:noFill/>
                          <a:ln>
                            <a:noFill/>
                          </a:ln>
                        </pic:spPr>
                      </pic:pic>
                    </a:graphicData>
                  </a:graphic>
                </wp:anchor>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顶</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68" w:hRule="atLeast"/>
        </w:trPr>
        <w:tc>
          <w:tcPr>
            <w:tcW w:w="8840" w:type="dxa"/>
            <w:gridSpan w:val="5"/>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b/>
                <w:i w:val="0"/>
                <w:color w:val="000000"/>
                <w:sz w:val="22"/>
                <w:szCs w:val="22"/>
                <w:u w:val="none"/>
              </w:rPr>
            </w:pPr>
            <w:r>
              <w:rPr>
                <w:rFonts w:hint="eastAsia" w:ascii="宋体" w:hAnsi="宋体" w:cs="宋体"/>
                <w:b/>
                <w:bCs w:val="0"/>
                <w:i w:val="0"/>
                <w:color w:val="000000"/>
                <w:kern w:val="0"/>
                <w:sz w:val="22"/>
                <w:szCs w:val="22"/>
                <w:u w:val="none"/>
                <w:lang w:val="en-US" w:eastAsia="zh-CN" w:bidi="ar"/>
              </w:rPr>
              <w:t>美术室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96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1</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挪葳森林美劳推车</w:t>
            </w:r>
          </w:p>
          <w:p>
            <w:pPr>
              <w:pStyle w:val="10"/>
              <w:bidi w:val="0"/>
              <w:ind w:left="0" w:leftChars="0" w:firstLine="0" w:firstLineChars="0"/>
              <w:jc w:val="left"/>
              <w:rPr>
                <w:rFonts w:hint="eastAsia" w:asciiTheme="minorEastAsia" w:hAnsiTheme="minorEastAsia" w:eastAsiaTheme="minorEastAsia" w:cstheme="minorEastAsia"/>
                <w:sz w:val="20"/>
                <w:szCs w:val="20"/>
              </w:rPr>
            </w:pPr>
            <w:r>
              <w:rPr>
                <w:rFonts w:hint="eastAsia"/>
                <w:sz w:val="20"/>
                <w:szCs w:val="20"/>
                <w:lang w:val="en-US" w:eastAsia="zh-CN"/>
              </w:rPr>
              <w:t>尺寸：83×55×90cm。1、立柱采用松木，表面喷涂高环保的清水油漆，重金属钡、铅、镉、锑、硒、铬、汞、砷等含量符合国家标准规范的要求。（提供油漆8大重金属检测报告）框体采用18mm厚优质环保三聚氰胺贴面胶合板，甲醛释放量符合GB18580-2017标准要求。（提供饰面胶合板甲醛释放量检测报告）    2、表面耐磨、耐污、耐划伤，易清洁，耐磨测试250R无透底现象。    3、原生态木蜡油封边，重金属钡、铅、镉、锑、硒、铬、汞、砷等含量符合国家标准规范的要求。（提供木蜡油8大重金属检测报告）    4、五金件选用环保五金，安全无毒。符合国家标准规范的要求，钡、铅、镉、锑、硒、铬、汞、砷等含量控制指标完全符合要求。（提供五金件8大重金属检测报告）    5、配置4只φ4cm的脚轮，其中2只带制动装置。    6、结构稳固，不易倾倒，符合GB28007-2011儿童家具通用技术条件的要求。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780415" cy="874395"/>
                  <wp:effectExtent l="0" t="0" r="635" b="1905"/>
                  <wp:docPr id="19" name="图片 1" descr="E:\报价用图\2019\KB1-NWA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E:\报价用图\2019\KB1-NWA027.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780415" cy="874395"/>
                          </a:xfrm>
                          <a:prstGeom prst="rect">
                            <a:avLst/>
                          </a:prstGeom>
                          <a:noFill/>
                          <a:ln>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华文中宋" w:hAnsi="华文中宋" w:eastAsia="华文中宋" w:cs="华文中宋"/>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59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2</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米罗水彩杯柜</w:t>
            </w:r>
          </w:p>
          <w:p>
            <w:pPr>
              <w:pStyle w:val="10"/>
              <w:bidi w:val="0"/>
              <w:ind w:left="0" w:leftChars="0" w:firstLine="0" w:firstLineChars="0"/>
              <w:jc w:val="left"/>
              <w:rPr>
                <w:rFonts w:hint="eastAsia" w:asciiTheme="minorEastAsia" w:hAnsiTheme="minorEastAsia" w:eastAsiaTheme="minorEastAsia" w:cstheme="minorEastAsia"/>
                <w:sz w:val="20"/>
                <w:szCs w:val="20"/>
              </w:rPr>
            </w:pPr>
            <w:r>
              <w:rPr>
                <w:rFonts w:hint="eastAsia"/>
                <w:sz w:val="20"/>
                <w:szCs w:val="20"/>
                <w:lang w:val="en-US" w:eastAsia="zh-CN"/>
              </w:rPr>
              <w:t>尺寸：60×40×60cm。1、采用18mm厚优质环保三聚氰胺双贴面高密度刨花板，甲醛释放量符合GB18580-2017标准要求。（提供饰面刨花板甲醛释放量检测报告）    2、耐磨、耐污、耐划伤，易清洁，耐磨测试250R无透底现象。  3、优质PVC边条封边，邻苯二甲酸酯含量符合国家标准规范的要求。 （提供家具封边条邻苯二甲酸酯含量检测报告）   4、五金件选用环保五金，安全无毒。符合国家标准规范的要求，钡、铅、镉、锑、硒、铬、汞、砷等含量控制指标完全符合要求。（提供五金件8大重金属检测报告）  5、上层设置有若干孔洞，用于颜料盒及画笔的摆放。柜体底部配以耐磨塑胶PP脚钉，对地板等地面材料起到保护作用。    6、结构稳固，不易倾倒。圆角设计，安全缝隙和孔洞符合GB28007-2011儿童家具通用技术条件的要求。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647700" cy="878205"/>
                  <wp:effectExtent l="0" t="0" r="0" b="17145"/>
                  <wp:docPr id="21" name="图片 3" descr="E:\报价用图\2019\TF0193-V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E:\报价用图\2019\TF0193-V01.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647700" cy="878205"/>
                          </a:xfrm>
                          <a:prstGeom prst="rect">
                            <a:avLst/>
                          </a:prstGeom>
                          <a:noFill/>
                          <a:ln>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华文中宋" w:hAnsi="华文中宋" w:eastAsia="华文中宋" w:cs="华文中宋"/>
                <w:i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3</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克利美劳用品柜</w:t>
            </w:r>
          </w:p>
          <w:p>
            <w:pPr>
              <w:pStyle w:val="10"/>
              <w:bidi w:val="0"/>
              <w:ind w:left="0" w:leftChars="0" w:firstLine="0" w:firstLineChars="0"/>
              <w:jc w:val="left"/>
              <w:rPr>
                <w:rFonts w:hint="eastAsia" w:asciiTheme="minorEastAsia" w:hAnsiTheme="minorEastAsia" w:eastAsiaTheme="minorEastAsia" w:cstheme="minorEastAsia"/>
                <w:sz w:val="20"/>
                <w:szCs w:val="20"/>
              </w:rPr>
            </w:pPr>
            <w:r>
              <w:rPr>
                <w:rFonts w:hint="eastAsia"/>
                <w:sz w:val="20"/>
                <w:szCs w:val="20"/>
                <w:lang w:val="en-US" w:eastAsia="zh-CN"/>
              </w:rPr>
              <w:t>尺寸：60×30×56cm。1、采用18mm厚优质环保三聚氰胺双贴面高密度刨花板，甲醛释放量符合GB18580-2017标准要求。（提供饰面刨花板甲醛释放量检测报告）    2、表面耐磨、耐污、耐划伤，易清洁，耐磨测试250R无透底现象。    3、优质PVC边条封边，邻苯二甲酸酯含量符合国家标准规范的要求。 （提供家具封边条邻苯二甲酸酯含量检测报告）    4、五金件选用环保五金，安全无毒。符合国家标准规范的要求，钡、铅、镉、锑、硒、铬、汞、砷等含量控制指标完全符合要求。（提供五金件8大重金属检测报告）    5、柜体底部配以耐磨塑胶PP脚钉，对地板等地面材料起到保护作用。    6、结构稳固，不易倾倒。圆角设计，安全缝隙和孔洞符合GB28007-2011儿童家具通用技术条件的要求。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724535" cy="942340"/>
                  <wp:effectExtent l="0" t="0" r="18415" b="10160"/>
                  <wp:docPr id="22" name="图片 4" descr="E:\报价用图\2019\TF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E:\报价用图\2019\TF0115.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724535" cy="942340"/>
                          </a:xfrm>
                          <a:prstGeom prst="rect">
                            <a:avLst/>
                          </a:prstGeom>
                          <a:noFill/>
                          <a:ln>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华文中宋" w:hAnsi="华文中宋" w:eastAsia="华文中宋" w:cs="华文中宋"/>
                <w:i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9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4</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达芬奇晾纸架</w:t>
            </w:r>
          </w:p>
          <w:p>
            <w:pPr>
              <w:pStyle w:val="10"/>
              <w:bidi w:val="0"/>
              <w:ind w:left="0" w:leftChars="0" w:firstLine="0" w:firstLineChars="0"/>
              <w:jc w:val="left"/>
              <w:rPr>
                <w:rFonts w:hint="eastAsia" w:asciiTheme="minorEastAsia" w:hAnsiTheme="minorEastAsia" w:eastAsiaTheme="minorEastAsia" w:cstheme="minorEastAsia"/>
                <w:sz w:val="20"/>
                <w:szCs w:val="20"/>
              </w:rPr>
            </w:pPr>
            <w:r>
              <w:rPr>
                <w:rFonts w:hint="eastAsia"/>
                <w:sz w:val="20"/>
                <w:szCs w:val="20"/>
                <w:lang w:val="en-US" w:eastAsia="zh-CN"/>
              </w:rPr>
              <w:t>尺寸：75.4×30×56cm。1、框体采用18mm厚优质环保三聚氰胺贴面胶合板，甲醛释放量符合GB18580-2017标准要求。（提供饰面胶合板甲醛释放量检测报告）       2、耐磨、耐污、耐划伤，易清洁，耐磨测试250R无透底现象。       3、优质PVC边条封边，邻苯二甲酸酯含量符合国家标准规范的要求。 （提供家具封边条邻苯二甲酸酯含量检测报告）     4、五金件选用环保五金，安全无毒。符合国家标准规范的要求，钡、铅、镉、锑、硒、铬、汞、砷等含量控制指标完全符合要求。（提供五金件8大重金属检测报告）    5、晾晒的网片采用加粗钢丝焊接加工再喷漆而成。柜体底部配以耐磨塑胶PP脚钉，对地板等地面材料起到保护作用。         6、结构稳固，不易倾倒。圆角设计，安全缝隙和孔洞符合GB28007-2011儿童家具通用技术条件的要求。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color w:val="000000"/>
                <w:sz w:val="22"/>
                <w:szCs w:val="22"/>
                <w:u w:val="none"/>
              </w:rPr>
            </w:pPr>
            <w:r>
              <w:drawing>
                <wp:inline distT="0" distB="0" distL="114300" distR="114300">
                  <wp:extent cx="685800" cy="1016000"/>
                  <wp:effectExtent l="0" t="0" r="0" b="12700"/>
                  <wp:docPr id="23" name="图片 5" descr="E:\报价用图\2019\TF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E:\报价用图\2019\TF67.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685800" cy="1016000"/>
                          </a:xfrm>
                          <a:prstGeom prst="rect">
                            <a:avLst/>
                          </a:prstGeom>
                          <a:noFill/>
                          <a:ln>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华文中宋" w:hAnsi="华文中宋" w:eastAsia="华文中宋" w:cs="华文中宋"/>
                <w:i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9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5</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木制四面画架</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尺寸：60×60×120cm。1、采用18mm厚优质环保三聚氰胺双贴面高密度刨花板，甲醛释放量符合GB18580-2017标准要求。（提供饰面刨花板甲醛释放量检测报告）    2、优质PVC边条封边，邻苯二甲酸酯含量符合国家标准规范的要求。 （提供家具封边条邻苯二甲酸酯含量检测报告）    3、五金件选用环保五金，安全无毒。符合国家标准规范的要求，钡、铅、镉、锑、硒、铬、汞、砷等含量控制指标完全符合要求。（提供五金件8大重金属检测报告）    4、四面均配置有塑料储物盒，方便画笔及颜料的存放。结构稳固，不易倾倒。全面采用圆角设计，安全缝隙和孔洞均符合GB28007-2011儿童家具通用技术条件的要求。</w:t>
            </w:r>
          </w:p>
          <w:p>
            <w:pPr>
              <w:pStyle w:val="2"/>
              <w:rPr>
                <w:rFonts w:hint="eastAsia" w:asciiTheme="minorEastAsia" w:hAnsiTheme="minorEastAsia" w:eastAsiaTheme="minorEastAsia" w:cstheme="minorEastAsia"/>
                <w:sz w:val="20"/>
                <w:szCs w:val="20"/>
              </w:rPr>
            </w:pP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color w:val="000000"/>
                <w:sz w:val="22"/>
                <w:szCs w:val="22"/>
                <w:u w:val="none"/>
              </w:rPr>
            </w:pPr>
            <w:r>
              <w:drawing>
                <wp:inline distT="0" distB="0" distL="114300" distR="114300">
                  <wp:extent cx="591185" cy="955675"/>
                  <wp:effectExtent l="0" t="0" r="18415" b="15875"/>
                  <wp:docPr id="25" name="图片 7" descr="E:\报价用图\2019\KB1-TF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descr="E:\报价用图\2019\KB1-TF028.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591185" cy="955675"/>
                          </a:xfrm>
                          <a:prstGeom prst="rect">
                            <a:avLst/>
                          </a:prstGeom>
                          <a:noFill/>
                          <a:ln>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华文中宋" w:hAnsi="华文中宋" w:eastAsia="华文中宋" w:cs="华文中宋"/>
                <w:i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21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6</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新双面画架(枫木纹)</w:t>
            </w:r>
          </w:p>
          <w:p>
            <w:pPr>
              <w:pStyle w:val="10"/>
              <w:bidi w:val="0"/>
              <w:ind w:left="0" w:leftChars="0" w:firstLine="0" w:firstLineChars="0"/>
              <w:jc w:val="left"/>
              <w:rPr>
                <w:rFonts w:hint="eastAsia" w:asciiTheme="minorEastAsia" w:hAnsiTheme="minorEastAsia" w:eastAsiaTheme="minorEastAsia" w:cstheme="minorEastAsia"/>
                <w:sz w:val="20"/>
                <w:szCs w:val="20"/>
              </w:rPr>
            </w:pPr>
            <w:r>
              <w:rPr>
                <w:rFonts w:hint="eastAsia"/>
                <w:sz w:val="20"/>
                <w:szCs w:val="20"/>
                <w:lang w:val="en-US" w:eastAsia="zh-CN"/>
              </w:rPr>
              <w:t>尺寸：60×120cm。1、采用18mm厚优质环保三聚氰胺双贴面高密度刨花板，甲醛释放量符合GB18580-2017标准要求。（提供饰面刨花板甲醛释放量检测报告）    2、优质PVC边条封边，邻苯二甲酸酯含量符合国家标准规范的要求。 （提供家具封边条邻苯二甲酸酯含量检测报告）    3、五金件选用环保五金，安全无毒。符合国家标准规范的要求，钡、铅、镉、锑、硒、铬、汞、砷等含量控制指标完全符合要求。（提供五金件8大重金属检测报告）    4、两面均配置有塑料储物盒，方便画笔及颜料的存放。结构稳固，不易倾倒。全面采用圆角设计，安全缝隙和孔洞均符合GB28007-2011儿童家具通用技术条件的要求。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886460" cy="971550"/>
                  <wp:effectExtent l="0" t="0" r="8890" b="0"/>
                  <wp:docPr id="26" name="图片 8" descr="E:\报价用图\2019\KB1-ES026-V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descr="E:\报价用图\2019\KB1-ES026-V01.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886460" cy="971550"/>
                          </a:xfrm>
                          <a:prstGeom prst="rect">
                            <a:avLst/>
                          </a:prstGeom>
                          <a:noFill/>
                          <a:ln>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华文中宋" w:hAnsi="华文中宋" w:eastAsia="华文中宋" w:cs="华文中宋"/>
                <w:i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534"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pPr>
              <w:keepNext w:val="0"/>
              <w:keepLines w:val="0"/>
              <w:widowControl/>
              <w:suppressLineNumbers w:val="0"/>
              <w:jc w:val="both"/>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7</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铁制户外透明双面画架</w:t>
            </w:r>
          </w:p>
          <w:p>
            <w:pPr>
              <w:pStyle w:val="10"/>
              <w:bidi w:val="0"/>
              <w:ind w:left="0" w:leftChars="0" w:firstLine="0" w:firstLineChars="0"/>
              <w:jc w:val="left"/>
              <w:rPr>
                <w:rFonts w:hint="eastAsia" w:asciiTheme="minorEastAsia" w:hAnsiTheme="minorEastAsia" w:eastAsiaTheme="minorEastAsia" w:cstheme="minorEastAsia"/>
                <w:sz w:val="20"/>
                <w:szCs w:val="20"/>
              </w:rPr>
            </w:pPr>
            <w:r>
              <w:rPr>
                <w:rFonts w:hint="eastAsia"/>
                <w:sz w:val="20"/>
                <w:szCs w:val="20"/>
                <w:lang w:val="en-US" w:eastAsia="zh-CN"/>
              </w:rPr>
              <w:t>尺寸：60×120cm。铁架采用管径19mm，厚1.2mm铁管，表面高级别抗紫外线户外用烤漆处理，不易变色，漆面牢固性好。画板采用4mm厚透明亚克力板。五金件选用环保五金，安全无毒。符合国家标准规范的要求，钡、铅、镉、锑、硒、铬、汞、砷等含量控制指标完全符合要求。（提供五金件8大重金属检测报告）    4、两面均配置有塑料储物盒，方便画笔及颜料的存放。结构稳固，不易倾倒。全面采用圆角设计，安全缝隙和孔洞均符合GB28007-2011儿童家具通用技术条件的要求。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838835" cy="1009650"/>
                  <wp:effectExtent l="0" t="0" r="18415" b="0"/>
                  <wp:docPr id="27" name="图片 9" descr="E:\报价用图\2019\KB1-TF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descr="E:\报价用图\2019\KB1-TF031.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838835" cy="1009650"/>
                          </a:xfrm>
                          <a:prstGeom prst="rect">
                            <a:avLst/>
                          </a:prstGeom>
                          <a:noFill/>
                          <a:ln>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华文中宋" w:hAnsi="华文中宋" w:eastAsia="华文中宋" w:cs="华文中宋"/>
                <w:i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8</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美罗美术综合柜</w:t>
            </w:r>
          </w:p>
          <w:p>
            <w:pPr>
              <w:pStyle w:val="10"/>
              <w:bidi w:val="0"/>
              <w:ind w:left="0" w:leftChars="0" w:firstLine="0" w:firstLineChars="0"/>
              <w:jc w:val="left"/>
              <w:rPr>
                <w:rFonts w:hint="eastAsia" w:asciiTheme="minorEastAsia" w:hAnsiTheme="minorEastAsia" w:eastAsiaTheme="minorEastAsia" w:cstheme="minorEastAsia"/>
                <w:sz w:val="20"/>
                <w:szCs w:val="20"/>
              </w:rPr>
            </w:pPr>
            <w:r>
              <w:rPr>
                <w:rFonts w:hint="eastAsia"/>
                <w:sz w:val="20"/>
                <w:szCs w:val="20"/>
                <w:lang w:val="en-US" w:eastAsia="zh-CN"/>
              </w:rPr>
              <w:t>尺寸：60×60×65cm。1、采用18mm厚优质环保三聚氰胺双贴面高密度刨花板，甲醛释放量符合GB18580-2017标准要求。（提供饰面刨花板甲醛释放量检测报告）       2、耐磨、耐污、耐划伤，易清洁，耐磨测试250R无透底现象。       3、优质PVC边条封边，邻苯二甲酸酯含量符合国家标准规范的要求。 （提供家具封边条邻苯二甲酸酯含量检测报告）     4、五金件选用环保五金，安全无毒。符合国家标准规范的要求，钡、铅、镉、锑、硒、铬、汞、砷等含量控制指标完全符合要求。（提供五金件8大重金属检测报告）    5、柜体顶部9宫格储存空间，用于美术用品的摆放。柜体底部配以4个塑料滑轮，便于移动。         6、结构稳固，不易倾倒。圆角设计，安全缝隙和孔洞符合GB28007-2011儿童家具通用技术条件的要求。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631190" cy="1000125"/>
                  <wp:effectExtent l="0" t="0" r="16510" b="9525"/>
                  <wp:docPr id="28" name="图片 10" descr="E:\报价用图\2019\TF0111-V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descr="E:\报价用图\2019\TF0111-V02.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631190" cy="1000125"/>
                          </a:xfrm>
                          <a:prstGeom prst="rect">
                            <a:avLst/>
                          </a:prstGeom>
                          <a:noFill/>
                          <a:ln>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华文中宋" w:hAnsi="华文中宋" w:eastAsia="华文中宋" w:cs="华文中宋"/>
                <w:i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9</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维也纳6人桌面</w:t>
            </w:r>
          </w:p>
          <w:p>
            <w:pPr>
              <w:pStyle w:val="10"/>
              <w:bidi w:val="0"/>
              <w:ind w:left="0" w:leftChars="0" w:firstLine="0" w:firstLineChars="0"/>
              <w:jc w:val="left"/>
              <w:rPr>
                <w:rFonts w:hint="eastAsia" w:asciiTheme="minorEastAsia" w:hAnsiTheme="minorEastAsia" w:eastAsiaTheme="minorEastAsia" w:cstheme="minorEastAsia"/>
                <w:sz w:val="20"/>
                <w:szCs w:val="20"/>
              </w:rPr>
            </w:pPr>
            <w:r>
              <w:rPr>
                <w:rFonts w:hint="eastAsia"/>
                <w:sz w:val="20"/>
                <w:szCs w:val="20"/>
                <w:lang w:val="en-US" w:eastAsia="zh-CN"/>
              </w:rPr>
              <w:t>桌面尺寸：120×60cm。1、桌面采用25mm厚优质环保三聚氰胺双贴面高密度刨花板，甲醛释放量符合GB18580-2017标准要求。（提供饰面刨花板甲醛释放量检测报告）    2、表面耐磨、耐污、耐划伤，易清洁，耐磨测试250R无透底现象。    3、优质PVC边条封边，邻苯二甲酸酯含量符合国家标准规范的要求。 （提供家具封边条邻苯二甲酸酯含量检测报告）    4、桌脚采用48×48mm的桦木，表面喷涂高环保的清水油漆，重金属钡、铅、镉、锑、硒、铬、汞、砷等含量符合国家标准规范的要求。（提供油漆8大重金属检测报告）使用预埋螺栓及固定挡块形式与桌面连接，底部配以耐磨塑胶PP脚钉，对地板等地面材料起到保护作用。    5、五金件选用环保五金，安全无毒。符合国家标准规范的要求，钡、铅、镉、锑、硒、铬、汞、砷等含量控制指标完全符合要求。（提供五金件8大重金属检测报告）    6、桌面下立水采用弧形外观设计，手感平滑圆润，线条优美。    7、强度高，可承受200KG的静载2小时，100KG的静载24小时，长期使用不变形。    8、结构稳固，不易倾倒。圆角设计，符合GB28007-2011儿童家具通用技术条件的要求。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809625" cy="981710"/>
                  <wp:effectExtent l="0" t="0" r="9525" b="8890"/>
                  <wp:docPr id="595" name="图片 11" descr="E:\报价用图\2019\KB4-VNT12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图片 11" descr="E:\报价用图\2019\KB4-VNT12060.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809625" cy="981710"/>
                          </a:xfrm>
                          <a:prstGeom prst="rect">
                            <a:avLst/>
                          </a:prstGeom>
                          <a:noFill/>
                          <a:ln>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张</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华文中宋" w:hAnsi="华文中宋" w:eastAsia="华文中宋" w:cs="华文中宋"/>
                <w:i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10</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维也纳教椅25CM</w:t>
            </w:r>
          </w:p>
          <w:p>
            <w:pPr>
              <w:pStyle w:val="10"/>
              <w:bidi w:val="0"/>
              <w:ind w:left="0" w:leftChars="0" w:firstLine="0" w:firstLineChars="0"/>
              <w:jc w:val="left"/>
              <w:rPr>
                <w:rFonts w:hint="eastAsia" w:asciiTheme="minorEastAsia" w:hAnsiTheme="minorEastAsia" w:eastAsiaTheme="minorEastAsia" w:cstheme="minorEastAsia"/>
                <w:sz w:val="20"/>
                <w:szCs w:val="20"/>
              </w:rPr>
            </w:pPr>
            <w:r>
              <w:rPr>
                <w:rFonts w:hint="eastAsia"/>
                <w:sz w:val="20"/>
                <w:szCs w:val="20"/>
                <w:lang w:val="en-US" w:eastAsia="zh-CN"/>
              </w:rPr>
              <w:t>尺寸：座高25cm。1、采用18mm厚优质环保三聚氰胺双贴面胶合板，甲醛释放量符合GB18580-2017标准要求。（提供饰面胶合板甲醛释放量检测报告）    2、表面耐磨、耐污、耐划伤，易清洁，耐磨测试250R无透底现象。    3、原生态木蜡油封边，重金属钡、铅、镉、锑、硒、铬、汞、砷等含量符合国家标准规范的要求。（提供木蜡油8大重金属检测报告）    4、五金件选用环保五金，安全无毒。符合国家标准规范的要求，钡、铅、镉、锑、硒、铬、汞、砷等含量控制指标完全符合要求。（提供五金件8大重金属检测报告）    5、椅脚底部配以耐磨塑胶PP脚钉，对地板等地面材料起到保护作用。    6、强度高，可承受200KG的静载2小时，100KG的静载24小时，并可承受20000次的疲劳测试，椅背后倾测试8万次，安全耐用。 7、前后加横档设计，增加了产品的结构强度，承重能力强，且不易断裂破损。 8、座位舒适，贴合幼儿身体曲线设计，结构稳固，不易倾翻，符合GB28007-2011儿童家具通用技术条件的要求。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color w:val="000000"/>
                <w:sz w:val="22"/>
                <w:szCs w:val="22"/>
                <w:u w:val="none"/>
              </w:rPr>
            </w:pPr>
            <w:r>
              <w:drawing>
                <wp:inline distT="0" distB="0" distL="114300" distR="114300">
                  <wp:extent cx="791210" cy="952500"/>
                  <wp:effectExtent l="0" t="0" r="8890" b="0"/>
                  <wp:docPr id="30" name="图片 12" descr="E:\报价用图\2019\KB5-VNXC25-V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descr="E:\报价用图\2019\KB5-VNXC25-V02.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791210" cy="952500"/>
                          </a:xfrm>
                          <a:prstGeom prst="rect">
                            <a:avLst/>
                          </a:prstGeom>
                          <a:noFill/>
                          <a:ln>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把</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华文中宋" w:hAnsi="华文中宋" w:eastAsia="华文中宋" w:cs="华文中宋"/>
                <w:i w:val="0"/>
                <w:color w:val="000000"/>
                <w:kern w:val="0"/>
                <w:sz w:val="22"/>
                <w:szCs w:val="22"/>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11</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维也纳16格柜</w:t>
            </w:r>
          </w:p>
          <w:p>
            <w:pPr>
              <w:pStyle w:val="10"/>
              <w:bidi w:val="0"/>
              <w:ind w:left="0" w:leftChars="0" w:firstLine="0" w:firstLineChars="0"/>
              <w:jc w:val="left"/>
              <w:rPr>
                <w:rFonts w:hint="eastAsia" w:asciiTheme="minorEastAsia" w:hAnsiTheme="minorEastAsia" w:eastAsiaTheme="minorEastAsia" w:cstheme="minorEastAsia"/>
                <w:sz w:val="20"/>
                <w:szCs w:val="20"/>
              </w:rPr>
            </w:pPr>
            <w:r>
              <w:rPr>
                <w:rFonts w:hint="eastAsia"/>
                <w:sz w:val="20"/>
                <w:szCs w:val="20"/>
                <w:lang w:val="en-US" w:eastAsia="zh-CN"/>
              </w:rPr>
              <w:t>尺寸：108×30×89cm。1、采用18mm厚优质环保三聚氰胺双贴面高密度刨花板，甲醛释放量符合GB18580-2017标准要求。（提供饰面刨花板甲醛释放量检测报告）背板为5mm枫木纹三聚氰胺双贴面密度板。    2、表面耐磨、耐污、耐划伤，易清洁，耐磨测试250R无透底现象。    3、优质PVC边条封边，邻苯二甲酸酯含量符合国家标准规范的要求。 （提供家具封边条邻苯二甲酸酯含量检测报告）    4、五金件选用环保五金，安全无毒。符合国家标准规范的要求，钡、铅、镉、锑、硒、铬、汞、砷等含量控制指标完全符合要求。（提供五金件8大重金属检测报告）    5、柜体底部配以耐磨塑胶PP脚钉，对地板等地面材料起到保护作用。    6、采用踢脚板设计，即增加了稳定性，又可以防止杂物进入柜底。柜体流线弧形圆角造型，美观实用。    7、柜体内部格局分为16格。边角安全防撞设计，对所有的外露面、外漏角进行弧状倒角设计，避免锐角的产生，最大程度的避免儿童磕碰伤害，符合GB28007-2011儿童家具通用技术条件的要求。结构稳固，不易倾倒。全面采用圆角设计，安全缝隙和孔洞均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812800" cy="971550"/>
                  <wp:effectExtent l="0" t="0" r="6350" b="0"/>
                  <wp:docPr id="33" name="图片 15" descr="E:\报价用图\2019\KB1-VNX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descr="E:\报价用图\2019\KB1-VNX023.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812800" cy="971550"/>
                          </a:xfrm>
                          <a:prstGeom prst="rect">
                            <a:avLst/>
                          </a:prstGeom>
                          <a:noFill/>
                          <a:ln>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华文中宋" w:hAnsi="华文中宋" w:eastAsia="华文中宋" w:cs="华文中宋"/>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12</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asciiTheme="minorEastAsia" w:hAnsiTheme="minorEastAsia" w:eastAsiaTheme="minorEastAsia" w:cstheme="minorEastAsia"/>
                <w:sz w:val="20"/>
                <w:szCs w:val="20"/>
                <w:lang w:val="en-US" w:eastAsia="zh-CN"/>
              </w:rPr>
              <w:t xml:space="preserve">  </w:t>
            </w:r>
            <w:r>
              <w:rPr>
                <w:rFonts w:hint="eastAsia"/>
                <w:sz w:val="20"/>
                <w:szCs w:val="20"/>
                <w:lang w:val="en-US" w:eastAsia="zh-CN"/>
              </w:rPr>
              <w:t>维也纳教具盒柜</w:t>
            </w:r>
          </w:p>
          <w:p>
            <w:pPr>
              <w:pStyle w:val="10"/>
              <w:bidi w:val="0"/>
              <w:ind w:left="0" w:leftChars="0" w:firstLine="0" w:firstLineChars="0"/>
              <w:jc w:val="left"/>
              <w:rPr>
                <w:rFonts w:hint="eastAsia" w:asciiTheme="minorEastAsia" w:hAnsiTheme="minorEastAsia" w:eastAsiaTheme="minorEastAsia" w:cstheme="minorEastAsia"/>
                <w:sz w:val="20"/>
                <w:szCs w:val="20"/>
              </w:rPr>
            </w:pPr>
            <w:r>
              <w:rPr>
                <w:rFonts w:hint="eastAsia"/>
                <w:sz w:val="20"/>
                <w:szCs w:val="20"/>
                <w:lang w:val="en-US" w:eastAsia="zh-CN"/>
              </w:rPr>
              <w:t>尺寸：76.8×30×89cm。1、采用18mm厚优质环保三聚氰胺双贴面高密度刨花板，甲醛释放量符合GB18580-2017标准要求。（提供饰面刨花板甲醛释放量检测报告） 背板为5mm枫木纹三聚氰胺双贴面密度板。   2、表面耐磨、耐污、耐划伤，易清洁，耐磨测试250R无透底现象。    3、优质PVC边条封边，邻苯二甲酸酯含量符合国家标准规范的要求。 （提供家具封边条邻苯二甲酸酯含量检测报告）    4、五金件选用环保五金，安全无毒。符合国家标准规范的要求，钡、铅、镉、锑、硒、铬、汞、砷等含量控制指标完全符合要求。（提供五金件8大重金属检测报告）    5、柜体底部配以耐磨塑胶PP脚钉，对地板等地面材料起到保护作用。    6、采用踢脚板设计，即增加了稳定性，又可以防止杂物进入柜底。柜体流线弧形圆角造型，美观实用。    7、两侧侧板的内侧设置有若干塑胶PP条，用于教具盒的存放。边角安全防撞设计，对所有的外露面、外漏角进行弧状倒角设计，避免锐角的产生，最大程度的避免儿童磕碰伤害，符合GB28007-2011儿童家具通用技术条件的要求。结构稳固，不易倾倒。全面采用圆角设计，安全缝隙和孔洞均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704850" cy="841375"/>
                  <wp:effectExtent l="0" t="0" r="0" b="15875"/>
                  <wp:docPr id="34" name="图片 16" descr="E:\报价用图\2019\KB1-VNX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descr="E:\报价用图\2019\KB1-VNX016.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704850" cy="841375"/>
                          </a:xfrm>
                          <a:prstGeom prst="rect">
                            <a:avLst/>
                          </a:prstGeom>
                          <a:noFill/>
                          <a:ln>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华文中宋" w:hAnsi="华文中宋" w:eastAsia="华文中宋" w:cs="华文中宋"/>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13</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多彩教具盒小-桔色</w:t>
            </w:r>
          </w:p>
          <w:p>
            <w:pPr>
              <w:pStyle w:val="2"/>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尺寸：26×23×10cm。采用环保安全塑料。</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789305" cy="787400"/>
                  <wp:effectExtent l="0" t="0" r="10795" b="12700"/>
                  <wp:docPr id="36" name="图片 35" descr="E:\报价用图\2019\KB1-TR002-V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descr="E:\报价用图\2019\KB1-TR002-V01-57.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a:xfrm>
                            <a:off x="0" y="0"/>
                            <a:ext cx="789305" cy="787400"/>
                          </a:xfrm>
                          <a:prstGeom prst="rect">
                            <a:avLst/>
                          </a:prstGeom>
                          <a:noFill/>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华文中宋" w:hAnsi="华文中宋" w:eastAsia="华文中宋" w:cs="华文中宋"/>
                <w:i w:val="0"/>
                <w:color w:val="000000"/>
                <w:kern w:val="0"/>
                <w:sz w:val="22"/>
                <w:szCs w:val="22"/>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14</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多彩教具盒大-桔色</w:t>
            </w:r>
          </w:p>
          <w:p>
            <w:pPr>
              <w:pStyle w:val="2"/>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尺寸：26×23×19cm。采用环保安全塑料。</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color w:val="000000"/>
                <w:sz w:val="22"/>
                <w:szCs w:val="22"/>
                <w:u w:val="none"/>
              </w:rPr>
            </w:pPr>
            <w:r>
              <w:drawing>
                <wp:inline distT="0" distB="0" distL="114300" distR="114300">
                  <wp:extent cx="821055" cy="821690"/>
                  <wp:effectExtent l="0" t="0" r="17145" b="16510"/>
                  <wp:docPr id="37" name="图片 36" descr="E:\报价用图\2019\KB1-TR001-V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descr="E:\报价用图\2019\KB1-TR001-V01-57.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a:xfrm>
                            <a:off x="0" y="0"/>
                            <a:ext cx="821055" cy="821690"/>
                          </a:xfrm>
                          <a:prstGeom prst="rect">
                            <a:avLst/>
                          </a:prstGeom>
                          <a:noFill/>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华文中宋" w:hAnsi="华文中宋" w:eastAsia="华文中宋" w:cs="华文中宋"/>
                <w:i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15</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维也纳5格中空柜</w:t>
            </w:r>
          </w:p>
          <w:p>
            <w:pPr>
              <w:pStyle w:val="10"/>
              <w:bidi w:val="0"/>
              <w:ind w:left="0" w:leftChars="0" w:firstLine="0" w:firstLineChars="0"/>
              <w:jc w:val="left"/>
              <w:rPr>
                <w:rFonts w:hint="eastAsia" w:asciiTheme="minorEastAsia" w:hAnsiTheme="minorEastAsia" w:eastAsiaTheme="minorEastAsia" w:cstheme="minorEastAsia"/>
                <w:sz w:val="20"/>
                <w:szCs w:val="20"/>
              </w:rPr>
            </w:pPr>
            <w:r>
              <w:rPr>
                <w:rFonts w:hint="eastAsia"/>
                <w:sz w:val="20"/>
                <w:szCs w:val="20"/>
                <w:lang w:val="en-US" w:eastAsia="zh-CN"/>
              </w:rPr>
              <w:t>尺寸：108×30×65cm。1、采用18mm厚优质环保三聚氰胺双贴面高密度刨花板，甲醛释放量符合GB18580-2017标准要求。（提供饰面刨花板甲醛释放量检测报告）    2、表面耐磨、耐污、耐划伤，易清洁，耐磨测试250R无透底现象。    3、优质PVC边条封边，邻苯二甲酸酯含量符合国家标准规范的要求。 （提供家具封边条邻苯二甲酸酯含量检测报告）    4、五金件选用环保五金，安全无毒。符合国家标准规范的要求，钡、铅、镉、锑、硒、铬、汞、砷等含量控制指标完全符合要求。（提供五金件8大重金属检测报告）    5、柜体底部配以耐磨塑胶PP脚钉，对地板等地面材料起到保护作用。    6、采用踢脚板设计，即增加了稳定性，又可以防止杂物进入柜底。柜体流线弧形圆角造型，美观实用。    7、柜体内部格局分为二层，上层为2格，下层为3格。边角安全防撞设计，对所有的外露面、外漏角进行弧状倒角设计，避免锐角的产生，最大程度的避免儿童磕碰伤害，符合GB28007-2011儿童家具通用技术条件的要求。结构稳固，不易倾倒。全面采用圆角设计，安全缝隙和孔洞均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color w:val="000000"/>
                <w:sz w:val="22"/>
                <w:szCs w:val="22"/>
                <w:u w:val="none"/>
              </w:rPr>
            </w:pPr>
            <w:r>
              <w:drawing>
                <wp:inline distT="0" distB="0" distL="114300" distR="114300">
                  <wp:extent cx="793750" cy="1095375"/>
                  <wp:effectExtent l="0" t="0" r="6350" b="9525"/>
                  <wp:docPr id="35" name="图片 17" descr="E:\报价用图\2019\KB1-VNX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descr="E:\报价用图\2019\KB1-VNX008.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793750" cy="1095375"/>
                          </a:xfrm>
                          <a:prstGeom prst="rect">
                            <a:avLst/>
                          </a:prstGeom>
                          <a:noFill/>
                          <a:ln>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华文中宋" w:hAnsi="华文中宋" w:eastAsia="华文中宋" w:cs="华文中宋"/>
                <w:i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0" w:hRule="atLeast"/>
        </w:trPr>
        <w:tc>
          <w:tcPr>
            <w:tcW w:w="8840" w:type="dxa"/>
            <w:gridSpan w:val="5"/>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b/>
                <w:i w:val="0"/>
                <w:color w:val="000000"/>
                <w:sz w:val="22"/>
                <w:szCs w:val="22"/>
                <w:u w:val="none"/>
              </w:rPr>
            </w:pPr>
            <w:r>
              <w:rPr>
                <w:rFonts w:hint="eastAsia" w:ascii="宋体" w:hAnsi="宋体" w:cs="宋体"/>
                <w:b/>
                <w:bCs w:val="0"/>
                <w:i w:val="0"/>
                <w:color w:val="000000"/>
                <w:kern w:val="0"/>
                <w:sz w:val="22"/>
                <w:szCs w:val="22"/>
                <w:u w:val="none"/>
                <w:lang w:val="en-US" w:eastAsia="zh-CN" w:bidi="ar"/>
              </w:rPr>
              <w:t>多功能教室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9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1</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sz w:val="20"/>
                <w:szCs w:val="20"/>
              </w:rPr>
            </w:pPr>
            <w:r>
              <w:rPr>
                <w:rFonts w:hint="eastAsia" w:ascii="宋体" w:hAnsi="宋体" w:eastAsia="宋体" w:cs="宋体"/>
                <w:sz w:val="20"/>
                <w:szCs w:val="20"/>
              </w:rPr>
              <w:t>教师椅</w:t>
            </w:r>
          </w:p>
          <w:p>
            <w:pPr>
              <w:pStyle w:val="2"/>
              <w:rPr>
                <w:rFonts w:hint="eastAsia" w:ascii="宋体" w:hAnsi="宋体" w:eastAsia="宋体" w:cs="宋体"/>
                <w:sz w:val="20"/>
                <w:szCs w:val="20"/>
              </w:rPr>
            </w:pPr>
            <w:r>
              <w:rPr>
                <w:rFonts w:hint="eastAsia" w:ascii="宋体" w:hAnsi="宋体" w:eastAsia="宋体" w:cs="宋体"/>
                <w:sz w:val="20"/>
                <w:szCs w:val="20"/>
              </w:rPr>
              <w:t xml:space="preserve">材质：进口ABS工程塑料，      </w:t>
            </w:r>
          </w:p>
          <w:p>
            <w:pPr>
              <w:pStyle w:val="2"/>
              <w:rPr>
                <w:rFonts w:hint="eastAsia" w:ascii="宋体" w:hAnsi="宋体" w:eastAsia="宋体" w:cs="宋体"/>
                <w:sz w:val="20"/>
                <w:szCs w:val="20"/>
              </w:rPr>
            </w:pPr>
            <w:r>
              <w:rPr>
                <w:rFonts w:hint="eastAsia" w:ascii="宋体" w:hAnsi="宋体" w:eastAsia="宋体" w:cs="宋体"/>
                <w:sz w:val="20"/>
                <w:szCs w:val="20"/>
              </w:rPr>
              <w:t>规格：80*48*46cm</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897890" cy="967740"/>
                  <wp:effectExtent l="0" t="0" r="16510" b="3810"/>
                  <wp:docPr id="600" name="图片 7" descr="QQ图片2019071121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图片 7" descr="QQ图片20190711213045"/>
                          <pic:cNvPicPr>
                            <a:picLocks noChangeAspect="1"/>
                          </pic:cNvPicPr>
                        </pic:nvPicPr>
                        <pic:blipFill>
                          <a:blip r:embed="rId109"/>
                          <a:srcRect b="5275"/>
                          <a:stretch>
                            <a:fillRect/>
                          </a:stretch>
                        </pic:blipFill>
                        <pic:spPr>
                          <a:xfrm>
                            <a:off x="0" y="0"/>
                            <a:ext cx="897890" cy="967740"/>
                          </a:xfrm>
                          <a:prstGeom prst="rect">
                            <a:avLst/>
                          </a:prstGeom>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把</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黑体" w:hAnsi="宋体" w:eastAsia="黑体" w:cs="黑体"/>
                <w:i w:val="0"/>
                <w:color w:val="000000"/>
                <w:kern w:val="0"/>
                <w:sz w:val="22"/>
                <w:szCs w:val="22"/>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21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2</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教师椅</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材质：进口ABS工程塑料，      </w:t>
            </w:r>
          </w:p>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规格：76*47*44cm</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726440" cy="728345"/>
                  <wp:effectExtent l="0" t="0" r="16510" b="14605"/>
                  <wp:docPr id="601" name="图片 8" descr="QQ图片2019071121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图片 8" descr="QQ图片20190711213045"/>
                          <pic:cNvPicPr>
                            <a:picLocks noChangeAspect="1"/>
                          </pic:cNvPicPr>
                        </pic:nvPicPr>
                        <pic:blipFill>
                          <a:blip r:embed="rId109"/>
                          <a:srcRect b="7738"/>
                          <a:stretch>
                            <a:fillRect/>
                          </a:stretch>
                        </pic:blipFill>
                        <pic:spPr>
                          <a:xfrm>
                            <a:off x="0" y="0"/>
                            <a:ext cx="726440" cy="728345"/>
                          </a:xfrm>
                          <a:prstGeom prst="rect">
                            <a:avLst/>
                          </a:prstGeom>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把</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黑体" w:hAnsi="宋体" w:eastAsia="黑体" w:cs="黑体"/>
                <w:i w:val="0"/>
                <w:color w:val="000000"/>
                <w:kern w:val="0"/>
                <w:sz w:val="22"/>
                <w:szCs w:val="22"/>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21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3</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教师椅</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材质：进口ABS工程塑料，      </w:t>
            </w:r>
          </w:p>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规格：70*44*40cm</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612140" cy="613410"/>
                  <wp:effectExtent l="0" t="0" r="16510" b="15240"/>
                  <wp:docPr id="602" name="图片 9" descr="QQ图片2019071121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图片 9" descr="QQ图片20190711213045"/>
                          <pic:cNvPicPr>
                            <a:picLocks noChangeAspect="1"/>
                          </pic:cNvPicPr>
                        </pic:nvPicPr>
                        <pic:blipFill>
                          <a:blip r:embed="rId109"/>
                          <a:srcRect b="7738"/>
                          <a:stretch>
                            <a:fillRect/>
                          </a:stretch>
                        </pic:blipFill>
                        <pic:spPr>
                          <a:xfrm>
                            <a:off x="0" y="0"/>
                            <a:ext cx="612140" cy="613410"/>
                          </a:xfrm>
                          <a:prstGeom prst="rect">
                            <a:avLst/>
                          </a:prstGeom>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把</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黑体" w:hAnsi="宋体" w:eastAsia="黑体" w:cs="黑体"/>
                <w:i w:val="0"/>
                <w:color w:val="000000"/>
                <w:kern w:val="0"/>
                <w:sz w:val="22"/>
                <w:szCs w:val="22"/>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59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4</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演讲台</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材质：芬兰松烤漆，                </w:t>
            </w:r>
          </w:p>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规格：109*60*50cm                       </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501015" cy="501015"/>
                  <wp:effectExtent l="0" t="0" r="13335" b="13335"/>
                  <wp:docPr id="603" name="图片 6" descr="QQ图片2019071121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图片 6" descr="QQ图片20190711212129"/>
                          <pic:cNvPicPr>
                            <a:picLocks noChangeAspect="1"/>
                          </pic:cNvPicPr>
                        </pic:nvPicPr>
                        <pic:blipFill>
                          <a:blip r:embed="rId110"/>
                          <a:stretch>
                            <a:fillRect/>
                          </a:stretch>
                        </pic:blipFill>
                        <pic:spPr>
                          <a:xfrm>
                            <a:off x="0" y="0"/>
                            <a:ext cx="501015" cy="501015"/>
                          </a:xfrm>
                          <a:prstGeom prst="rect">
                            <a:avLst/>
                          </a:prstGeom>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黑体" w:hAnsi="宋体" w:eastAsia="黑体" w:cs="黑体"/>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9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5</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造型茶杯柜</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材质：芬兰松烤漆，                </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规格：120*40*75cm     </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p>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pPr>
          </w:p>
          <w:p>
            <w:pPr>
              <w:pStyle w:val="2"/>
              <w:rPr>
                <w:rFonts w:hint="eastAsia"/>
              </w:rPr>
            </w:pPr>
            <w:r>
              <w:drawing>
                <wp:anchor distT="0" distB="0" distL="114300" distR="114300" simplePos="0" relativeHeight="253720576" behindDoc="0" locked="0" layoutInCell="1" allowOverlap="1">
                  <wp:simplePos x="0" y="0"/>
                  <wp:positionH relativeFrom="column">
                    <wp:posOffset>60325</wp:posOffset>
                  </wp:positionH>
                  <wp:positionV relativeFrom="paragraph">
                    <wp:posOffset>992505</wp:posOffset>
                  </wp:positionV>
                  <wp:extent cx="720090" cy="720090"/>
                  <wp:effectExtent l="0" t="0" r="3810" b="3810"/>
                  <wp:wrapNone/>
                  <wp:docPr id="623" name="图片 4" descr="QQ图片2019071121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图片 4" descr="QQ图片20190711211622"/>
                          <pic:cNvPicPr>
                            <a:picLocks noChangeAspect="1"/>
                          </pic:cNvPicPr>
                        </pic:nvPicPr>
                        <pic:blipFill>
                          <a:blip r:embed="rId111"/>
                          <a:stretch>
                            <a:fillRect/>
                          </a:stretch>
                        </pic:blipFill>
                        <pic:spPr>
                          <a:xfrm>
                            <a:off x="0" y="0"/>
                            <a:ext cx="720090" cy="720090"/>
                          </a:xfrm>
                          <a:prstGeom prst="rect">
                            <a:avLst/>
                          </a:prstGeom>
                        </pic:spPr>
                      </pic:pic>
                    </a:graphicData>
                  </a:graphic>
                </wp:anchor>
              </w:drawing>
            </w:r>
            <w:r>
              <w:drawing>
                <wp:anchor distT="0" distB="0" distL="114300" distR="114300" simplePos="0" relativeHeight="253721600" behindDoc="0" locked="0" layoutInCell="1" allowOverlap="1">
                  <wp:simplePos x="0" y="0"/>
                  <wp:positionH relativeFrom="column">
                    <wp:posOffset>68580</wp:posOffset>
                  </wp:positionH>
                  <wp:positionV relativeFrom="paragraph">
                    <wp:posOffset>87630</wp:posOffset>
                  </wp:positionV>
                  <wp:extent cx="674370" cy="679450"/>
                  <wp:effectExtent l="0" t="0" r="11430" b="6350"/>
                  <wp:wrapNone/>
                  <wp:docPr id="604" name="图片 1" descr="QQ图片2019071121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图片 1" descr="QQ图片20190711211609"/>
                          <pic:cNvPicPr>
                            <a:picLocks noChangeAspect="1"/>
                          </pic:cNvPicPr>
                        </pic:nvPicPr>
                        <pic:blipFill>
                          <a:blip r:embed="rId112"/>
                          <a:stretch>
                            <a:fillRect/>
                          </a:stretch>
                        </pic:blipFill>
                        <pic:spPr>
                          <a:xfrm>
                            <a:off x="0" y="0"/>
                            <a:ext cx="674370" cy="679450"/>
                          </a:xfrm>
                          <a:prstGeom prst="rect">
                            <a:avLst/>
                          </a:prstGeom>
                        </pic:spPr>
                      </pic:pic>
                    </a:graphicData>
                  </a:graphic>
                </wp:anchor>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黑体" w:hAnsi="宋体" w:eastAsia="黑体" w:cs="黑体"/>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21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6</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会议活动桌</w:t>
            </w:r>
          </w:p>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材质：钢木            </w:t>
            </w:r>
          </w:p>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规格：150*40*75cm</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670560" cy="670560"/>
                  <wp:effectExtent l="0" t="0" r="15240" b="15240"/>
                  <wp:docPr id="605" name="图片 2" descr="QQ图片20190717170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图片 2" descr="QQ图片20190717170718"/>
                          <pic:cNvPicPr>
                            <a:picLocks noChangeAspect="1"/>
                          </pic:cNvPicPr>
                        </pic:nvPicPr>
                        <pic:blipFill>
                          <a:blip r:embed="rId113"/>
                          <a:stretch>
                            <a:fillRect/>
                          </a:stretch>
                        </pic:blipFill>
                        <pic:spPr>
                          <a:xfrm>
                            <a:off x="0" y="0"/>
                            <a:ext cx="670560" cy="670560"/>
                          </a:xfrm>
                          <a:prstGeom prst="rect">
                            <a:avLst/>
                          </a:prstGeom>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张</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黑体" w:hAnsi="宋体" w:eastAsia="黑体" w:cs="黑体"/>
                <w:i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0" w:hRule="atLeast"/>
        </w:trPr>
        <w:tc>
          <w:tcPr>
            <w:tcW w:w="8840" w:type="dxa"/>
            <w:gridSpan w:val="5"/>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b/>
                <w:i w:val="0"/>
                <w:color w:val="000000"/>
                <w:sz w:val="22"/>
                <w:szCs w:val="22"/>
                <w:u w:val="none"/>
              </w:rPr>
            </w:pPr>
            <w:r>
              <w:rPr>
                <w:rFonts w:hint="eastAsia" w:ascii="宋体" w:hAnsi="宋体" w:cs="宋体"/>
                <w:b/>
                <w:bCs w:val="0"/>
                <w:i w:val="0"/>
                <w:color w:val="000000"/>
                <w:kern w:val="0"/>
                <w:sz w:val="22"/>
                <w:szCs w:val="22"/>
                <w:u w:val="none"/>
                <w:lang w:val="en-US" w:eastAsia="zh-CN" w:bidi="ar"/>
              </w:rPr>
              <w:t>图书室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54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1</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挪葳森林阅读分享屋(布帘木色）</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尺寸：111X110X143cm。1、主框体采用18mm厚优质环保三聚氰胺贴面胶合板，甲醛释放量符合GB18580-2017标准要求。（提供饰面胶合板甲醛释放量检测报告）  2、表面耐磨、耐污、耐划伤，易清洁，耐磨测试250R无透底现象。  3、原生态木蜡油封边，重金属钡、铅、镉、锑、硒、铬、汞、砷等含量符合国家标准规范的要求。（提供木蜡油8大重金属检测报告）  4、五金件选用环保五金，安全无毒。符合国家标准规范的要求，钡、铅、镉、锑、硒、铬、汞、砷等含量控制指标完全符合要求。（提供五金件8大重金属检测报告）  5、亭子造型设计，内部座位区采用环保PVC阻燃透气皮和阻燃泡棉；（提供皮革可分解芳香胺和游离甲醛含量检测报告）  6、采用踢脚板设计，即增加稳定性，又可以防止杂物进入柜底。柜体底部配以耐磨塑胶PP脚钉，对地板等地面材料起到保护作用。结构稳固，不易倾倒，符合GB28007-2011儿童家具通用技术条件的要求。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705485" cy="705485"/>
                  <wp:effectExtent l="0" t="0" r="18415" b="18415"/>
                  <wp:docPr id="609" name="图片 6" descr="E:\报价用图\2019\KB6-AZ161016-V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图片 6" descr="E:\报价用图\2019\KB6-AZ161016-V02-46.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705485" cy="705485"/>
                          </a:xfrm>
                          <a:prstGeom prst="rect">
                            <a:avLst/>
                          </a:prstGeom>
                          <a:noFill/>
                          <a:ln>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华文中宋" w:hAnsi="华文中宋" w:eastAsia="华文中宋" w:cs="华文中宋"/>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9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58"/>
                <w:rFonts w:hint="eastAsia"/>
                <w:lang w:val="en-US" w:eastAsia="zh-CN" w:bidi="ar"/>
              </w:rPr>
              <w:t>2</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挪葳森林阅读沙发柜</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尺寸：120×34×130cm。1、框体采用18mm厚优质环保三聚氰胺贴面胶合板，甲醛释放量符合GB18580-2017标准要求。（提供饰面胶合板甲醛释放量检测报告）  2、表面耐磨、耐污、耐划伤，易清洁，耐磨测试250R无透底现象。  3、原生态木蜡油封边，重金属钡、铅、镉、锑、硒、铬、汞、砷等含量符合国家标准规范的要求。（提供木蜡油8大重金属检测报告）  4、五金件选用环保五金，安全无毒。符合国家标准规范的要求，钡、铅、镉、锑、硒、铬、汞、砷等含量控制指标完全符合要求。（提供五金件8大重金属检测报告）  5、上层为座位区，采用环保PVC阻燃透气皮和阻燃泡棉；（提供皮革可分解芳香胺和游离甲醛含量检测报告）下层为四格柜，方便图书的摆放、查阅。  7、采用踢脚板设计，即增加稳定性，又可以防止杂物进入柜底。柜体底部配以耐磨塑胶PP脚钉，对地板等地面材料起到保护作用。结构稳固，不易倾倒，符合GB28007-2011儿童家具通用技术条件的要求。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857250" cy="857250"/>
                  <wp:effectExtent l="0" t="0" r="0" b="0"/>
                  <wp:docPr id="610" name="图片 8" descr="E:\报价用图\2019\KB5-NWAC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图片 8" descr="E:\报价用图\2019\KB5-NWAC001.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0" y="0"/>
                            <a:ext cx="857250" cy="857250"/>
                          </a:xfrm>
                          <a:prstGeom prst="rect">
                            <a:avLst/>
                          </a:prstGeom>
                          <a:noFill/>
                          <a:ln>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华文中宋" w:hAnsi="华文中宋" w:eastAsia="华文中宋" w:cs="华文中宋"/>
                <w:i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9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58"/>
                <w:rFonts w:hint="eastAsia"/>
                <w:lang w:val="en-US" w:eastAsia="zh-CN" w:bidi="ar"/>
              </w:rPr>
              <w:t>3</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挪葳森林图书柜</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尺寸：60×30×60cm。1、采用18mm厚优质环保三聚氰胺贴面胶合板，甲醛释放量符合GB18580-2017标准要求。（提供饰面胶合板甲醛释放量检测报告）    2、表面耐磨、耐污、耐划伤，易清洁，耐磨测试250R无透底现象。    3、原生态木蜡油封边，重金属钡、铅、镉、锑、硒、铬、汞、砷等含量符合国家标准规范的要求。（提供木蜡油8大重金属检测报告）    4、五金件选用环保五金，安全无毒。符合国家标准规范的要求，钡、铅、镉、锑、硒、铬、汞、砷等含量控制指标完全符合要求。（提供五金件8大重金属检测报告）    5、采用错层设计，方便图书的分类摆放及取阅。    6、采用踢脚板设计，即增加稳定性，又可以防止杂物进入柜底。底部配以耐磨塑胶PP脚钉，对地板等地面材料起到保护作用。结构稳固，不易倾倒，符合GB28007-2011儿童家具通用技术条件的要求。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876300" cy="876300"/>
                  <wp:effectExtent l="0" t="0" r="0" b="0"/>
                  <wp:docPr id="611" name="图片 1" descr="E:\报价用图\2019\KB1-NWA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图片 1" descr="E:\报价用图\2019\KB1-NWA041.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a:xfrm>
                            <a:off x="0" y="0"/>
                            <a:ext cx="876300" cy="876300"/>
                          </a:xfrm>
                          <a:prstGeom prst="rect">
                            <a:avLst/>
                          </a:prstGeom>
                          <a:noFill/>
                          <a:ln>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华文中宋" w:hAnsi="华文中宋" w:eastAsia="华文中宋" w:cs="华文中宋"/>
                <w:i w:val="0"/>
                <w:color w:val="000000"/>
                <w:kern w:val="0"/>
                <w:sz w:val="22"/>
                <w:szCs w:val="22"/>
                <w:u w:val="none"/>
                <w:bdr w:val="single" w:color="000000" w:sz="4" w:space="0"/>
                <w:lang w:val="en-US" w:eastAsia="zh-CN" w:bidi="ar"/>
              </w:rPr>
              <w:drawing>
                <wp:anchor distT="0" distB="0" distL="114300" distR="114300" simplePos="0" relativeHeight="253715456" behindDoc="0" locked="0" layoutInCell="1" allowOverlap="1">
                  <wp:simplePos x="0" y="0"/>
                  <wp:positionH relativeFrom="column">
                    <wp:posOffset>4935855</wp:posOffset>
                  </wp:positionH>
                  <wp:positionV relativeFrom="paragraph">
                    <wp:posOffset>1147445</wp:posOffset>
                  </wp:positionV>
                  <wp:extent cx="876300" cy="876300"/>
                  <wp:effectExtent l="0" t="0" r="0" b="0"/>
                  <wp:wrapNone/>
                  <wp:docPr id="651" name="图片_1"/>
                  <wp:cNvGraphicFramePr/>
                  <a:graphic xmlns:a="http://schemas.openxmlformats.org/drawingml/2006/main">
                    <a:graphicData uri="http://schemas.openxmlformats.org/drawingml/2006/picture">
                      <pic:pic xmlns:pic="http://schemas.openxmlformats.org/drawingml/2006/picture">
                        <pic:nvPicPr>
                          <pic:cNvPr id="651" name="图片_1"/>
                          <pic:cNvPicPr/>
                        </pic:nvPicPr>
                        <pic:blipFill>
                          <a:blip r:embed="rId117"/>
                          <a:stretch>
                            <a:fillRect/>
                          </a:stretch>
                        </pic:blipFill>
                        <pic:spPr>
                          <a:xfrm>
                            <a:off x="0" y="0"/>
                            <a:ext cx="876300" cy="876300"/>
                          </a:xfrm>
                          <a:prstGeom prst="rect">
                            <a:avLst/>
                          </a:prstGeom>
                          <a:noFill/>
                          <a:ln>
                            <a:noFill/>
                          </a:ln>
                        </pic:spPr>
                      </pic:pic>
                    </a:graphicData>
                  </a:graphic>
                </wp:anchor>
              </w:drawing>
            </w:r>
            <w:r>
              <w:rPr>
                <w:rFonts w:hint="eastAsia" w:ascii="华文中宋" w:hAnsi="华文中宋" w:eastAsia="华文中宋" w:cs="华文中宋"/>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21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58"/>
                <w:rFonts w:hint="eastAsia"/>
                <w:lang w:val="en-US" w:eastAsia="zh-CN" w:bidi="ar"/>
              </w:rPr>
              <w:t>4</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新蘑菇小屋书柜（枫木纹）</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尺寸：60×60×61cm。</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 xml:space="preserve">1、采用18mm厚优质环保三聚氰胺双贴面高密度刨花板，甲醛释放量符合GB18580-2017标准要求。（提供饰面刨花板甲醛释放量检测报告）    </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 xml:space="preserve">2、表面耐磨、耐污、耐划伤，易清洁，耐磨测试250R无透底现象。     </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 xml:space="preserve">3、优质PVC边条封边，邻苯二甲酸酯含量符合国家标准规范的要求。 （提供家具封边条邻苯二甲酸酯含量检测报告）                               </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 xml:space="preserve">4、五金件选用环保五金，安全无毒。符合国家标准规范的要求，钡、铅、镉、锑、硒、铬、汞、砷等含量控制指标完全符合要求。（提供五金件8大重金属检测报告） </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 xml:space="preserve">5、主题图案采用丝印工艺，颜色不易脱落，且所使用的丝印油墨均为环保材料，重金属钡、铅、镉、锑、硒、铬、汞、砷等含量符合国家标准规范的要求。（提供油墨8大重金属检测报告）                 </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6、柜体底部配以4个滑轮，便于移动。                                                                                    7、结构稳固，不易倾倒，安全缝隙和孔洞均符合GB28007-2011儿童家具通用技术条件的要求。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772160" cy="772160"/>
                  <wp:effectExtent l="0" t="0" r="8890" b="8890"/>
                  <wp:docPr id="606" name="图片 2" descr="E:\报价用图\2019\KB1-PS004-V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图片 2" descr="E:\报价用图\2019\KB1-PS004-V03.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772160" cy="772160"/>
                          </a:xfrm>
                          <a:prstGeom prst="rect">
                            <a:avLst/>
                          </a:prstGeom>
                          <a:noFill/>
                          <a:ln>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华文中宋" w:hAnsi="华文中宋" w:eastAsia="华文中宋" w:cs="华文中宋"/>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5</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软垫阅读角(不含抱枕)</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尺寸：150×135×35cm。采用环保耐磨皮和高密度泡棉包覆，皮革中不含可分解芳香胺，且游离甲醛含量符合国家标准规范的要求。（提供皮革可分解芳香胺和游离甲醛含量检测报告）</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692785" cy="581660"/>
                  <wp:effectExtent l="0" t="0" r="12065" b="8890"/>
                  <wp:docPr id="612" name="图片 4" descr="E:\报价用图\2019\GP1-AZ12031-V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图片 4" descr="E:\报价用图\2019\GP1-AZ12031-V01.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692785" cy="581660"/>
                          </a:xfrm>
                          <a:prstGeom prst="rect">
                            <a:avLst/>
                          </a:prstGeom>
                          <a:noFill/>
                          <a:ln>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华文中宋" w:hAnsi="华文中宋" w:eastAsia="华文中宋" w:cs="华文中宋"/>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9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6</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书香小抱枕</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尺寸：30×30cm。采用环保耐磨皮和高密度泡棉包覆，皮革中不含可分解芳香胺，且游离甲醛含量符合国家标准规范的要求。（提供皮革可分解芳香胺和游离甲醛含量检测报告）</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609600" cy="609600"/>
                  <wp:effectExtent l="0" t="0" r="0" b="0"/>
                  <wp:docPr id="613" name="图片 5" descr="E:\报价用图\2019\GP1-AZ1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图片 5" descr="E:\报价用图\2019\GP1-AZ12013.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a:xfrm>
                            <a:off x="0" y="0"/>
                            <a:ext cx="609600" cy="609600"/>
                          </a:xfrm>
                          <a:prstGeom prst="rect">
                            <a:avLst/>
                          </a:prstGeom>
                          <a:noFill/>
                          <a:ln>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华文中宋" w:hAnsi="华文中宋" w:eastAsia="华文中宋" w:cs="华文中宋"/>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21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7</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警车座椅书柜（不移动）</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尺寸：80×51×52cm。1、采用18mm厚优质环保三聚氰胺双贴面高密度刨花板，甲醛释放量符合GB18580-2017标准要求。（提供饰面刨花板甲醛释放量检测报告）    2、表面耐磨、耐污、耐划伤，易清洁，耐磨测试250R无透底现象。    3、优质PVC边条封边，邻苯二甲酸酯含量符合国家标准规范的要求。 （提供家具封边条邻苯二甲酸酯含量检测报告）    4、五金件选用环保五金，安全无毒。符合国家标准规范的要求，钡、铅、镉、锑、硒、铬、汞、砷等含量控制指标完全符合要求。（提供五金件8大重金属检测报告）    5、主题图案采用丝印工艺，颜色不易脱落，且所使用的丝印油墨均为环保材料，重金属钡、铅、镉、锑、硒、铬、汞、砷等含量符合国家标准规范的要求。（提供油墨8大重金属检测报告）    6、警车主题造型。柜体底部配以耐磨塑胶PP脚钉，对地板等地面材料起到保护作用。结构稳固，不易倾倒，安全缝隙和孔洞均符合GB28007-2011儿童家具通用技术条件的要求。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800100" cy="800100"/>
                  <wp:effectExtent l="0" t="0" r="0" b="0"/>
                  <wp:docPr id="614" name="图片 6" descr="E:\报价用图\2019\KB1-PS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图片 6" descr="E:\报价用图\2019\KB1-PS027.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0" y="0"/>
                            <a:ext cx="800100" cy="800100"/>
                          </a:xfrm>
                          <a:prstGeom prst="rect">
                            <a:avLst/>
                          </a:prstGeom>
                          <a:noFill/>
                          <a:ln>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华文中宋" w:hAnsi="华文中宋" w:eastAsia="华文中宋" w:cs="华文中宋"/>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35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8</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挪葳森林-基本图书柜</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尺寸：83.6×30×85cm。1、采用15mm厚优质环保三聚氰胺贴面胶合板，甲醛释放量符合GB18580-2017标准要求。（提供饰面胶合板甲醛释放量检测报告）    2、表面耐磨、耐污、耐划伤，易清洁，耐磨测试250R无透底现象。    3、原生态木蜡油封边，重金属钡、铅、镉、锑、硒、铬、汞、砷等含量符合国家标准规范的要求。（提供木蜡油8大重金属检测报告）    4、五金件选用环保五金，安全无毒。符合国家标准规范的要求，钡、铅、镉、锑、硒、铬、汞、砷等含量控制指标完全符合要求。（提供五金件8大重金属检测报告）    5、采用错层设计，方便图书的分类摆放及取阅。    6、采用踢脚板设计，即增加稳定性，又可以防止杂物进入柜底。底部配以耐磨塑胶PP脚钉，对地板等地面材料起到保护作用。结构稳固，不易倾倒，符合GB28007-2011儿童家具通用技术条件的要求。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867410" cy="867410"/>
                  <wp:effectExtent l="0" t="0" r="8890" b="8890"/>
                  <wp:docPr id="615" name="图片 9" descr="E:\报价用图\2019\KB1-NWA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图片 9" descr="E:\报价用图\2019\KB1-NWA005.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0" y="0"/>
                            <a:ext cx="867410" cy="867410"/>
                          </a:xfrm>
                          <a:prstGeom prst="rect">
                            <a:avLst/>
                          </a:prstGeom>
                          <a:noFill/>
                          <a:ln>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华文中宋" w:hAnsi="华文中宋" w:eastAsia="华文中宋" w:cs="华文中宋"/>
                <w:i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9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9</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蒙氏收纳桌(枫木纹)</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尺寸：60×35×24cm。1、采用18mm厚优质环保三聚氰胺双贴面高密度刨花板，甲醛释放量符合GB18580-2017标准要求。（提供饰面刨花板甲醛释放量检测报告）    2、表面耐磨、耐污、耐划伤，易清洁，耐磨测试250R无透底现象。    3、优质PVC边条封边，邻苯二甲酸酯含量符合国家标准规范的要求。 （提供家具封边条邻苯二甲酸酯含量检测报告）    4、五金件选用环保五金，安全无毒。符合国家标准规范的要求，钡、铅、镉、锑、硒、铬、汞、砷等含量控制指标完全符合要求。（提供五金件8大重金属检测报告）    5、柜体底部配以耐磨塑胶PP脚钉，对地板等地面材料起到保护作用。    6、结构稳固，不易倾倒。圆角设计，安全缝隙和孔洞符合GB28007-2011儿童家具通用技术条件的要求。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676910" cy="676910"/>
                  <wp:effectExtent l="0" t="0" r="8890" b="8890"/>
                  <wp:docPr id="11" name="图片 10" descr="E:\报价用图\2019\KB1-B007-V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E:\报价用图\2019\KB1-B007-V01.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0" y="0"/>
                            <a:ext cx="676910" cy="676910"/>
                          </a:xfrm>
                          <a:prstGeom prst="rect">
                            <a:avLst/>
                          </a:prstGeom>
                          <a:noFill/>
                          <a:ln>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张</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华文中宋" w:hAnsi="华文中宋" w:eastAsia="华文中宋" w:cs="华文中宋"/>
                <w:i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21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10</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动物家族座椅</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尺寸：48×44×50cm。1、框体采用15mm厚优质环保三聚氰胺贴面胶合板，甲醛释放量符合GB18580-2017标准要求。（提供饰面胶合板甲醛释放量检测报告）    2、表面耐磨、耐污、耐划伤，易清洁，耐磨测试250R无透底现象。    3、原生态木蜡油封边，重金属钡、铅、镉、锑、硒、铬、汞、砷等含量符合国家标准规范的要求。（提供木蜡油8大重金属检测报告）    4、五金件选用环保五金，安全无毒。符合国家标准规范的要求，钡、铅、镉、锑、硒、铬、汞、砷等含量控制指标完全符合要求。（提供五金件8大重金属检测报告）    5、底部配以耐磨塑胶PP脚钉，对地板等地面材料起到保护作用。    6、结构稳固，不易倾倒。全面采用圆角设计，安全缝隙和孔洞均符合GB28007-2011儿童家具通用技术条件的要求。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695325" cy="695325"/>
                  <wp:effectExtent l="0" t="0" r="9525" b="9525"/>
                  <wp:docPr id="12" name="图片 11" descr="E:\报价用图\2019\KB5-NX1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E:\报价用图\2019\KB5-NX17001.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0" y="0"/>
                            <a:ext cx="695325" cy="695325"/>
                          </a:xfrm>
                          <a:prstGeom prst="rect">
                            <a:avLst/>
                          </a:prstGeom>
                          <a:noFill/>
                          <a:ln>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张</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华文中宋" w:hAnsi="华文中宋" w:eastAsia="华文中宋" w:cs="华文中宋"/>
                <w:i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74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11</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动物家族双人座椅</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尺寸:94×44×50cm。1、框体采用15mm厚优质环保三聚氰胺贴面胶合板，甲醛释放量符合GB18580-2017标准要求。（提供饰面胶合板甲醛释放量检测报告）    2、表面耐磨、耐污、耐划伤，易清洁，耐磨测试250R无透底现象。    3、原生态木蜡油封边，重金属钡、铅、镉、锑、硒、铬、汞、砷等含量符合国家标准规范的要求。（提供木蜡油8大重金属检测报告）    4、五金件选用环保五金，安全无毒。符合国家标准规范的要求，钡、铅、镉、锑、硒、铬、汞、砷等含量控制指标完全符合要求。（提供五金件8大重金属检测报告）    5、底部配以耐磨塑胶PP脚钉，对地板等地面材料起到保护作用。    6、结构稳固，不易倾倒。全面采用圆角设计，安全缝隙和孔洞均符合GB28007-2011儿童家具通用技术条件的要求。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848360" cy="848360"/>
                  <wp:effectExtent l="0" t="0" r="8890" b="8890"/>
                  <wp:docPr id="13" name="图片 12" descr="E:\报价用图\2019\KB5-NX17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E:\报价用图\2019\KB5-NX17002.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848360" cy="848360"/>
                          </a:xfrm>
                          <a:prstGeom prst="rect">
                            <a:avLst/>
                          </a:prstGeom>
                          <a:noFill/>
                          <a:ln>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张</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华文中宋" w:hAnsi="华文中宋" w:eastAsia="华文中宋" w:cs="华文中宋"/>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2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12</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泰迪扇形沙发</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尺寸：45×45×25cm，座高25cm。采用环保耐磨皮和高密度泡棉包覆，皮革中不含可分解芳香胺，且游离甲醛含量符合国家标准规范的要求。（提供皮革可分解芳香胺和游离甲醛含量检测报告）</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695325" cy="695325"/>
                  <wp:effectExtent l="0" t="0" r="9525" b="9525"/>
                  <wp:docPr id="16" name="图片 25" descr="E:\报价用图\2019\GP1-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5" descr="E:\报价用图\2019\GP1-2021.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a:xfrm>
                            <a:off x="0" y="0"/>
                            <a:ext cx="695325" cy="695325"/>
                          </a:xfrm>
                          <a:prstGeom prst="rect">
                            <a:avLst/>
                          </a:prstGeom>
                          <a:noFill/>
                          <a:ln>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华文中宋" w:hAnsi="华文中宋" w:eastAsia="华文中宋" w:cs="华文中宋"/>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21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13</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双人动物沙发（乳牛）</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尺寸：86×56×58cm。采用木框架，环保耐磨皮和高密度泡棉包覆，皮革中不含可分解芳香胺，且游离甲醛含量符合国家标准规范的要求。（提供皮革可分解芳香胺和游离甲醛含量检测报告）颜色亮丽、充满童趣的乳牛造型设计，为幼儿提供温馨的学习、休闲环境。</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790575" cy="790575"/>
                  <wp:effectExtent l="0" t="0" r="9525" b="9525"/>
                  <wp:docPr id="17" name="图片 27" descr="E:\报价用图\2019\GP1-4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7" descr="E:\报价用图\2019\GP1-4211.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a:xfrm>
                            <a:off x="0" y="0"/>
                            <a:ext cx="790575" cy="790575"/>
                          </a:xfrm>
                          <a:prstGeom prst="rect">
                            <a:avLst/>
                          </a:prstGeom>
                          <a:noFill/>
                          <a:ln>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华文中宋" w:hAnsi="华文中宋" w:eastAsia="华文中宋" w:cs="华文中宋"/>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53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14</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双人动物沙发（大象）</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尺寸：87×50×61cm。采用木框架，环保耐磨皮和高密度泡棉包覆，皮革中不含可分解芳香胺，且游离甲醛含量符合国家标准规范的要求。（提供皮革可分解芳香胺和游离甲醛含量检测报告）颜色亮丽、充满童趣的大象造型设计，为幼儿提供温馨的学习、休闲环境。</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638810" cy="638810"/>
                  <wp:effectExtent l="0" t="0" r="8890" b="8890"/>
                  <wp:docPr id="18" name="图片 28" descr="E:\报价用图\2019\GP1-4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8" descr="E:\报价用图\2019\GP1-4212.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638810" cy="638810"/>
                          </a:xfrm>
                          <a:prstGeom prst="rect">
                            <a:avLst/>
                          </a:prstGeom>
                          <a:noFill/>
                          <a:ln>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华文中宋" w:hAnsi="华文中宋" w:eastAsia="华文中宋" w:cs="华文中宋"/>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53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cs="宋体"/>
                <w:i w:val="0"/>
                <w:color w:val="000000"/>
                <w:kern w:val="0"/>
                <w:sz w:val="22"/>
                <w:szCs w:val="22"/>
                <w:u w:val="none"/>
                <w:lang w:val="en-US" w:eastAsia="zh-CN" w:bidi="ar"/>
              </w:rPr>
            </w:pP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绿树靠墙书柜组</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尺寸：121×30×170cm。1、采用15mm厚优质环保三聚氰胺贴面胶合板，甲醛释放量符合GB18580-2017标准要求。（提供饰面胶合板甲醛释放量检测报告）    2、表面耐磨、耐污、耐划伤，易清洁，耐磨测试250R无透底现象。   3、原生态木蜡油封边，重金属钡、铅、镉、锑、硒、铬、汞、砷等含量符合国家标准规范的要求。（提供木蜡油8大重金属检测报告）    4、五金件选用环保五金，安全无毒。符合国家标准规范的要求，钡、铅、镉、锑、硒、铬、汞、砷等含量控制指标完全符合要求。（提供五金件8大重金属检测报告）    5、左右两侧各有1个绿树造型设计，即美观又实用。    6、结构稳固，不易倾倒，符合GB28007-2011儿童家具通用技术条件的要求。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667385" cy="667385"/>
                  <wp:effectExtent l="0" t="0" r="18415" b="18415"/>
                  <wp:docPr id="20" name="图片 31" descr="E:\报价用图\2019\KB1-NWA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1" descr="E:\报价用图\2019\KB1-NWA029.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a:xfrm>
                            <a:off x="0" y="0"/>
                            <a:ext cx="667385" cy="667385"/>
                          </a:xfrm>
                          <a:prstGeom prst="rect">
                            <a:avLst/>
                          </a:prstGeom>
                          <a:noFill/>
                          <a:ln>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华文中宋" w:hAnsi="华文中宋" w:eastAsia="华文中宋" w:cs="华文中宋"/>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53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cs="宋体"/>
                <w:i w:val="0"/>
                <w:color w:val="000000"/>
                <w:kern w:val="0"/>
                <w:sz w:val="22"/>
                <w:szCs w:val="22"/>
                <w:u w:val="none"/>
                <w:lang w:val="en-US" w:eastAsia="zh-CN" w:bidi="ar"/>
              </w:rPr>
            </w:pP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绿树靠墙书柜延长组</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尺寸：100×30×170cm。1、采用15mm厚优质环保三聚氰胺贴面胶合板，甲醛释放量符合GB18580-2017标准要求。（提供饰面胶合板甲醛释放量检测报告）    2、表面耐磨、耐污、耐划伤，易清洁，耐磨测试250R无透底现象。    3、原生态木蜡油封边，重金属钡、铅、镉、锑、硒、铬、汞、砷等含量符合国家标准规范的要求。（提供木蜡油8大重金属检测报告）    4、五金件选用环保五金，安全无毒。符合国家标准规范的要求，钡、铅、镉、锑、硒、铬、汞、砷等含量控制指标完全符合要求。（提供五金件8大重金属检测报告）    5、一侧有绿树造型设计，即美观又实用。    6、结构稳固，不易倾倒，符合GB28007-2011儿童家具通用技术条件的要求。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857250" cy="857250"/>
                  <wp:effectExtent l="0" t="0" r="0" b="0"/>
                  <wp:docPr id="616" name="图片 33" descr="E:\报价用图\2019\KB1-NWA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图片 33" descr="E:\报价用图\2019\KB1-NWA030.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a:xfrm>
                            <a:off x="0" y="0"/>
                            <a:ext cx="857250" cy="857250"/>
                          </a:xfrm>
                          <a:prstGeom prst="rect">
                            <a:avLst/>
                          </a:prstGeom>
                          <a:noFill/>
                          <a:ln>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华文中宋" w:hAnsi="华文中宋" w:eastAsia="华文中宋" w:cs="华文中宋"/>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53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cs="宋体"/>
                <w:i w:val="0"/>
                <w:color w:val="000000"/>
                <w:kern w:val="0"/>
                <w:sz w:val="22"/>
                <w:szCs w:val="22"/>
                <w:u w:val="none"/>
                <w:lang w:val="en-US" w:eastAsia="zh-CN" w:bidi="ar"/>
              </w:rPr>
            </w:pP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挂墙书架(翠鸟）</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尺寸：80×19×41cm。1、采用15mm厚优质环保三聚氰胺贴面胶合板，甲醛释放量符合GB18580-2017标准要求。（提供饰面胶合板甲醛释放量检测报告）   2、主题图案采用丝印工艺，颜色不易脱落，且所使用的丝印油墨均为环保材料，重金属钡、铅、镉、锑、硒、铬、汞、砷等含量符合国家标准规范的要求。（提供油墨8大重金属检测报告）    3、原生态木蜡油封边，重金属钡、铅、镉、锑、硒、铬、汞、砷等含量符合国家标准规范的要求。（提供木蜡油8大重金属检测报告）    4、五金件选用环保五金，安全无毒。符合国家标准规范的要求，钡、铅、镉、锑、硒、铬、汞、砷等含量控制指标完全符合要求。（提供五金件8大重金属检测报告）    5、翠鸟造型设计</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800100" cy="800100"/>
                  <wp:effectExtent l="0" t="0" r="0" b="0"/>
                  <wp:docPr id="38" name="图片 13" descr="E:\报价用图\2019\KB1-NWA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descr="E:\报价用图\2019\KB1-NWA033.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800100" cy="800100"/>
                          </a:xfrm>
                          <a:prstGeom prst="rect">
                            <a:avLst/>
                          </a:prstGeom>
                          <a:noFill/>
                          <a:ln>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华文中宋" w:hAnsi="华文中宋" w:eastAsia="华文中宋" w:cs="华文中宋"/>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53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cs="宋体"/>
                <w:i w:val="0"/>
                <w:color w:val="000000"/>
                <w:kern w:val="0"/>
                <w:sz w:val="22"/>
                <w:szCs w:val="22"/>
                <w:u w:val="none"/>
                <w:lang w:val="en-US" w:eastAsia="zh-CN" w:bidi="ar"/>
              </w:rPr>
            </w:pP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挂墙书架(蝴蝶）</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尺寸：65×19×44cm。1、采用15mm厚优质环保三聚氰胺贴面胶合板，甲醛释放量符合GB18580-2017标准要求。（提供饰面胶合板甲醛释放量检测报告）   2、主题图案采用丝印工艺，颜色不易脱落，且所使用的丝印油墨均为环保材料，重金属钡、铅、镉、锑、硒、铬、汞、砷等含量符合国家标准规范的要求。（提供油墨8大重金属检测报告）    3、原生态木蜡油封边，重金属钡、铅、镉、锑、硒、铬、汞、砷等含量符合国家标准规范的要求。（提供木蜡油8大重金属检测报告）    4、五金件选用环保五金，安全无毒。符合国家标准规范的要求，钡、铅、镉、锑、硒、铬、汞、砷等含量控制指标完全符合要求。（提供五金件8大重金属检测报告）    5、蝴蝶造型设计</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828675" cy="828675"/>
                  <wp:effectExtent l="0" t="0" r="9525" b="9525"/>
                  <wp:docPr id="617" name="图片 34" descr="E:\报价用图\2019\KB1-NWA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图片 34" descr="E:\报价用图\2019\KB1-NWA032.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a:xfrm>
                            <a:off x="0" y="0"/>
                            <a:ext cx="828675" cy="828675"/>
                          </a:xfrm>
                          <a:prstGeom prst="rect">
                            <a:avLst/>
                          </a:prstGeom>
                          <a:noFill/>
                          <a:ln>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华文中宋" w:hAnsi="华文中宋" w:eastAsia="华文中宋" w:cs="华文中宋"/>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53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lang w:val="en-US" w:eastAsia="zh-CN"/>
              </w:rPr>
            </w:pPr>
          </w:p>
          <w:p>
            <w:pPr>
              <w:pStyle w:val="2"/>
              <w:rPr>
                <w:rFonts w:hint="eastAsia"/>
                <w:lang w:val="en-US" w:eastAsia="zh-CN"/>
              </w:rPr>
            </w:pP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新泰迪绘本图书柜（枫木纹）</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尺寸：115×30×90cm。1、采用18mm厚优质环保三聚氰胺双贴面高密度刨花板，甲醛释放量符合GB18580-2017标准要求。（提供饰面刨花板甲醛释放量检测报告）    2、耐磨、耐污、耐划伤，易清洁，耐磨测试250R无透底现象。    3、优质PVC边条封边，邻苯二甲酸酯含量符合国家标准规范的要求。（提供家具封边条邻苯二甲酸酯含量检测报告）    4、五金件选用环保五金，安全无毒。符合国家标准规范的要求，钡、铅、镉、锑、硒、铬、汞、砷等含量控制指标完全符合要求。（提供五金件8大重金属检测报告）    5、左边部分采用立式两格形式，右边部分采用错层设计，方便图书的分类摆放及取阅。  6、柜体底部配以耐磨塑胶PP脚钉，对地板等地面材料起到保护作用。   7、结构稳固，不易倾倒。边角安全防撞设计，对所有的外露面、外漏角进行弧状倒角设计，避免锐角的产生，最大程度的避免儿童磕碰伤害，安全缝隙和孔洞均符合GB28007-2011儿童家具通用技术条件的要求。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715010" cy="715010"/>
                  <wp:effectExtent l="0" t="0" r="8890" b="8890"/>
                  <wp:docPr id="618" name="图片 35" descr="E:\报价用图\2019\GP1-MS329N-V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图片 35" descr="E:\报价用图\2019\GP1-MS329N-V04-30.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a:xfrm>
                            <a:off x="0" y="0"/>
                            <a:ext cx="715010" cy="715010"/>
                          </a:xfrm>
                          <a:prstGeom prst="rect">
                            <a:avLst/>
                          </a:prstGeom>
                          <a:noFill/>
                          <a:ln>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华文中宋" w:hAnsi="华文中宋" w:eastAsia="华文中宋" w:cs="华文中宋"/>
                <w:i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53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2"/>
              <w:rPr>
                <w:rFonts w:hint="eastAsia"/>
                <w:lang w:val="en-US" w:eastAsia="zh-CN"/>
              </w:rPr>
            </w:pP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火车主题书柜-蓝色(枫木纹)</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尺寸：160×40×80cm。1、采用18mm厚优质环保三聚氰胺双贴面高密度刨花板，甲醛释放量符合GB18580-2017标准要求。（提供饰面刨花板甲醛释放量检测报告）    2、表面耐磨、耐污、耐划伤，易清洁，耐磨测试250R无透底现象。    3、优质PVC边条封边，邻苯二甲酸酯含量符合国家标准规范的要求。 （提供家具封边条邻苯二甲酸酯含量检测报告）    4、五金件选用环保五金，安全无毒。符合国家标准规范的要求，钡、铅、镉、锑、硒、铬、汞、砷等含量控制指标完全符合要求。（提供五金件8大重金属检测报告）    5、主题图案采用丝印工艺，颜色不易脱落，且所使用的丝印油墨均为环保材料，重金属钡、铅、镉、锑、硒、铬、汞、砷等含量符合国家标准规范的要求。（提供油墨8大重金属检测报告）    6、火车主题造型。柜体底部配以耐磨塑胶PP脚钉，对地板等地面材料起到保护作用。结构稳固，不易倾倒，安全缝隙和孔洞均符合GB28007-2011儿童家具通用技术条件的要求。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666750" cy="666750"/>
                  <wp:effectExtent l="0" t="0" r="0" b="0"/>
                  <wp:docPr id="619" name="图片 38" descr="E:\报价用图\2019\KB1-TM002-V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图片 38" descr="E:\报价用图\2019\KB1-TM002-V02.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a:xfrm>
                            <a:off x="0" y="0"/>
                            <a:ext cx="666750" cy="666750"/>
                          </a:xfrm>
                          <a:prstGeom prst="rect">
                            <a:avLst/>
                          </a:prstGeom>
                          <a:noFill/>
                          <a:ln>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华文中宋" w:hAnsi="华文中宋" w:eastAsia="华文中宋" w:cs="华文中宋"/>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53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cs="宋体"/>
                <w:i w:val="0"/>
                <w:color w:val="000000"/>
                <w:kern w:val="0"/>
                <w:sz w:val="22"/>
                <w:szCs w:val="22"/>
                <w:u w:val="none"/>
                <w:lang w:val="en-US" w:eastAsia="zh-CN" w:bidi="ar"/>
              </w:rPr>
            </w:pP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火车主题书柜-加长柜体02-蓝色(枫木纹)</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尺寸：40×40×80cm。1、采用18mm厚优质环保三聚氰胺双贴面高密度刨花板，甲醛释放量符合GB18580-2017标准要求。（提供饰面刨花板甲醛释放量检测报告）    2、表面耐磨、耐污、耐划伤，易清洁，耐磨测试250R无透底现象。    3、优质PVC边条封边，邻苯二甲酸酯含量符合国家标准规范的要求。 （提供家具封边条邻苯二甲酸酯含量检测报告）    4、五金件选用环保五金，安全无毒。符合国家标准规范的要求，钡、铅、镉、锑、硒、铬、汞、砷等含量控制指标完全符合要求。（提供五金件8大重金属检测报告）    5、主题图案采用丝印工艺，颜色不易脱落，且所使用的丝印油墨均为环保材料，重金属钡、铅、镉、锑、硒、铬、汞、砷等含量符合国家标准规范的要求。（提供油墨8大重金属检测报告）    6、火车主题造型。柜体底部配以耐磨塑胶PP脚钉，对地板等地面材料起到保护作用。结构稳固，不易倾倒，安全缝隙和孔洞均符合GB28007-2011儿童家具通用技术条件的要求。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742950" cy="742950"/>
                  <wp:effectExtent l="0" t="0" r="0" b="0"/>
                  <wp:docPr id="620" name="图片 39" descr="E:\报价用图\2019\KB1-TM002-V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图片 39" descr="E:\报价用图\2019\KB1-TM002-V02-2.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a:xfrm>
                            <a:off x="0" y="0"/>
                            <a:ext cx="742950" cy="742950"/>
                          </a:xfrm>
                          <a:prstGeom prst="rect">
                            <a:avLst/>
                          </a:prstGeom>
                          <a:noFill/>
                          <a:ln>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华文中宋" w:hAnsi="华文中宋" w:eastAsia="华文中宋" w:cs="华文中宋"/>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53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cs="宋体"/>
                <w:i w:val="0"/>
                <w:color w:val="000000"/>
                <w:kern w:val="0"/>
                <w:sz w:val="22"/>
                <w:szCs w:val="22"/>
                <w:u w:val="none"/>
                <w:lang w:val="en-US" w:eastAsia="zh-CN" w:bidi="ar"/>
              </w:rPr>
            </w:pP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幼儿方桌</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尺寸：80×80×32cm。1、桌面采用28mm厚优质环保三聚氰胺贴面高密度刨花板，甲醛释放量GB18580-2017标准要求。（提供饰面刨花板甲醛释放量检测报告）    2、耐磨、耐污、耐划伤，易清洁，耐磨测试250R无透底现象。    3、优质PVC边条封边，邻苯二甲酸酯含量符合国家标准规范的要求。（提供家具封边条邻苯二甲酸酯含量检测报告）    4、桌脚采用直径48mm的桦木，表面喷涂高环保的清水油漆，重金属钡、铅、镉、锑、硒、铬、汞、砷等含量符合国家标准规范的要求。（提供油漆8大重金属检测报告）铆接工艺，并使用特制挡块进行加固，底部配以耐磨塑胶PP脚钉，对地板等地面材料起到保护作用。    5、五金件选用环保五金，安全无毒。符合国家标准规范的要求，钡、铅、镉、锑、硒、铬、汞、砷等含量控制指标完全符合要求。（提供五金件8大重金属检测报告）    6、强度高，可承受200KG的静载2小时，100KG的静载24小时，长期使用不变形。    7、结构稳固，不易倾倒。圆角设计，符合GB28007-2011儿童家具通用技术条件的要求。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666750" cy="666750"/>
                  <wp:effectExtent l="0" t="0" r="0" b="0"/>
                  <wp:docPr id="621" name="图片 1" descr="E:\2019小产品图片\2019教学用具篇图册-800×800图片\KB4-NX1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图片 1" descr="E:\2019小产品图片\2019教学用具篇图册-800×800图片\KB4-NX17001.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a:xfrm>
                            <a:off x="0" y="0"/>
                            <a:ext cx="666750" cy="666750"/>
                          </a:xfrm>
                          <a:prstGeom prst="rect">
                            <a:avLst/>
                          </a:prstGeom>
                          <a:noFill/>
                          <a:ln>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华文中宋" w:hAnsi="华文中宋" w:eastAsia="华文中宋" w:cs="华文中宋"/>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53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cs="宋体"/>
                <w:i w:val="0"/>
                <w:color w:val="000000"/>
                <w:kern w:val="0"/>
                <w:sz w:val="22"/>
                <w:szCs w:val="22"/>
                <w:u w:val="none"/>
                <w:lang w:val="en-US" w:eastAsia="zh-CN" w:bidi="ar"/>
              </w:rPr>
            </w:pP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和风休闲座垫-小狗</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尺寸：31×31×40cm。采用18mm厚优质环保三聚氰胺双贴面胶合板，甲醛释放量符合GB18580-2017标准要求。凳面采用环保耐磨皮和高密度泡棉包覆，皮革中不含可分解芳香胺，且游离甲醛含量符合国家标准规范的要求。（提供皮革可分解芳香胺和游离甲醛含量检测报告）小狗造型设计，既美观又充满童趣。</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638175" cy="790575"/>
                  <wp:effectExtent l="0" t="0" r="9525" b="9525"/>
                  <wp:docPr id="622" name="图片 2" descr="E:\报价用图\2019\GP1-4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图片 2" descr="E:\报价用图\2019\GP1-4207.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a:xfrm>
                            <a:off x="0" y="0"/>
                            <a:ext cx="638175" cy="790575"/>
                          </a:xfrm>
                          <a:prstGeom prst="rect">
                            <a:avLst/>
                          </a:prstGeom>
                          <a:noFill/>
                          <a:ln>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华文中宋" w:hAnsi="华文中宋" w:eastAsia="华文中宋" w:cs="华文中宋"/>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53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cs="宋体"/>
                <w:i w:val="0"/>
                <w:color w:val="000000"/>
                <w:kern w:val="0"/>
                <w:sz w:val="22"/>
                <w:szCs w:val="22"/>
                <w:u w:val="none"/>
                <w:lang w:val="en-US" w:eastAsia="zh-CN" w:bidi="ar"/>
              </w:rPr>
            </w:pP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和风休闲座垫-小熊</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尺寸：31×31×40cm。采用18mm厚优质环保三聚氰胺双贴面胶合板，甲醛释放量符合GB18580-2017标准要求。凳面采用环保耐磨皮和高密度泡棉包覆，皮革中不含可分解芳香胺，且游离甲醛含量符合国家标准规范的要求。（提供皮革可分解芳香胺和游离甲醛含量检测报告）小熊造型设计，既美观又充满童趣。</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638175" cy="790575"/>
                  <wp:effectExtent l="0" t="0" r="9525" b="9525"/>
                  <wp:docPr id="624" name="图片 4" descr="E:\报价用图\2019\GP1-4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图片 4" descr="E:\报价用图\2019\GP1-4210.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a:xfrm>
                            <a:off x="0" y="0"/>
                            <a:ext cx="638175" cy="790575"/>
                          </a:xfrm>
                          <a:prstGeom prst="rect">
                            <a:avLst/>
                          </a:prstGeom>
                          <a:noFill/>
                          <a:ln>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华文中宋" w:hAnsi="华文中宋" w:eastAsia="华文中宋" w:cs="华文中宋"/>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53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cs="宋体"/>
                <w:i w:val="0"/>
                <w:color w:val="000000"/>
                <w:kern w:val="0"/>
                <w:sz w:val="22"/>
                <w:szCs w:val="22"/>
                <w:u w:val="none"/>
                <w:lang w:val="en-US" w:eastAsia="zh-CN" w:bidi="ar"/>
              </w:rPr>
            </w:pP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和风休闲座垫-小羊</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尺寸：31×31×40cm。采用18mm厚优质环保三聚氰胺双贴面胶合板，甲醛释放量符合GB18580-2017标准要求。凳面采用环保耐磨皮和高密度泡棉包覆，皮革中不含可分解芳香胺，且游离甲醛含量符合国家标准规范的要求。（提供皮革可分解芳香胺和游离甲醛含量检测报告）小羊造型设计，既美观又充满童趣。</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638175" cy="790575"/>
                  <wp:effectExtent l="0" t="0" r="9525" b="9525"/>
                  <wp:docPr id="31" name="图片 5" descr="E:\报价用图\2019\GP1-4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descr="E:\报价用图\2019\GP1-4208.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a:xfrm>
                            <a:off x="0" y="0"/>
                            <a:ext cx="638175" cy="790575"/>
                          </a:xfrm>
                          <a:prstGeom prst="rect">
                            <a:avLst/>
                          </a:prstGeom>
                          <a:noFill/>
                          <a:ln>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华文中宋" w:hAnsi="华文中宋" w:eastAsia="华文中宋" w:cs="华文中宋"/>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53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cs="宋体"/>
                <w:i w:val="0"/>
                <w:color w:val="000000"/>
                <w:kern w:val="0"/>
                <w:sz w:val="22"/>
                <w:szCs w:val="22"/>
                <w:u w:val="none"/>
                <w:lang w:val="en-US" w:eastAsia="zh-CN" w:bidi="ar"/>
              </w:rPr>
            </w:pP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圆软垫组合-高（不分售）</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尺寸：直径30cm，座高20cm。采用环保耐磨皮和高密度泡棉包覆，皮革中不含可分解芳香胺，且游离甲醛含量符合国家标准规范的要求。（提供皮革可分解芳香胺和游离甲醛含量检测报告）。</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686435" cy="504825"/>
                  <wp:effectExtent l="0" t="0" r="18415" b="9525"/>
                  <wp:docPr id="32" name="图片 7" descr="E:\报价用图\2019\GP1-4011-V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descr="E:\报价用图\2019\GP1-4011-V03.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a:xfrm>
                            <a:off x="0" y="0"/>
                            <a:ext cx="686435" cy="504825"/>
                          </a:xfrm>
                          <a:prstGeom prst="rect">
                            <a:avLst/>
                          </a:prstGeom>
                          <a:noFill/>
                          <a:ln>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华文中宋" w:hAnsi="华文中宋" w:eastAsia="华文中宋" w:cs="华文中宋"/>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53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cs="宋体"/>
                <w:i w:val="0"/>
                <w:color w:val="000000"/>
                <w:kern w:val="0"/>
                <w:sz w:val="22"/>
                <w:szCs w:val="22"/>
                <w:u w:val="none"/>
                <w:lang w:val="en-US" w:eastAsia="zh-CN" w:bidi="ar"/>
              </w:rPr>
            </w:pP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挪葳森林高直立图书柜</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尺寸：80×30×120cm。1、采用18mm厚优质环保三聚氰胺贴面胶合板，甲醛释放量符合GB18580-2017标准要求。（提供饰面胶合板甲醛释放量检测报告）    2、表面耐磨、耐污、耐划伤，易清洁，耐磨测试250R无透底现象。    3、原生态木蜡油封边，重金属钡、铅、镉、锑、硒、铬、汞、砷等含量符合国家标准规范的要求。（提供木蜡油8大重金属检测报告）    4、五金件选用环保五金，安全无毒。符合国家标准规范的要求，钡、铅、镉、锑、硒、铬、汞、砷等含量控制指标完全符合要求。（提供五金件8大重金属检测报告）    5、采用背面也可收纳图书设计。    6、采用踢脚板设计，即增加稳定性，又可以防止杂物进入柜底。底部配以耐磨塑胶PP脚钉，对地板等地面材料起到保护作用。结构稳固，不易倾倒，符合GB28007-2011儿童家具通用技术条件的要求。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695325" cy="695325"/>
                  <wp:effectExtent l="0" t="0" r="9525" b="9525"/>
                  <wp:docPr id="625" name="图片 8" descr="E:\报价用图\2019\KB1-NVA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图片 8" descr="E:\报价用图\2019\KB1-NVA019.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a:xfrm>
                            <a:off x="0" y="0"/>
                            <a:ext cx="695325" cy="695325"/>
                          </a:xfrm>
                          <a:prstGeom prst="rect">
                            <a:avLst/>
                          </a:prstGeom>
                          <a:noFill/>
                          <a:ln>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华文中宋" w:hAnsi="华文中宋" w:eastAsia="华文中宋" w:cs="华文中宋"/>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53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cs="宋体"/>
                <w:i w:val="0"/>
                <w:color w:val="000000"/>
                <w:kern w:val="0"/>
                <w:sz w:val="22"/>
                <w:szCs w:val="22"/>
                <w:u w:val="none"/>
                <w:lang w:val="en-US" w:eastAsia="zh-CN" w:bidi="ar"/>
              </w:rPr>
            </w:pP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挪葳森林扮演屋</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尺寸：169×110.6×141.4cm。1、框体采用18mm厚优质环保三聚氰胺贴面胶合板，甲醛释放量符合GB18580-2017标准要求。（提供饰面胶合板甲醛释放量检测报告）    2、表面耐磨、耐污、耐划伤，易清洁，耐磨测试250R无透底现象。    3、原生态木蜡油封边，重金属钡、铅、镉、锑、硒、铬、汞、砷等含量符合国家标准规范的要求。（提供木蜡油8大重金属检测报告）    4、五金件选用环保五金，安全无毒。符合国家标准规范的要求，钡、铅、镉、锑、硒、铬、汞、砷等含量控制指标完全符合要求。（提供五金件8大重金属检测报告）    5、柜体底部配以耐磨塑胶PP脚钉，对地板等地面材料起到保护作用。    6、半封闭房屋造型，两侧为中空五格柜形式，中间屋顶的遮阳布采用优质棉布。    7、采用踢脚板设计，即增加稳定性，又可以防止杂物进入柜底。    8、结构稳固，不易倾倒，符合GB28007-2011儿童家具通用技术条件的要求。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800100" cy="798195"/>
                  <wp:effectExtent l="0" t="0" r="0" b="1905"/>
                  <wp:docPr id="626" name="图片 9" descr="E:\报价用图\2019\KB1-NWA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图片 9" descr="E:\报价用图\2019\KB1-NWA028.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a:xfrm>
                            <a:off x="0" y="0"/>
                            <a:ext cx="800100" cy="798195"/>
                          </a:xfrm>
                          <a:prstGeom prst="rect">
                            <a:avLst/>
                          </a:prstGeom>
                          <a:noFill/>
                          <a:ln>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华文中宋" w:hAnsi="华文中宋" w:eastAsia="华文中宋" w:cs="华文中宋"/>
                <w:i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53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cs="宋体"/>
                <w:i w:val="0"/>
                <w:color w:val="000000"/>
                <w:kern w:val="0"/>
                <w:sz w:val="22"/>
                <w:szCs w:val="22"/>
                <w:u w:val="none"/>
                <w:lang w:val="en-US" w:eastAsia="zh-CN" w:bidi="ar"/>
              </w:rPr>
            </w:pP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猴子圆凳沙发</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尺寸：直径35cm，座高20cm。采用环保耐磨皮和高密度泡棉包覆，皮革中不含可分解芳香胺，且游离甲醛含量符合国家标准规范的要求。（提供皮革可分解芳香胺和游离甲醛含量检测报告）猴子造型设计。</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819785" cy="820420"/>
                  <wp:effectExtent l="0" t="0" r="18415" b="17780"/>
                  <wp:docPr id="627" name="图片 12" descr="E:\报价用图\2019\GP1-4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图片 12" descr="E:\报价用图\2019\GP1-4202.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a:xfrm>
                            <a:off x="0" y="0"/>
                            <a:ext cx="819785" cy="820420"/>
                          </a:xfrm>
                          <a:prstGeom prst="rect">
                            <a:avLst/>
                          </a:prstGeom>
                          <a:noFill/>
                          <a:ln>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华文中宋" w:hAnsi="华文中宋" w:eastAsia="华文中宋" w:cs="华文中宋"/>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53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cs="宋体"/>
                <w:i w:val="0"/>
                <w:color w:val="000000"/>
                <w:kern w:val="0"/>
                <w:sz w:val="22"/>
                <w:szCs w:val="22"/>
                <w:u w:val="none"/>
                <w:lang w:val="en-US" w:eastAsia="zh-CN" w:bidi="ar"/>
              </w:rPr>
            </w:pP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大象圆凳沙发</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尺寸：直径35cm，座高20cm。采用环保耐磨皮和高密度泡棉包覆，皮革中不含可分解芳香胺，且游离甲醛含量符合国家标准规范的要求。（提供皮革可分解芳香胺和游离甲醛含量检测报告）大象造型设计。</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886460" cy="887730"/>
                  <wp:effectExtent l="0" t="0" r="8890" b="7620"/>
                  <wp:docPr id="628" name="图片 11" descr="E:\报价用图\2019\GP1-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图片 11" descr="E:\报价用图\2019\GP1-4201.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a:xfrm>
                            <a:off x="0" y="0"/>
                            <a:ext cx="886460" cy="887730"/>
                          </a:xfrm>
                          <a:prstGeom prst="rect">
                            <a:avLst/>
                          </a:prstGeom>
                          <a:noFill/>
                          <a:ln>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华文中宋" w:hAnsi="华文中宋" w:eastAsia="华文中宋" w:cs="华文中宋"/>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53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cs="宋体"/>
                <w:i w:val="0"/>
                <w:color w:val="000000"/>
                <w:kern w:val="0"/>
                <w:sz w:val="22"/>
                <w:szCs w:val="22"/>
                <w:u w:val="none"/>
                <w:lang w:val="en-US" w:eastAsia="zh-CN" w:bidi="ar"/>
              </w:rPr>
            </w:pP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鲸鱼圆凳沙发</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尺寸：直径35cm，座高20cm。采用环保耐磨皮和高密度泡棉包覆，皮革中不含可分解芳香胺，且游离甲醛含量符合国家标准规范的要求。（提供皮革可分解芳香胺和游离甲醛含量检测报告）鲸鱼造型设计。</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638810" cy="638810"/>
                  <wp:effectExtent l="0" t="0" r="8890" b="8890"/>
                  <wp:docPr id="629" name="图片 10" descr="E:\报价用图\2019\GP1-4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图片 10" descr="E:\报价用图\2019\GP1-4204.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a:xfrm>
                            <a:off x="0" y="0"/>
                            <a:ext cx="638810" cy="638810"/>
                          </a:xfrm>
                          <a:prstGeom prst="rect">
                            <a:avLst/>
                          </a:prstGeom>
                          <a:noFill/>
                          <a:ln>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华文中宋" w:hAnsi="华文中宋" w:eastAsia="华文中宋" w:cs="华文中宋"/>
                <w:i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50" w:hRule="atLeast"/>
        </w:trPr>
        <w:tc>
          <w:tcPr>
            <w:tcW w:w="8840" w:type="dxa"/>
            <w:gridSpan w:val="5"/>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体育器材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66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1</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器材柜</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铝合金柜子参数</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1、组合柜规格≥360*85*200cm（CM）</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2、材质工艺：室内外柜为架构结构，所有框架均采用高级铝合金管，经过阳极氧化处理，永不褪色。通过（6.8*2.1*1.2cm）锁头，连接0.8cm深的铝合金凹槽。立柱规格为5.6*2.5cm，无棱角半椭圆；前后横料规格为5.4*1.6cm，边料规格4*1.5cm，板下挡料规格为2.74*1.56cm，材料无棱角；上下中内板为0.6cm厚铝塑板，</w:t>
            </w: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3716480" behindDoc="0" locked="0" layoutInCell="1" allowOverlap="1">
                  <wp:simplePos x="0" y="0"/>
                  <wp:positionH relativeFrom="column">
                    <wp:posOffset>3642360</wp:posOffset>
                  </wp:positionH>
                  <wp:positionV relativeFrom="paragraph">
                    <wp:posOffset>6350</wp:posOffset>
                  </wp:positionV>
                  <wp:extent cx="721995" cy="1040765"/>
                  <wp:effectExtent l="0" t="0" r="1905" b="6985"/>
                  <wp:wrapNone/>
                  <wp:docPr id="673" name="图片_6"/>
                  <wp:cNvGraphicFramePr/>
                  <a:graphic xmlns:a="http://schemas.openxmlformats.org/drawingml/2006/main">
                    <a:graphicData uri="http://schemas.openxmlformats.org/drawingml/2006/picture">
                      <pic:pic xmlns:pic="http://schemas.openxmlformats.org/drawingml/2006/picture">
                        <pic:nvPicPr>
                          <pic:cNvPr id="673" name="图片_6"/>
                          <pic:cNvPicPr/>
                        </pic:nvPicPr>
                        <pic:blipFill>
                          <a:blip r:embed="rId146"/>
                          <a:stretch>
                            <a:fillRect/>
                          </a:stretch>
                        </pic:blipFill>
                        <pic:spPr>
                          <a:xfrm>
                            <a:off x="0" y="0"/>
                            <a:ext cx="721995" cy="1040765"/>
                          </a:xfrm>
                          <a:prstGeom prst="rect">
                            <a:avLst/>
                          </a:prstGeom>
                          <a:noFill/>
                          <a:ln>
                            <a:noFill/>
                          </a:ln>
                        </pic:spPr>
                      </pic:pic>
                    </a:graphicData>
                  </a:graphic>
                </wp:anchor>
              </w:drawing>
            </w:r>
            <w:r>
              <w:rPr>
                <w:rFonts w:hint="eastAsia"/>
                <w:sz w:val="20"/>
                <w:szCs w:val="20"/>
                <w:lang w:val="en-US" w:eastAsia="zh-CN"/>
              </w:rPr>
              <w:t>后边板为0.28cm厚铝塑板，板两面的颜色为苹果绿。柜顶前面带窗帘式雨布，雨布可水平拉动，柜顶与柜子用铆钉焊接。使用铝合金管可以根据室内外场地需要，灵活调节上下距离，增加柜子使用率。室内外柜拆装方便，牢固可靠，大方美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3716480" behindDoc="0" locked="0" layoutInCell="1" allowOverlap="1">
                  <wp:simplePos x="0" y="0"/>
                  <wp:positionH relativeFrom="column">
                    <wp:posOffset>76835</wp:posOffset>
                  </wp:positionH>
                  <wp:positionV relativeFrom="paragraph">
                    <wp:posOffset>64770</wp:posOffset>
                  </wp:positionV>
                  <wp:extent cx="694055" cy="1052830"/>
                  <wp:effectExtent l="0" t="0" r="10795" b="13970"/>
                  <wp:wrapNone/>
                  <wp:docPr id="674" name="图片_3"/>
                  <wp:cNvGraphicFramePr/>
                  <a:graphic xmlns:a="http://schemas.openxmlformats.org/drawingml/2006/main">
                    <a:graphicData uri="http://schemas.openxmlformats.org/drawingml/2006/picture">
                      <pic:pic xmlns:pic="http://schemas.openxmlformats.org/drawingml/2006/picture">
                        <pic:nvPicPr>
                          <pic:cNvPr id="674" name="图片_3"/>
                          <pic:cNvPicPr/>
                        </pic:nvPicPr>
                        <pic:blipFill>
                          <a:blip r:embed="rId147"/>
                          <a:stretch>
                            <a:fillRect/>
                          </a:stretch>
                        </pic:blipFill>
                        <pic:spPr>
                          <a:xfrm>
                            <a:off x="0" y="0"/>
                            <a:ext cx="694055" cy="1052830"/>
                          </a:xfrm>
                          <a:prstGeom prst="rect">
                            <a:avLst/>
                          </a:prstGeom>
                          <a:noFill/>
                          <a:ln>
                            <a:noFill/>
                          </a:ln>
                        </pic:spPr>
                      </pic:pic>
                    </a:graphicData>
                  </a:graphic>
                </wp:anchor>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0"/>
                <w:szCs w:val="20"/>
                <w:u w:val="none"/>
                <w:lang w:val="en-US" w:eastAsia="zh-CN" w:bidi="ar"/>
              </w:rPr>
              <w:t>套</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9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2</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体能组合</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12件/套，进口工程塑料一次注塑成型，板面配6个滑轮。</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826135" cy="582930"/>
                  <wp:effectExtent l="0" t="0" r="12065" b="7620"/>
                  <wp:docPr id="675" name="图片 8" descr="IMG_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图片 8" descr="IMG_0730"/>
                          <pic:cNvPicPr>
                            <a:picLocks noChangeAspect="1"/>
                          </pic:cNvPicPr>
                        </pic:nvPicPr>
                        <pic:blipFill>
                          <a:blip r:embed="rId148"/>
                          <a:stretch>
                            <a:fillRect/>
                          </a:stretch>
                        </pic:blipFill>
                        <pic:spPr>
                          <a:xfrm>
                            <a:off x="0" y="0"/>
                            <a:ext cx="826135" cy="582930"/>
                          </a:xfrm>
                          <a:prstGeom prst="rect">
                            <a:avLst/>
                          </a:prstGeom>
                          <a:noFill/>
                          <a:ln w="9525">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0"/>
                <w:szCs w:val="20"/>
                <w:u w:val="none"/>
                <w:lang w:val="en-US" w:eastAsia="zh-CN" w:bidi="ar"/>
              </w:rPr>
              <w:t>套</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9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3</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立体钻山洞</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8件/套，进口工程塑料一次注塑成型，板面配6个滑轮。</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809625" cy="467360"/>
                  <wp:effectExtent l="0" t="0" r="9525" b="889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49"/>
                          <a:stretch>
                            <a:fillRect/>
                          </a:stretch>
                        </pic:blipFill>
                        <pic:spPr>
                          <a:xfrm>
                            <a:off x="0" y="0"/>
                            <a:ext cx="809625" cy="467360"/>
                          </a:xfrm>
                          <a:prstGeom prst="rect">
                            <a:avLst/>
                          </a:prstGeom>
                          <a:noFill/>
                          <a:ln w="9525">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0"/>
                <w:szCs w:val="20"/>
                <w:u w:val="none"/>
                <w:lang w:val="en-US" w:eastAsia="zh-CN" w:bidi="ar"/>
              </w:rPr>
              <w:t>套</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default" w:ascii="Times New Roman" w:hAnsi="Times New Roman" w:eastAsia="宋体" w:cs="Times New Roman"/>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21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4</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塑料跨栏</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8件/套，进口工程塑料一次注塑成型，板面配6个滑轮。</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800100" cy="505460"/>
                  <wp:effectExtent l="0" t="0" r="0" b="8890"/>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pic:cNvPicPr>
                            <a:picLocks noChangeAspect="1"/>
                          </pic:cNvPicPr>
                        </pic:nvPicPr>
                        <pic:blipFill>
                          <a:blip r:embed="rId150"/>
                          <a:stretch>
                            <a:fillRect/>
                          </a:stretch>
                        </pic:blipFill>
                        <pic:spPr>
                          <a:xfrm>
                            <a:off x="0" y="0"/>
                            <a:ext cx="800100" cy="505460"/>
                          </a:xfrm>
                          <a:prstGeom prst="rect">
                            <a:avLst/>
                          </a:prstGeom>
                          <a:noFill/>
                          <a:ln w="9525">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0"/>
                <w:szCs w:val="20"/>
                <w:u w:val="none"/>
                <w:lang w:val="en-US" w:eastAsia="zh-CN" w:bidi="ar"/>
              </w:rPr>
              <w:t>套</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default" w:ascii="Times New Roman" w:hAnsi="Times New Roman" w:eastAsia="宋体" w:cs="Times New Roman"/>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66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5</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童车组合</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10个/套，电镀车身铁件，防尘轴承，TPE把套，车子为黄色车架</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786765" cy="497205"/>
                  <wp:effectExtent l="0" t="0" r="13335" b="17145"/>
                  <wp:docPr id="676" name="图片 3" descr="健身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图片 3" descr="健身车"/>
                          <pic:cNvPicPr>
                            <a:picLocks noChangeAspect="1"/>
                          </pic:cNvPicPr>
                        </pic:nvPicPr>
                        <pic:blipFill>
                          <a:blip r:embed="rId151"/>
                          <a:stretch>
                            <a:fillRect/>
                          </a:stretch>
                        </pic:blipFill>
                        <pic:spPr>
                          <a:xfrm>
                            <a:off x="0" y="0"/>
                            <a:ext cx="786765" cy="497205"/>
                          </a:xfrm>
                          <a:prstGeom prst="rect">
                            <a:avLst/>
                          </a:prstGeom>
                          <a:noFill/>
                          <a:ln w="9525">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0"/>
                <w:szCs w:val="20"/>
                <w:u w:val="none"/>
                <w:lang w:val="en-US" w:eastAsia="zh-CN" w:bidi="ar"/>
              </w:rPr>
              <w:t>套</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9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6</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手推车</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电镀车身铁件，防尘轴承，TPE把套，车子为红色车架</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882015" cy="550545"/>
                  <wp:effectExtent l="0" t="0" r="13335" b="1905"/>
                  <wp:docPr id="677" name="图片 1" descr="QQ图片20180613115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图片 1" descr="QQ图片20180613115820"/>
                          <pic:cNvPicPr>
                            <a:picLocks noChangeAspect="1"/>
                          </pic:cNvPicPr>
                        </pic:nvPicPr>
                        <pic:blipFill>
                          <a:blip r:embed="rId152"/>
                          <a:stretch>
                            <a:fillRect/>
                          </a:stretch>
                        </pic:blipFill>
                        <pic:spPr>
                          <a:xfrm>
                            <a:off x="0" y="0"/>
                            <a:ext cx="882015" cy="550545"/>
                          </a:xfrm>
                          <a:prstGeom prst="rect">
                            <a:avLst/>
                          </a:prstGeom>
                          <a:noFill/>
                          <a:ln w="9525">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0"/>
                <w:szCs w:val="20"/>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i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9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7</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彩虹伞</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直径5米，进口防水雨布制作。</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843915" cy="389255"/>
                  <wp:effectExtent l="0" t="0" r="13335" b="1079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53"/>
                          <a:stretch>
                            <a:fillRect/>
                          </a:stretch>
                        </pic:blipFill>
                        <pic:spPr>
                          <a:xfrm>
                            <a:off x="0" y="0"/>
                            <a:ext cx="843915" cy="389255"/>
                          </a:xfrm>
                          <a:prstGeom prst="rect">
                            <a:avLst/>
                          </a:prstGeom>
                          <a:noFill/>
                          <a:ln w="9525">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0"/>
                <w:szCs w:val="20"/>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i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21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8</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羊角球</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直径50cm,材质PU.</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695325" cy="668020"/>
                  <wp:effectExtent l="0" t="0" r="9525" b="17780"/>
                  <wp:docPr id="678" name="图片 1" descr="QQ图片2018061313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图片 1" descr="QQ图片20180613135542"/>
                          <pic:cNvPicPr>
                            <a:picLocks noChangeAspect="1"/>
                          </pic:cNvPicPr>
                        </pic:nvPicPr>
                        <pic:blipFill>
                          <a:blip r:embed="rId154"/>
                          <a:stretch>
                            <a:fillRect/>
                          </a:stretch>
                        </pic:blipFill>
                        <pic:spPr>
                          <a:xfrm>
                            <a:off x="0" y="0"/>
                            <a:ext cx="695325" cy="668020"/>
                          </a:xfrm>
                          <a:prstGeom prst="rect">
                            <a:avLst/>
                          </a:prstGeom>
                          <a:noFill/>
                          <a:ln w="9525">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0"/>
                <w:szCs w:val="20"/>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i w:val="0"/>
                <w:color w:val="000000"/>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93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9</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软体飞盘</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直径21CM,不含塑化剂！材质柔软、手感舒服、轻质安全不变形、颜色纯正、无异味。可与孩子进行多种抛接和平衡游戏，发展孩子的颜色认知能力、手眼协调能力和运动技能。风靡全球，便于携带，是户外活动和家庭亲子游戏的绝佳道具。</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765810" cy="570865"/>
                  <wp:effectExtent l="0" t="0" r="15240" b="635"/>
                  <wp:docPr id="679" name="图片 1" descr="飞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图片 1" descr="飞碟"/>
                          <pic:cNvPicPr>
                            <a:picLocks noChangeAspect="1"/>
                          </pic:cNvPicPr>
                        </pic:nvPicPr>
                        <pic:blipFill>
                          <a:blip r:embed="rId155"/>
                          <a:stretch>
                            <a:fillRect/>
                          </a:stretch>
                        </pic:blipFill>
                        <pic:spPr>
                          <a:xfrm>
                            <a:off x="0" y="0"/>
                            <a:ext cx="765810" cy="570865"/>
                          </a:xfrm>
                          <a:prstGeom prst="rect">
                            <a:avLst/>
                          </a:prstGeom>
                          <a:noFill/>
                          <a:ln w="9525">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0"/>
                <w:szCs w:val="20"/>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i w:val="0"/>
                <w:color w:val="000000"/>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9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10</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体操垫</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规格：100*200*10cm,进口耐磨布料。</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794385" cy="524510"/>
                  <wp:effectExtent l="0" t="0" r="5715" b="8890"/>
                  <wp:docPr id="680" name="图片 4" descr="QQ图片2018061312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图片 4" descr="QQ图片20180613123926"/>
                          <pic:cNvPicPr>
                            <a:picLocks noChangeAspect="1"/>
                          </pic:cNvPicPr>
                        </pic:nvPicPr>
                        <pic:blipFill>
                          <a:blip r:embed="rId156"/>
                          <a:stretch>
                            <a:fillRect/>
                          </a:stretch>
                        </pic:blipFill>
                        <pic:spPr>
                          <a:xfrm>
                            <a:off x="0" y="0"/>
                            <a:ext cx="794385" cy="524510"/>
                          </a:xfrm>
                          <a:prstGeom prst="rect">
                            <a:avLst/>
                          </a:prstGeom>
                          <a:noFill/>
                          <a:ln w="9525">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0"/>
                <w:szCs w:val="20"/>
                <w:u w:val="none"/>
                <w:lang w:val="en-US" w:eastAsia="zh-CN" w:bidi="ar"/>
              </w:rPr>
              <w:t>张</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i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21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11</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 xml:space="preserve">皮球 </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规格：5号篮球，材质：橡胶</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695960" cy="704215"/>
                  <wp:effectExtent l="0" t="0" r="8890" b="635"/>
                  <wp:docPr id="681" name="图片 2" descr="QQ图片2018061313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图片 2" descr="QQ图片20180613131656"/>
                          <pic:cNvPicPr>
                            <a:picLocks noChangeAspect="1"/>
                          </pic:cNvPicPr>
                        </pic:nvPicPr>
                        <pic:blipFill>
                          <a:blip r:embed="rId157"/>
                          <a:stretch>
                            <a:fillRect/>
                          </a:stretch>
                        </pic:blipFill>
                        <pic:spPr>
                          <a:xfrm>
                            <a:off x="0" y="0"/>
                            <a:ext cx="695960" cy="704215"/>
                          </a:xfrm>
                          <a:prstGeom prst="rect">
                            <a:avLst/>
                          </a:prstGeom>
                          <a:noFill/>
                          <a:ln w="9525">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0"/>
                <w:szCs w:val="20"/>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i w:val="0"/>
                <w:color w:val="000000"/>
                <w:kern w:val="0"/>
                <w:sz w:val="20"/>
                <w:szCs w:val="20"/>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12</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球框</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铝合金柜子参数</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1、组合柜规格≥83*85*73cm（CM）</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2、材质工艺：室内外柜为架构结构，所有框架均采用高级铝合金管，经过阳极氧化处理，永不褪色。通过（6.8*2.1*1.2cm）锁头，连接0.8cm深的铝合金凹槽。立柱规格为5.6*2.5cm，无棱角半椭圆；前后横料规格为5.4*1.6cm，边料规格4*1.5cm，板下挡料规格为2.74*1.56cm，材料无棱角；上下中内板为0.6cm厚铝塑板，后边板为0.28cm厚铝塑板，板两面的颜色为苹果绿。柜顶前面带窗帘式雨布，雨布可水平拉动，柜顶与柜子用铆钉焊接。使用铝合金管可以根据室内外场地需要，灵活调节上下距离，增加柜子使用率。室内外柜拆装方便，牢固可靠，大方美观</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702310" cy="666750"/>
                  <wp:effectExtent l="0" t="0" r="2540" b="0"/>
                  <wp:docPr id="683" name="图片 2" descr="53057AE9E84BB111AAB33B5DCA82D6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图片 2" descr="53057AE9E84BB111AAB33B5DCA82D6F3"/>
                          <pic:cNvPicPr>
                            <a:picLocks noChangeAspect="1"/>
                          </pic:cNvPicPr>
                        </pic:nvPicPr>
                        <pic:blipFill>
                          <a:blip r:embed="rId158"/>
                          <a:srcRect b="29100"/>
                          <a:stretch>
                            <a:fillRect/>
                          </a:stretch>
                        </pic:blipFill>
                        <pic:spPr>
                          <a:xfrm>
                            <a:off x="0" y="0"/>
                            <a:ext cx="702310" cy="666750"/>
                          </a:xfrm>
                          <a:prstGeom prst="rect">
                            <a:avLst/>
                          </a:prstGeom>
                          <a:noFill/>
                          <a:ln w="9525">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0"/>
                <w:szCs w:val="20"/>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i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13</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大滚桶</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规格：96*65cm，进口工程塑料制作。</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704850" cy="713740"/>
                  <wp:effectExtent l="0" t="0" r="0" b="10160"/>
                  <wp:docPr id="684" name="图片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图片 684"/>
                          <pic:cNvPicPr>
                            <a:picLocks noChangeAspect="1"/>
                          </pic:cNvPicPr>
                        </pic:nvPicPr>
                        <pic:blipFill>
                          <a:blip r:embed="rId159"/>
                          <a:stretch>
                            <a:fillRect/>
                          </a:stretch>
                        </pic:blipFill>
                        <pic:spPr>
                          <a:xfrm>
                            <a:off x="0" y="0"/>
                            <a:ext cx="704850" cy="713740"/>
                          </a:xfrm>
                          <a:prstGeom prst="rect">
                            <a:avLst/>
                          </a:prstGeom>
                          <a:noFill/>
                          <a:ln w="9525">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0"/>
                <w:szCs w:val="20"/>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i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53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14</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阳光遂道</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优质涤纶布，3米</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734695" cy="554355"/>
                  <wp:effectExtent l="0" t="0" r="8255" b="17145"/>
                  <wp:docPr id="68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图片 15"/>
                          <pic:cNvPicPr>
                            <a:picLocks noChangeAspect="1"/>
                          </pic:cNvPicPr>
                        </pic:nvPicPr>
                        <pic:blipFill>
                          <a:blip r:embed="rId160"/>
                          <a:stretch>
                            <a:fillRect/>
                          </a:stretch>
                        </pic:blipFill>
                        <pic:spPr>
                          <a:xfrm>
                            <a:off x="0" y="0"/>
                            <a:ext cx="734695" cy="554355"/>
                          </a:xfrm>
                          <a:prstGeom prst="rect">
                            <a:avLst/>
                          </a:prstGeom>
                          <a:noFill/>
                          <a:ln w="9525">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0"/>
                <w:szCs w:val="20"/>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36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15</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大龙球</w:t>
            </w:r>
          </w:p>
          <w:p>
            <w:pPr>
              <w:pStyle w:val="10"/>
              <w:bidi w:val="0"/>
              <w:ind w:left="0" w:leftChars="0" w:firstLine="0" w:firstLineChars="0"/>
              <w:jc w:val="left"/>
              <w:rPr>
                <w:rFonts w:hint="eastAsia"/>
                <w:sz w:val="20"/>
                <w:szCs w:val="20"/>
                <w:lang w:val="en-US" w:eastAsia="zh-CN"/>
              </w:rPr>
            </w:pPr>
            <w:r>
              <w:rPr>
                <w:rFonts w:hint="eastAsia"/>
                <w:sz w:val="20"/>
                <w:szCs w:val="20"/>
                <w:lang w:val="en-US" w:eastAsia="zh-CN"/>
              </w:rPr>
              <w:t>进口PVC材质</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684530" cy="656590"/>
                  <wp:effectExtent l="0" t="0" r="1270" b="10160"/>
                  <wp:docPr id="68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图片 20"/>
                          <pic:cNvPicPr>
                            <a:picLocks noChangeAspect="1"/>
                          </pic:cNvPicPr>
                        </pic:nvPicPr>
                        <pic:blipFill>
                          <a:blip r:embed="rId161"/>
                          <a:stretch>
                            <a:fillRect/>
                          </a:stretch>
                        </pic:blipFill>
                        <pic:spPr>
                          <a:xfrm>
                            <a:off x="0" y="0"/>
                            <a:ext cx="684530" cy="656590"/>
                          </a:xfrm>
                          <a:prstGeom prst="rect">
                            <a:avLst/>
                          </a:prstGeom>
                          <a:noFill/>
                          <a:ln w="9525">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0"/>
                <w:szCs w:val="20"/>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i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0" w:hRule="atLeast"/>
        </w:trPr>
        <w:tc>
          <w:tcPr>
            <w:tcW w:w="8840" w:type="dxa"/>
            <w:gridSpan w:val="5"/>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b/>
                <w:bCs w:val="0"/>
                <w:i w:val="0"/>
                <w:color w:val="000000"/>
                <w:kern w:val="0"/>
                <w:sz w:val="22"/>
                <w:szCs w:val="22"/>
                <w:u w:val="none"/>
                <w:lang w:val="en-US" w:eastAsia="zh-CN" w:bidi="ar"/>
              </w:rPr>
            </w:pPr>
            <w:r>
              <w:rPr>
                <w:rFonts w:hint="eastAsia" w:ascii="宋体" w:hAnsi="宋体" w:cs="宋体"/>
                <w:b/>
                <w:bCs w:val="0"/>
                <w:i w:val="0"/>
                <w:color w:val="000000"/>
                <w:kern w:val="0"/>
                <w:sz w:val="22"/>
                <w:szCs w:val="22"/>
                <w:u w:val="none"/>
                <w:lang w:val="en-US" w:eastAsia="zh-CN" w:bidi="ar"/>
              </w:rPr>
              <w:t>户外大型构建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56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1</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户外碳化</w:t>
            </w:r>
          </w:p>
          <w:p>
            <w:pPr>
              <w:pStyle w:val="2"/>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大型碳化积木866件，原材料采用进口新西兰松木，进行氧气加温深度碳化，采用环保水性漆，符合GB6675-2003《国家</w:t>
            </w:r>
            <w:r>
              <w:rPr>
                <w:rFonts w:hint="eastAsia" w:asciiTheme="minorEastAsia" w:hAnsiTheme="minorEastAsia" w:eastAsiaTheme="minorEastAsia" w:cstheme="minorEastAsia"/>
                <w:sz w:val="20"/>
                <w:szCs w:val="20"/>
                <w:lang w:eastAsia="zh-CN"/>
              </w:rPr>
              <w:t>幼教玩具</w:t>
            </w:r>
            <w:r>
              <w:rPr>
                <w:rFonts w:hint="eastAsia" w:asciiTheme="minorEastAsia" w:hAnsiTheme="minorEastAsia" w:eastAsiaTheme="minorEastAsia" w:cstheme="minorEastAsia"/>
                <w:sz w:val="20"/>
                <w:szCs w:val="20"/>
              </w:rPr>
              <w:t>安全技术规范》要求，产品表面光滑无毛刺。</w:t>
            </w:r>
          </w:p>
          <w:p>
            <w:pPr>
              <w:pStyle w:val="2"/>
              <w:rPr>
                <w:rFonts w:hint="eastAsia" w:asciiTheme="minorEastAsia" w:hAnsiTheme="minorEastAsia" w:eastAsiaTheme="minorEastAsia" w:cstheme="minorEastAsia"/>
                <w:sz w:val="20"/>
                <w:szCs w:val="20"/>
              </w:rPr>
            </w:pP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single" w:color="000000" w:sz="4" w:space="0"/>
                <w:lang w:val="en-US" w:eastAsia="zh-CN" w:bidi="ar"/>
              </w:rPr>
              <w:drawing>
                <wp:anchor distT="0" distB="0" distL="114300" distR="114300" simplePos="0" relativeHeight="253717504" behindDoc="0" locked="0" layoutInCell="1" allowOverlap="1">
                  <wp:simplePos x="0" y="0"/>
                  <wp:positionH relativeFrom="column">
                    <wp:posOffset>-9525</wp:posOffset>
                  </wp:positionH>
                  <wp:positionV relativeFrom="paragraph">
                    <wp:posOffset>164465</wp:posOffset>
                  </wp:positionV>
                  <wp:extent cx="810260" cy="857885"/>
                  <wp:effectExtent l="0" t="0" r="8890" b="18415"/>
                  <wp:wrapNone/>
                  <wp:docPr id="689" name="图片_1"/>
                  <wp:cNvGraphicFramePr/>
                  <a:graphic xmlns:a="http://schemas.openxmlformats.org/drawingml/2006/main">
                    <a:graphicData uri="http://schemas.openxmlformats.org/drawingml/2006/picture">
                      <pic:pic xmlns:pic="http://schemas.openxmlformats.org/drawingml/2006/picture">
                        <pic:nvPicPr>
                          <pic:cNvPr id="689" name="图片_1"/>
                          <pic:cNvPicPr/>
                        </pic:nvPicPr>
                        <pic:blipFill>
                          <a:blip r:embed="rId162"/>
                          <a:stretch>
                            <a:fillRect/>
                          </a:stretch>
                        </pic:blipFill>
                        <pic:spPr>
                          <a:xfrm>
                            <a:off x="0" y="0"/>
                            <a:ext cx="810260" cy="857885"/>
                          </a:xfrm>
                          <a:prstGeom prst="rect">
                            <a:avLst/>
                          </a:prstGeom>
                          <a:noFill/>
                          <a:ln>
                            <a:noFill/>
                          </a:ln>
                        </pic:spPr>
                      </pic:pic>
                    </a:graphicData>
                  </a:graphic>
                </wp:anchor>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套</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9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2</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运输车</w:t>
            </w:r>
          </w:p>
          <w:p>
            <w:pPr>
              <w:pStyle w:val="2"/>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120*45*60cm,原材料采用进口新西兰松木，进行氧气加温深度碳化，采用环保水性漆，符合GB6675-2003《国家</w:t>
            </w:r>
            <w:r>
              <w:rPr>
                <w:rFonts w:hint="eastAsia" w:asciiTheme="minorEastAsia" w:hAnsiTheme="minorEastAsia" w:eastAsiaTheme="minorEastAsia" w:cstheme="minorEastAsia"/>
                <w:sz w:val="20"/>
                <w:szCs w:val="20"/>
                <w:lang w:eastAsia="zh-CN"/>
              </w:rPr>
              <w:t>幼教玩具</w:t>
            </w:r>
            <w:r>
              <w:rPr>
                <w:rFonts w:hint="eastAsia" w:asciiTheme="minorEastAsia" w:hAnsiTheme="minorEastAsia" w:eastAsiaTheme="minorEastAsia" w:cstheme="minorEastAsia"/>
                <w:sz w:val="20"/>
                <w:szCs w:val="20"/>
              </w:rPr>
              <w:t>安全技术规范》要求，产品表面光滑无毛刺。</w:t>
            </w:r>
          </w:p>
          <w:p>
            <w:pPr>
              <w:pStyle w:val="2"/>
              <w:rPr>
                <w:rFonts w:hint="eastAsia" w:asciiTheme="minorEastAsia" w:hAnsiTheme="minorEastAsia" w:eastAsiaTheme="minorEastAsia" w:cstheme="minorEastAsia"/>
                <w:sz w:val="20"/>
                <w:szCs w:val="20"/>
              </w:rPr>
            </w:pP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single" w:color="000000" w:sz="4" w:space="0"/>
                <w:lang w:val="en-US" w:eastAsia="zh-CN" w:bidi="ar"/>
              </w:rPr>
              <w:drawing>
                <wp:anchor distT="0" distB="0" distL="114300" distR="114300" simplePos="0" relativeHeight="253718528" behindDoc="0" locked="0" layoutInCell="1" allowOverlap="1">
                  <wp:simplePos x="0" y="0"/>
                  <wp:positionH relativeFrom="column">
                    <wp:posOffset>20320</wp:posOffset>
                  </wp:positionH>
                  <wp:positionV relativeFrom="paragraph">
                    <wp:posOffset>238125</wp:posOffset>
                  </wp:positionV>
                  <wp:extent cx="751205" cy="669290"/>
                  <wp:effectExtent l="0" t="0" r="10795" b="16510"/>
                  <wp:wrapNone/>
                  <wp:docPr id="690" name="图片_1_SpCnt_1"/>
                  <wp:cNvGraphicFramePr/>
                  <a:graphic xmlns:a="http://schemas.openxmlformats.org/drawingml/2006/main">
                    <a:graphicData uri="http://schemas.openxmlformats.org/drawingml/2006/picture">
                      <pic:pic xmlns:pic="http://schemas.openxmlformats.org/drawingml/2006/picture">
                        <pic:nvPicPr>
                          <pic:cNvPr id="690" name="图片_1_SpCnt_1"/>
                          <pic:cNvPicPr/>
                        </pic:nvPicPr>
                        <pic:blipFill>
                          <a:blip r:embed="rId163"/>
                          <a:stretch>
                            <a:fillRect/>
                          </a:stretch>
                        </pic:blipFill>
                        <pic:spPr>
                          <a:xfrm>
                            <a:off x="0" y="0"/>
                            <a:ext cx="751205" cy="669290"/>
                          </a:xfrm>
                          <a:prstGeom prst="rect">
                            <a:avLst/>
                          </a:prstGeom>
                          <a:noFill/>
                          <a:ln>
                            <a:noFill/>
                          </a:ln>
                        </pic:spPr>
                      </pic:pic>
                    </a:graphicData>
                  </a:graphic>
                </wp:anchor>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06" w:hRule="atLeast"/>
        </w:trPr>
        <w:tc>
          <w:tcPr>
            <w:tcW w:w="8840" w:type="dxa"/>
            <w:gridSpan w:val="5"/>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b/>
                <w:bCs w:val="0"/>
                <w:i w:val="0"/>
                <w:color w:val="000000"/>
                <w:kern w:val="0"/>
                <w:sz w:val="22"/>
                <w:szCs w:val="22"/>
                <w:u w:val="none"/>
                <w:lang w:val="en-US" w:eastAsia="zh-CN" w:bidi="ar"/>
              </w:rPr>
            </w:pPr>
            <w:r>
              <w:rPr>
                <w:rFonts w:hint="eastAsia" w:ascii="宋体" w:hAnsi="宋体" w:cs="宋体"/>
                <w:b/>
                <w:bCs w:val="0"/>
                <w:i w:val="0"/>
                <w:color w:val="000000"/>
                <w:kern w:val="0"/>
                <w:sz w:val="22"/>
                <w:szCs w:val="22"/>
                <w:u w:val="none"/>
                <w:lang w:val="en-US" w:eastAsia="zh-CN" w:bidi="ar"/>
              </w:rPr>
              <w:t>桌面幼教玩具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sz w:val="20"/>
                <w:szCs w:val="20"/>
              </w:rPr>
            </w:pPr>
            <w:r>
              <w:rPr>
                <w:rFonts w:hint="eastAsia" w:ascii="宋体" w:hAnsi="宋体" w:eastAsia="宋体" w:cs="宋体"/>
                <w:sz w:val="20"/>
                <w:szCs w:val="20"/>
              </w:rPr>
              <w:t>磁力片</w:t>
            </w:r>
          </w:p>
          <w:p>
            <w:pPr>
              <w:pStyle w:val="2"/>
              <w:rPr>
                <w:rFonts w:hint="eastAsia" w:ascii="宋体" w:hAnsi="宋体" w:eastAsia="宋体" w:cs="宋体"/>
                <w:sz w:val="20"/>
                <w:szCs w:val="20"/>
              </w:rPr>
            </w:pPr>
            <w:r>
              <w:rPr>
                <w:rFonts w:hint="eastAsia" w:ascii="宋体" w:hAnsi="宋体" w:eastAsia="宋体" w:cs="宋体"/>
                <w:sz w:val="20"/>
                <w:szCs w:val="20"/>
              </w:rPr>
              <w:t>192片塑料磁力片</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903605" cy="802640"/>
                  <wp:effectExtent l="0" t="0" r="10795" b="1651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64"/>
                          <a:stretch>
                            <a:fillRect/>
                          </a:stretch>
                        </pic:blipFill>
                        <pic:spPr>
                          <a:xfrm>
                            <a:off x="0" y="0"/>
                            <a:ext cx="903605" cy="802640"/>
                          </a:xfrm>
                          <a:prstGeom prst="rect">
                            <a:avLst/>
                          </a:prstGeom>
                          <a:noFill/>
                          <a:ln w="9525">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4"/>
                <w:szCs w:val="24"/>
                <w:u w:val="none"/>
                <w:lang w:val="en-US" w:eastAsia="zh-CN" w:bidi="ar"/>
              </w:rPr>
              <w:t>箱</w:t>
            </w:r>
          </w:p>
        </w:tc>
        <w:tc>
          <w:tcPr>
            <w:tcW w:w="6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i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84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sz w:val="20"/>
                <w:szCs w:val="20"/>
              </w:rPr>
            </w:pPr>
            <w:r>
              <w:rPr>
                <w:rFonts w:hint="eastAsia" w:ascii="宋体" w:hAnsi="宋体" w:eastAsia="宋体" w:cs="宋体"/>
                <w:sz w:val="20"/>
                <w:szCs w:val="20"/>
              </w:rPr>
              <w:t>水管</w:t>
            </w:r>
          </w:p>
          <w:p>
            <w:pPr>
              <w:pStyle w:val="2"/>
              <w:rPr>
                <w:rFonts w:hint="eastAsia" w:ascii="宋体" w:hAnsi="宋体" w:eastAsia="宋体" w:cs="宋体"/>
                <w:sz w:val="20"/>
                <w:szCs w:val="20"/>
              </w:rPr>
            </w:pPr>
            <w:r>
              <w:rPr>
                <w:rFonts w:hint="eastAsia" w:ascii="宋体" w:hAnsi="宋体" w:eastAsia="宋体" w:cs="宋体"/>
                <w:sz w:val="20"/>
                <w:szCs w:val="20"/>
              </w:rPr>
              <w:t>320件，进口工程塑料，一次性注塑成型，符合国家3C认证标准</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623570" cy="836930"/>
                  <wp:effectExtent l="0" t="0" r="5080" b="1270"/>
                  <wp:docPr id="691" name="图片 2" descr="1桌面益智类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图片 2" descr="1桌面益智类A6"/>
                          <pic:cNvPicPr>
                            <a:picLocks noChangeAspect="1"/>
                          </pic:cNvPicPr>
                        </pic:nvPicPr>
                        <pic:blipFill>
                          <a:blip r:embed="rId165"/>
                          <a:srcRect l="48814"/>
                          <a:stretch>
                            <a:fillRect/>
                          </a:stretch>
                        </pic:blipFill>
                        <pic:spPr>
                          <a:xfrm>
                            <a:off x="0" y="0"/>
                            <a:ext cx="623570" cy="836930"/>
                          </a:xfrm>
                          <a:prstGeom prst="rect">
                            <a:avLst/>
                          </a:prstGeom>
                          <a:noFill/>
                          <a:ln w="9525">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i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sz w:val="20"/>
                <w:szCs w:val="20"/>
              </w:rPr>
            </w:pPr>
            <w:r>
              <w:rPr>
                <w:rFonts w:hint="eastAsia" w:ascii="宋体" w:hAnsi="宋体" w:eastAsia="宋体" w:cs="宋体"/>
                <w:sz w:val="20"/>
                <w:szCs w:val="20"/>
              </w:rPr>
              <w:t>大号串珠</w:t>
            </w:r>
          </w:p>
          <w:p>
            <w:pPr>
              <w:pStyle w:val="2"/>
              <w:rPr>
                <w:rFonts w:hint="eastAsia" w:ascii="宋体" w:hAnsi="宋体" w:eastAsia="宋体" w:cs="宋体"/>
                <w:sz w:val="20"/>
                <w:szCs w:val="20"/>
              </w:rPr>
            </w:pPr>
            <w:r>
              <w:rPr>
                <w:rFonts w:hint="eastAsia" w:ascii="宋体" w:hAnsi="宋体" w:eastAsia="宋体" w:cs="宋体"/>
                <w:sz w:val="20"/>
                <w:szCs w:val="20"/>
              </w:rPr>
              <w:t>270件/套，进口工程塑料，一次性注塑成型，符合国家3C认证标准</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666750" cy="855980"/>
                  <wp:effectExtent l="0" t="0" r="0" b="1270"/>
                  <wp:docPr id="4" name="图片 8" descr="1030、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1030、1031"/>
                          <pic:cNvPicPr>
                            <a:picLocks noChangeAspect="1"/>
                          </pic:cNvPicPr>
                        </pic:nvPicPr>
                        <pic:blipFill>
                          <a:blip r:embed="rId166"/>
                          <a:srcRect r="46385"/>
                          <a:stretch>
                            <a:fillRect/>
                          </a:stretch>
                        </pic:blipFill>
                        <pic:spPr>
                          <a:xfrm>
                            <a:off x="0" y="0"/>
                            <a:ext cx="666750" cy="855980"/>
                          </a:xfrm>
                          <a:prstGeom prst="rect">
                            <a:avLst/>
                          </a:prstGeom>
                          <a:noFill/>
                          <a:ln w="9525">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i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43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sz w:val="20"/>
                <w:szCs w:val="20"/>
              </w:rPr>
            </w:pPr>
            <w:r>
              <w:rPr>
                <w:rFonts w:hint="eastAsia" w:ascii="宋体" w:hAnsi="宋体" w:eastAsia="宋体" w:cs="宋体"/>
                <w:sz w:val="20"/>
                <w:szCs w:val="20"/>
              </w:rPr>
              <w:t>火车头</w:t>
            </w:r>
          </w:p>
          <w:p>
            <w:pPr>
              <w:pStyle w:val="2"/>
              <w:rPr>
                <w:rFonts w:hint="eastAsia" w:ascii="宋体" w:hAnsi="宋体" w:eastAsia="宋体" w:cs="宋体"/>
                <w:sz w:val="20"/>
                <w:szCs w:val="20"/>
              </w:rPr>
            </w:pPr>
            <w:r>
              <w:rPr>
                <w:rFonts w:hint="eastAsia" w:ascii="宋体" w:hAnsi="宋体" w:eastAsia="宋体" w:cs="宋体"/>
                <w:sz w:val="20"/>
                <w:szCs w:val="20"/>
              </w:rPr>
              <w:t>60件/套进口工程塑料，一次性注塑成型，符合国家3C认证标准</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626745" cy="857250"/>
                  <wp:effectExtent l="0" t="0" r="1905" b="0"/>
                  <wp:docPr id="692" name="图片 10" descr="1030、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图片 10" descr="1030、1031"/>
                          <pic:cNvPicPr>
                            <a:picLocks noChangeAspect="1"/>
                          </pic:cNvPicPr>
                        </pic:nvPicPr>
                        <pic:blipFill>
                          <a:blip r:embed="rId166"/>
                          <a:srcRect l="49397"/>
                          <a:stretch>
                            <a:fillRect/>
                          </a:stretch>
                        </pic:blipFill>
                        <pic:spPr>
                          <a:xfrm>
                            <a:off x="0" y="0"/>
                            <a:ext cx="626745" cy="857250"/>
                          </a:xfrm>
                          <a:prstGeom prst="rect">
                            <a:avLst/>
                          </a:prstGeom>
                          <a:noFill/>
                          <a:ln w="9525">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i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36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sz w:val="20"/>
                <w:szCs w:val="20"/>
              </w:rPr>
            </w:pPr>
            <w:r>
              <w:rPr>
                <w:rFonts w:hint="eastAsia" w:ascii="宋体" w:hAnsi="宋体" w:eastAsia="宋体" w:cs="宋体"/>
                <w:sz w:val="20"/>
                <w:szCs w:val="20"/>
              </w:rPr>
              <w:t>齿轮积木</w:t>
            </w:r>
          </w:p>
          <w:p>
            <w:pPr>
              <w:pStyle w:val="2"/>
              <w:rPr>
                <w:rFonts w:hint="eastAsia" w:ascii="宋体" w:hAnsi="宋体" w:eastAsia="宋体" w:cs="宋体"/>
                <w:sz w:val="20"/>
                <w:szCs w:val="20"/>
              </w:rPr>
            </w:pPr>
            <w:r>
              <w:rPr>
                <w:rFonts w:hint="eastAsia" w:ascii="宋体" w:hAnsi="宋体" w:eastAsia="宋体" w:cs="宋体"/>
                <w:sz w:val="20"/>
                <w:szCs w:val="20"/>
              </w:rPr>
              <w:t>4合/套，进口工程塑料，一次性注塑成型，符合国家3C认证标准</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838835" cy="576580"/>
                  <wp:effectExtent l="0" t="0" r="18415" b="13970"/>
                  <wp:docPr id="6" name="图片 12" descr="齿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descr="齿轮"/>
                          <pic:cNvPicPr>
                            <a:picLocks noChangeAspect="1"/>
                          </pic:cNvPicPr>
                        </pic:nvPicPr>
                        <pic:blipFill>
                          <a:blip r:embed="rId167"/>
                          <a:stretch>
                            <a:fillRect/>
                          </a:stretch>
                        </pic:blipFill>
                        <pic:spPr>
                          <a:xfrm>
                            <a:off x="0" y="0"/>
                            <a:ext cx="838835" cy="576580"/>
                          </a:xfrm>
                          <a:prstGeom prst="rect">
                            <a:avLst/>
                          </a:prstGeom>
                          <a:noFill/>
                          <a:ln w="9525">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i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852"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sz w:val="20"/>
                <w:szCs w:val="20"/>
              </w:rPr>
            </w:pPr>
            <w:r>
              <w:rPr>
                <w:rFonts w:hint="eastAsia" w:ascii="宋体" w:hAnsi="宋体" w:eastAsia="宋体" w:cs="宋体"/>
                <w:sz w:val="20"/>
                <w:szCs w:val="20"/>
              </w:rPr>
              <w:t>区角大积木</w:t>
            </w:r>
          </w:p>
          <w:p>
            <w:pPr>
              <w:pStyle w:val="2"/>
              <w:rPr>
                <w:rFonts w:hint="eastAsia" w:ascii="宋体" w:hAnsi="宋体" w:eastAsia="宋体" w:cs="宋体"/>
                <w:sz w:val="20"/>
                <w:szCs w:val="20"/>
              </w:rPr>
            </w:pPr>
            <w:r>
              <w:rPr>
                <w:rFonts w:hint="eastAsia" w:ascii="宋体" w:hAnsi="宋体" w:eastAsia="宋体" w:cs="宋体"/>
                <w:sz w:val="20"/>
                <w:szCs w:val="20"/>
              </w:rPr>
              <w:t>398件/套，榉木制作，</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771525" cy="445770"/>
                  <wp:effectExtent l="0" t="0" r="9525" b="11430"/>
                  <wp:docPr id="8" name="图片 1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descr="a"/>
                          <pic:cNvPicPr>
                            <a:picLocks noChangeAspect="1"/>
                          </pic:cNvPicPr>
                        </pic:nvPicPr>
                        <pic:blipFill>
                          <a:blip r:embed="rId168"/>
                          <a:stretch>
                            <a:fillRect/>
                          </a:stretch>
                        </pic:blipFill>
                        <pic:spPr>
                          <a:xfrm>
                            <a:off x="0" y="0"/>
                            <a:ext cx="771525" cy="445770"/>
                          </a:xfrm>
                          <a:prstGeom prst="rect">
                            <a:avLst/>
                          </a:prstGeom>
                          <a:noFill/>
                          <a:ln w="9525">
                            <a:noFill/>
                          </a:ln>
                        </pic:spPr>
                      </pic:pic>
                    </a:graphicData>
                  </a:graphic>
                </wp:inline>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i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69" w:hRule="atLeast"/>
        </w:trPr>
        <w:tc>
          <w:tcPr>
            <w:tcW w:w="8840" w:type="dxa"/>
            <w:gridSpan w:val="5"/>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cs="宋体"/>
                <w:b/>
                <w:i w:val="0"/>
                <w:color w:val="000000"/>
                <w:kern w:val="0"/>
                <w:sz w:val="22"/>
                <w:szCs w:val="22"/>
                <w:u w:val="none"/>
                <w:lang w:val="en-US" w:eastAsia="zh-CN" w:bidi="ar"/>
              </w:rPr>
              <w:t>户外大型幼教玩具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27"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2"/>
              <w:rPr>
                <w:rFonts w:hint="eastAsia" w:ascii="宋体" w:hAnsi="宋体" w:eastAsia="宋体" w:cs="宋体"/>
                <w:b w:val="0"/>
                <w:bCs/>
                <w:i w:val="0"/>
                <w:color w:val="000000"/>
                <w:kern w:val="0"/>
                <w:sz w:val="20"/>
                <w:szCs w:val="20"/>
                <w:u w:val="none"/>
                <w:lang w:val="en-US" w:eastAsia="zh-CN" w:bidi="ar"/>
              </w:rPr>
            </w:pPr>
            <w:r>
              <w:rPr>
                <w:rFonts w:hint="eastAsia" w:ascii="宋体" w:hAnsi="宋体" w:eastAsia="宋体" w:cs="宋体"/>
                <w:b w:val="0"/>
                <w:bCs/>
                <w:i w:val="0"/>
                <w:color w:val="000000"/>
                <w:kern w:val="0"/>
                <w:sz w:val="20"/>
                <w:szCs w:val="20"/>
                <w:u w:val="none"/>
                <w:lang w:val="en-US" w:eastAsia="zh-CN" w:bidi="ar"/>
              </w:rPr>
              <w:t>大型（运动）组合</w:t>
            </w:r>
            <w:r>
              <w:rPr>
                <w:rFonts w:hint="eastAsia" w:ascii="宋体" w:hAnsi="宋体" w:cs="宋体"/>
                <w:b w:val="0"/>
                <w:bCs/>
                <w:i w:val="0"/>
                <w:color w:val="000000"/>
                <w:kern w:val="0"/>
                <w:sz w:val="20"/>
                <w:szCs w:val="20"/>
                <w:u w:val="none"/>
                <w:lang w:val="en-US" w:eastAsia="zh-CN" w:bidi="ar"/>
              </w:rPr>
              <w:t>幼教玩具</w:t>
            </w:r>
          </w:p>
          <w:p>
            <w:pPr>
              <w:pStyle w:val="2"/>
              <w:rPr>
                <w:rFonts w:hint="eastAsia" w:ascii="宋体" w:hAnsi="宋体" w:eastAsia="宋体" w:cs="宋体"/>
                <w:b w:val="0"/>
                <w:bCs/>
                <w:i w:val="0"/>
                <w:color w:val="000000"/>
                <w:kern w:val="0"/>
                <w:sz w:val="20"/>
                <w:szCs w:val="20"/>
                <w:u w:val="none"/>
                <w:lang w:val="en-US" w:eastAsia="zh-CN" w:bidi="ar"/>
              </w:rPr>
            </w:pPr>
            <w:r>
              <w:rPr>
                <w:rFonts w:hint="eastAsia" w:ascii="宋体" w:hAnsi="宋体" w:eastAsia="宋体" w:cs="宋体"/>
                <w:b w:val="0"/>
                <w:bCs/>
                <w:i w:val="0"/>
                <w:color w:val="000000"/>
                <w:kern w:val="0"/>
                <w:sz w:val="20"/>
                <w:szCs w:val="20"/>
                <w:u w:val="none"/>
                <w:lang w:val="en-US" w:eastAsia="zh-CN" w:bidi="ar"/>
              </w:rPr>
              <w:t>规格：3500*380*450cm长</w:t>
            </w:r>
          </w:p>
          <w:p>
            <w:pPr>
              <w:pStyle w:val="2"/>
              <w:rPr>
                <w:rFonts w:hint="eastAsia" w:ascii="宋体" w:hAnsi="宋体" w:eastAsia="宋体" w:cs="宋体"/>
                <w:b w:val="0"/>
                <w:bCs/>
                <w:i w:val="0"/>
                <w:color w:val="000000"/>
                <w:kern w:val="0"/>
                <w:sz w:val="20"/>
                <w:szCs w:val="20"/>
                <w:u w:val="none"/>
                <w:lang w:val="en-US" w:eastAsia="zh-CN" w:bidi="ar"/>
              </w:rPr>
            </w:pPr>
            <w:r>
              <w:rPr>
                <w:rFonts w:hint="eastAsia" w:ascii="宋体" w:hAnsi="宋体" w:eastAsia="宋体" w:cs="宋体"/>
                <w:b w:val="0"/>
                <w:bCs/>
                <w:i w:val="0"/>
                <w:color w:val="000000"/>
                <w:kern w:val="0"/>
                <w:sz w:val="20"/>
                <w:szCs w:val="20"/>
                <w:u w:val="none"/>
                <w:lang w:val="en-US" w:eastAsia="zh-CN" w:bidi="ar"/>
              </w:rPr>
              <w:t>1．质材坚固，所有镀锌管钢制件均经除锈、磷化等金属表面处理后喷塑，长期使用不锈蚀。</w:t>
            </w:r>
          </w:p>
          <w:p>
            <w:pPr>
              <w:pStyle w:val="2"/>
              <w:rPr>
                <w:rFonts w:hint="eastAsia" w:ascii="宋体" w:hAnsi="宋体" w:eastAsia="宋体" w:cs="宋体"/>
                <w:b w:val="0"/>
                <w:bCs/>
                <w:i w:val="0"/>
                <w:color w:val="000000"/>
                <w:kern w:val="0"/>
                <w:sz w:val="20"/>
                <w:szCs w:val="20"/>
                <w:u w:val="none"/>
                <w:lang w:val="en-US" w:eastAsia="zh-CN" w:bidi="ar"/>
              </w:rPr>
            </w:pPr>
            <w:r>
              <w:rPr>
                <w:rFonts w:hint="eastAsia" w:ascii="宋体" w:hAnsi="宋体" w:eastAsia="宋体" w:cs="宋体"/>
                <w:b w:val="0"/>
                <w:bCs/>
                <w:i w:val="0"/>
                <w:color w:val="000000"/>
                <w:kern w:val="0"/>
                <w:sz w:val="20"/>
                <w:szCs w:val="20"/>
                <w:u w:val="none"/>
                <w:lang w:val="en-US" w:eastAsia="zh-CN" w:bidi="ar"/>
              </w:rPr>
              <w:t>2．塑料为食品级塑料，安全、无毒，颜色稳定、抗老化。</w:t>
            </w:r>
          </w:p>
          <w:p>
            <w:pPr>
              <w:pStyle w:val="2"/>
              <w:rPr>
                <w:rFonts w:hint="eastAsia" w:ascii="宋体" w:hAnsi="宋体" w:eastAsia="宋体" w:cs="宋体"/>
                <w:b w:val="0"/>
                <w:bCs/>
                <w:i w:val="0"/>
                <w:color w:val="000000"/>
                <w:kern w:val="0"/>
                <w:sz w:val="20"/>
                <w:szCs w:val="20"/>
                <w:u w:val="none"/>
                <w:lang w:val="en-US" w:eastAsia="zh-CN" w:bidi="ar"/>
              </w:rPr>
            </w:pPr>
            <w:r>
              <w:rPr>
                <w:rFonts w:hint="eastAsia" w:ascii="宋体" w:hAnsi="宋体" w:eastAsia="宋体" w:cs="宋体"/>
                <w:b w:val="0"/>
                <w:bCs/>
                <w:i w:val="0"/>
                <w:color w:val="000000"/>
                <w:kern w:val="0"/>
                <w:sz w:val="20"/>
                <w:szCs w:val="20"/>
                <w:u w:val="none"/>
                <w:lang w:val="en-US" w:eastAsia="zh-CN" w:bidi="ar"/>
              </w:rPr>
              <w:t>3．产品边角圆润，无飞边毛刺，使用中具有足够的安全性和稳定。</w:t>
            </w:r>
          </w:p>
          <w:p>
            <w:pPr>
              <w:pStyle w:val="2"/>
              <w:rPr>
                <w:rFonts w:hint="eastAsia" w:ascii="宋体" w:hAnsi="宋体" w:eastAsia="宋体" w:cs="宋体"/>
                <w:b w:val="0"/>
                <w:bCs/>
                <w:i w:val="0"/>
                <w:color w:val="000000"/>
                <w:kern w:val="0"/>
                <w:sz w:val="20"/>
                <w:szCs w:val="20"/>
                <w:u w:val="none"/>
                <w:lang w:val="en-US" w:eastAsia="zh-CN" w:bidi="ar"/>
              </w:rPr>
            </w:pPr>
            <w:r>
              <w:rPr>
                <w:rFonts w:hint="eastAsia" w:ascii="宋体" w:hAnsi="宋体" w:eastAsia="宋体" w:cs="宋体"/>
                <w:b w:val="0"/>
                <w:bCs/>
                <w:i w:val="0"/>
                <w:color w:val="000000"/>
                <w:kern w:val="0"/>
                <w:sz w:val="20"/>
                <w:szCs w:val="20"/>
                <w:u w:val="none"/>
                <w:lang w:val="en-US" w:eastAsia="zh-CN" w:bidi="ar"/>
              </w:rPr>
              <w:t>4. 配件：一套炮弹造型牛角四柱顶，一套鸟巢四柱顶，一套棕树叶，三套树叶，两套猴子，两块塔楼系列隔排，一块炮弹造型隔排，一套圆形木制大平台，一套侧边节节高攀爬，三套U型网，一套蜘蛛爬网，一套150cm高拼接单滑，一套轮胎攀爬，一套木制斜攀爬，一套150cm高桶滑，一套软绳攀爬，一套150cm高节节高，一套塑料走桩，八套网通，一套L型走桥，三块四方平台，三十二根立柱。</w:t>
            </w:r>
          </w:p>
          <w:p>
            <w:pPr>
              <w:pStyle w:val="2"/>
              <w:rPr>
                <w:rFonts w:hint="eastAsia" w:ascii="宋体" w:hAnsi="宋体" w:eastAsia="宋体" w:cs="宋体"/>
                <w:b w:val="0"/>
                <w:bCs/>
                <w:i w:val="0"/>
                <w:color w:val="000000"/>
                <w:kern w:val="0"/>
                <w:sz w:val="20"/>
                <w:szCs w:val="20"/>
                <w:u w:val="none"/>
                <w:lang w:val="en-US" w:eastAsia="zh-CN" w:bidi="ar"/>
              </w:rPr>
            </w:pPr>
            <w:r>
              <w:rPr>
                <w:rFonts w:hint="eastAsia" w:ascii="宋体" w:hAnsi="宋体" w:eastAsia="宋体" w:cs="宋体"/>
                <w:b w:val="0"/>
                <w:bCs/>
                <w:i w:val="0"/>
                <w:color w:val="000000"/>
                <w:kern w:val="0"/>
                <w:sz w:val="20"/>
                <w:szCs w:val="20"/>
                <w:u w:val="none"/>
                <w:lang w:val="en-US" w:eastAsia="zh-CN" w:bidi="ar"/>
              </w:rPr>
              <w:t>5．立柱材质：主支柱直径11.4cm*壁厚0.2cm，镀锌管整体加工后经特殊工艺除绣，抛砂处理，带扣件。表面处理：CO2 气体保护焊、经喷丸技术处理、然后经过抛光处理、室外聚酯系树脂粉体涂装高温电磁烤漆、高温固化、表面光滑、抗紫外线、抗腐蚀、色彩鲜艳、不易脱落 。</w:t>
            </w:r>
          </w:p>
          <w:p>
            <w:pPr>
              <w:pStyle w:val="2"/>
              <w:rPr>
                <w:rFonts w:hint="eastAsia" w:ascii="宋体" w:hAnsi="宋体" w:eastAsia="宋体" w:cs="宋体"/>
                <w:b w:val="0"/>
                <w:bCs/>
                <w:i w:val="0"/>
                <w:color w:val="000000"/>
                <w:kern w:val="0"/>
                <w:sz w:val="20"/>
                <w:szCs w:val="20"/>
                <w:u w:val="none"/>
                <w:lang w:val="en-US" w:eastAsia="zh-CN" w:bidi="ar"/>
              </w:rPr>
            </w:pPr>
            <w:r>
              <w:rPr>
                <w:rFonts w:hint="eastAsia" w:ascii="宋体" w:hAnsi="宋体" w:eastAsia="宋体" w:cs="宋体"/>
                <w:b w:val="0"/>
                <w:bCs/>
                <w:i w:val="0"/>
                <w:color w:val="000000"/>
                <w:kern w:val="0"/>
                <w:sz w:val="20"/>
                <w:szCs w:val="20"/>
                <w:u w:val="none"/>
                <w:lang w:val="en-US" w:eastAsia="zh-CN" w:bidi="ar"/>
              </w:rPr>
              <w:t>6．四方平台尺寸为116.4*116.4*8cm。材质：高强度冷轧钢板，经特殊工艺表面处理，表面显微波浪状冲孔防滑板，不积水，安全美观防滑性好。表面处理：CO2 气体保护焊、经喷丸技术处理、然后经过抛光处理、室外聚酯系树脂粉体涂装高温电磁烤漆、高温固化、表面光滑、抗紫外线、抗腐蚀、色彩鲜艳、不易脱落。</w:t>
            </w:r>
          </w:p>
          <w:p>
            <w:pPr>
              <w:pStyle w:val="2"/>
              <w:rPr>
                <w:rFonts w:hint="eastAsia" w:ascii="宋体" w:hAnsi="宋体" w:eastAsia="宋体" w:cs="宋体"/>
                <w:b w:val="0"/>
                <w:bCs/>
                <w:i w:val="0"/>
                <w:color w:val="000000"/>
                <w:kern w:val="0"/>
                <w:sz w:val="20"/>
                <w:szCs w:val="20"/>
                <w:u w:val="none"/>
                <w:lang w:val="en-US" w:eastAsia="zh-CN" w:bidi="ar"/>
              </w:rPr>
            </w:pPr>
            <w:r>
              <w:rPr>
                <w:rFonts w:hint="eastAsia" w:ascii="宋体" w:hAnsi="宋体" w:eastAsia="宋体" w:cs="宋体"/>
                <w:b w:val="0"/>
                <w:bCs/>
                <w:i w:val="0"/>
                <w:color w:val="000000"/>
                <w:kern w:val="0"/>
                <w:sz w:val="20"/>
                <w:szCs w:val="20"/>
                <w:u w:val="none"/>
                <w:lang w:val="en-US" w:eastAsia="zh-CN" w:bidi="ar"/>
              </w:rPr>
              <w:t>7．镀锌管配件：材质：镀锌管外径 3.2/3.8/4.8/6.0cm镀锌管，壁厚0.15cm。表面处理：CO2 气体保护焊、经喷丸技术处理、然后经过抛光处理、室外聚酯系树脂粉体涂装高温电磁烤漆、高温固化、表面光滑、抗紫外线、抗腐蚀、色彩鲜艳、不易脱落。</w:t>
            </w:r>
          </w:p>
          <w:p>
            <w:pPr>
              <w:pStyle w:val="2"/>
              <w:rPr>
                <w:rFonts w:hint="eastAsia" w:ascii="宋体" w:hAnsi="宋体" w:eastAsia="宋体" w:cs="宋体"/>
                <w:b w:val="0"/>
                <w:bCs/>
                <w:i w:val="0"/>
                <w:color w:val="000000"/>
                <w:kern w:val="0"/>
                <w:sz w:val="20"/>
                <w:szCs w:val="20"/>
                <w:u w:val="none"/>
                <w:lang w:val="en-US" w:eastAsia="zh-CN" w:bidi="ar"/>
              </w:rPr>
            </w:pPr>
            <w:r>
              <w:rPr>
                <w:rFonts w:hint="eastAsia" w:ascii="宋体" w:hAnsi="宋体" w:eastAsia="宋体" w:cs="宋体"/>
                <w:b w:val="0"/>
                <w:bCs/>
                <w:i w:val="0"/>
                <w:color w:val="000000"/>
                <w:kern w:val="0"/>
                <w:sz w:val="20"/>
                <w:szCs w:val="20"/>
                <w:u w:val="none"/>
                <w:lang w:val="en-US" w:eastAsia="zh-CN" w:bidi="ar"/>
              </w:rPr>
              <w:t>8.塑料：采用食品级专用塑料粒子，无毒无味，渗入抗紫外线，光稳定剂及抗静电剂，高级颜料粉，防脱色、韧性好、高强度（壁厚≥0.6cm）、两面光滑、颜色粉末与聚乙烯基材充分混合，颜色与基材密不可分，防褪色、脆化、静电等元素长久不会流失。</w:t>
            </w:r>
          </w:p>
          <w:p>
            <w:pPr>
              <w:pStyle w:val="2"/>
              <w:rPr>
                <w:rFonts w:hint="eastAsia" w:ascii="宋体" w:hAnsi="宋体" w:eastAsia="宋体" w:cs="宋体"/>
                <w:b w:val="0"/>
                <w:bCs/>
                <w:i w:val="0"/>
                <w:color w:val="000000"/>
                <w:kern w:val="0"/>
                <w:sz w:val="20"/>
                <w:szCs w:val="20"/>
                <w:u w:val="none"/>
                <w:lang w:val="en-US" w:eastAsia="zh-CN" w:bidi="ar"/>
              </w:rPr>
            </w:pPr>
            <w:r>
              <w:rPr>
                <w:rFonts w:hint="eastAsia" w:ascii="宋体" w:hAnsi="宋体" w:eastAsia="宋体" w:cs="宋体"/>
                <w:b w:val="0"/>
                <w:bCs/>
                <w:i w:val="0"/>
                <w:color w:val="000000"/>
                <w:kern w:val="0"/>
                <w:sz w:val="20"/>
                <w:szCs w:val="20"/>
                <w:u w:val="none"/>
                <w:lang w:val="en-US" w:eastAsia="zh-CN" w:bidi="ar"/>
              </w:rPr>
              <w:t>9、网绳 网通：采用黑色6股钢丝绳配合铝扣连接，是将力学性能和几何尺寸符合要求的钢丝按照一定的规则捻制在一起的螺旋状钢丝束，钢丝绳由钢丝、绳芯及润滑脂组成。钢丝绳是先由6股钢丝捻成股，再以绳芯为中心，由一定数量股捻绕成螺旋状的绳。在物料搬运机械中，供提升、牵引、拉紧和承载之用。钢丝绳的强度高、自重轻、工作平稳、不易骤然整根折断，工作可靠。</w:t>
            </w:r>
          </w:p>
          <w:p>
            <w:pPr>
              <w:pStyle w:val="2"/>
              <w:rPr>
                <w:rFonts w:hint="eastAsia" w:ascii="宋体" w:hAnsi="宋体" w:eastAsia="宋体" w:cs="宋体"/>
                <w:b w:val="0"/>
                <w:bCs/>
                <w:i w:val="0"/>
                <w:color w:val="000000"/>
                <w:kern w:val="0"/>
                <w:sz w:val="20"/>
                <w:szCs w:val="20"/>
                <w:u w:val="none"/>
                <w:lang w:val="en-US" w:eastAsia="zh-CN" w:bidi="ar"/>
              </w:rPr>
            </w:pPr>
            <w:r>
              <w:rPr>
                <w:rFonts w:hint="eastAsia" w:ascii="宋体" w:hAnsi="宋体" w:eastAsia="宋体" w:cs="宋体"/>
                <w:b w:val="0"/>
                <w:bCs/>
                <w:i w:val="0"/>
                <w:color w:val="000000"/>
                <w:kern w:val="0"/>
                <w:sz w:val="20"/>
                <w:szCs w:val="20"/>
                <w:u w:val="none"/>
                <w:lang w:val="en-US" w:eastAsia="zh-CN" w:bidi="ar"/>
              </w:rPr>
              <w:t>10. 攀岩墙：材质为2.5cm厚黄花梨木料拼接而成，经打磨批灰后，外涂室外专用防水清漆，防腐、防水能力好；表面装攀岩点，提供攀爬功能。</w:t>
            </w:r>
          </w:p>
          <w:p>
            <w:pPr>
              <w:pStyle w:val="2"/>
              <w:rPr>
                <w:rFonts w:hint="eastAsia" w:ascii="宋体" w:hAnsi="宋体" w:eastAsia="宋体" w:cs="宋体"/>
                <w:b w:val="0"/>
                <w:bCs/>
                <w:i w:val="0"/>
                <w:color w:val="000000"/>
                <w:kern w:val="0"/>
                <w:sz w:val="20"/>
                <w:szCs w:val="20"/>
                <w:u w:val="none"/>
                <w:lang w:val="en-US" w:eastAsia="zh-CN" w:bidi="ar"/>
              </w:rPr>
            </w:pPr>
            <w:r>
              <w:rPr>
                <w:rFonts w:hint="eastAsia" w:ascii="宋体" w:hAnsi="宋体" w:eastAsia="宋体" w:cs="宋体"/>
                <w:b w:val="0"/>
                <w:bCs/>
                <w:i w:val="0"/>
                <w:color w:val="000000"/>
                <w:kern w:val="0"/>
                <w:sz w:val="20"/>
                <w:szCs w:val="20"/>
                <w:u w:val="none"/>
                <w:lang w:val="en-US" w:eastAsia="zh-CN" w:bidi="ar"/>
              </w:rPr>
              <w:t>11.连接件及底盘：铝合金材料，外表圆形，造型美观，无棱角，安全牢固，不生锈，经久耐用，经机械抛光，表面用塑粉静电喷塑，高温加热后，不褪色，不掉色，色彩鲜艳。</w:t>
            </w:r>
          </w:p>
          <w:p>
            <w:pPr>
              <w:pStyle w:val="2"/>
              <w:rPr>
                <w:rFonts w:hint="eastAsia" w:ascii="宋体" w:hAnsi="宋体" w:eastAsia="宋体" w:cs="宋体"/>
                <w:b w:val="0"/>
                <w:bCs/>
                <w:i w:val="0"/>
                <w:color w:val="000000"/>
                <w:kern w:val="0"/>
                <w:sz w:val="20"/>
                <w:szCs w:val="20"/>
                <w:u w:val="none"/>
                <w:lang w:val="en-US" w:eastAsia="zh-CN" w:bidi="ar"/>
              </w:rPr>
            </w:pPr>
            <w:r>
              <w:rPr>
                <w:rFonts w:hint="eastAsia" w:ascii="宋体" w:hAnsi="宋体" w:eastAsia="宋体" w:cs="宋体"/>
                <w:b w:val="0"/>
                <w:bCs/>
                <w:i w:val="0"/>
                <w:color w:val="000000"/>
                <w:kern w:val="0"/>
                <w:sz w:val="20"/>
                <w:szCs w:val="20"/>
                <w:u w:val="none"/>
                <w:lang w:val="en-US" w:eastAsia="zh-CN" w:bidi="ar"/>
              </w:rPr>
              <w:t>12．五金零件：材质：不锈钢半圆头，T 型平头螺丝。表面处理：机械抛光 。</w:t>
            </w:r>
          </w:p>
          <w:p>
            <w:pPr>
              <w:pStyle w:val="2"/>
              <w:rPr>
                <w:rFonts w:hint="eastAsia" w:ascii="宋体" w:hAnsi="宋体" w:eastAsia="宋体" w:cs="宋体"/>
                <w:b/>
                <w:bCs w:val="0"/>
                <w:i w:val="0"/>
                <w:color w:val="000000"/>
                <w:kern w:val="0"/>
                <w:sz w:val="22"/>
                <w:szCs w:val="22"/>
                <w:u w:val="none"/>
                <w:lang w:val="en-US" w:eastAsia="zh-CN" w:bidi="ar"/>
              </w:rPr>
            </w:pPr>
            <w:r>
              <w:rPr>
                <w:rFonts w:hint="eastAsia" w:ascii="宋体" w:hAnsi="宋体" w:eastAsia="宋体" w:cs="宋体"/>
                <w:b w:val="0"/>
                <w:bCs/>
                <w:i w:val="0"/>
                <w:color w:val="000000"/>
                <w:kern w:val="0"/>
                <w:sz w:val="20"/>
                <w:szCs w:val="20"/>
                <w:u w:val="none"/>
                <w:lang w:val="en-US" w:eastAsia="zh-CN" w:bidi="ar"/>
              </w:rPr>
              <w:t>13．其他：接触面材料及结合角铁均经导圆角处理，以维护使用者的安全。</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keepNext w:val="0"/>
              <w:keepLines w:val="0"/>
              <w:widowControl/>
              <w:suppressLineNumbers w:val="0"/>
              <w:jc w:val="left"/>
              <w:textAlignment w:val="top"/>
              <w:rPr>
                <w:rFonts w:hint="eastAsia"/>
              </w:rPr>
            </w:pPr>
            <w:r>
              <w:rPr>
                <w:rFonts w:hint="eastAsia" w:ascii="宋体" w:hAnsi="宋体" w:eastAsia="宋体" w:cs="宋体"/>
                <w:i w:val="0"/>
                <w:color w:val="000000"/>
                <w:kern w:val="0"/>
                <w:sz w:val="24"/>
                <w:szCs w:val="24"/>
                <w:u w:val="none"/>
                <w:bdr w:val="single" w:color="000000" w:sz="4" w:space="0"/>
                <w:lang w:val="en-US" w:eastAsia="zh-CN" w:bidi="ar"/>
              </w:rPr>
              <w:drawing>
                <wp:anchor distT="0" distB="0" distL="114300" distR="114300" simplePos="0" relativeHeight="253719552" behindDoc="0" locked="0" layoutInCell="1" allowOverlap="1">
                  <wp:simplePos x="0" y="0"/>
                  <wp:positionH relativeFrom="column">
                    <wp:posOffset>64770</wp:posOffset>
                  </wp:positionH>
                  <wp:positionV relativeFrom="paragraph">
                    <wp:posOffset>321945</wp:posOffset>
                  </wp:positionV>
                  <wp:extent cx="694055" cy="1133475"/>
                  <wp:effectExtent l="0" t="0" r="10795" b="9525"/>
                  <wp:wrapNone/>
                  <wp:docPr id="711" name="图片_3"/>
                  <wp:cNvGraphicFramePr/>
                  <a:graphic xmlns:a="http://schemas.openxmlformats.org/drawingml/2006/main">
                    <a:graphicData uri="http://schemas.openxmlformats.org/drawingml/2006/picture">
                      <pic:pic xmlns:pic="http://schemas.openxmlformats.org/drawingml/2006/picture">
                        <pic:nvPicPr>
                          <pic:cNvPr id="711" name="图片_3"/>
                          <pic:cNvPicPr/>
                        </pic:nvPicPr>
                        <pic:blipFill>
                          <a:blip r:embed="rId169"/>
                          <a:stretch>
                            <a:fillRect/>
                          </a:stretch>
                        </pic:blipFill>
                        <pic:spPr>
                          <a:xfrm>
                            <a:off x="0" y="0"/>
                            <a:ext cx="694055" cy="1133475"/>
                          </a:xfrm>
                          <a:prstGeom prst="rect">
                            <a:avLst/>
                          </a:prstGeom>
                          <a:noFill/>
                          <a:ln>
                            <a:noFill/>
                          </a:ln>
                        </pic:spPr>
                      </pic:pic>
                    </a:graphicData>
                  </a:graphic>
                </wp:anchor>
              </w:drawing>
            </w:r>
            <w:r>
              <w:rPr>
                <w:rFonts w:hint="eastAsia" w:ascii="宋体" w:hAnsi="宋体" w:eastAsia="宋体" w:cs="宋体"/>
                <w:i w:val="0"/>
                <w:color w:val="000000"/>
                <w:kern w:val="0"/>
                <w:sz w:val="24"/>
                <w:szCs w:val="24"/>
                <w:u w:val="none"/>
                <w:bdr w:val="single" w:color="000000" w:sz="4" w:space="0"/>
                <w:lang w:val="en-US" w:eastAsia="zh-CN" w:bidi="ar"/>
              </w:rPr>
              <w:drawing>
                <wp:anchor distT="0" distB="0" distL="114300" distR="114300" simplePos="0" relativeHeight="253719552" behindDoc="0" locked="0" layoutInCell="1" allowOverlap="1">
                  <wp:simplePos x="0" y="0"/>
                  <wp:positionH relativeFrom="column">
                    <wp:posOffset>48260</wp:posOffset>
                  </wp:positionH>
                  <wp:positionV relativeFrom="paragraph">
                    <wp:posOffset>1868170</wp:posOffset>
                  </wp:positionV>
                  <wp:extent cx="742315" cy="1029335"/>
                  <wp:effectExtent l="0" t="0" r="635" b="18415"/>
                  <wp:wrapNone/>
                  <wp:docPr id="710" name="图片_4"/>
                  <wp:cNvGraphicFramePr/>
                  <a:graphic xmlns:a="http://schemas.openxmlformats.org/drawingml/2006/main">
                    <a:graphicData uri="http://schemas.openxmlformats.org/drawingml/2006/picture">
                      <pic:pic xmlns:pic="http://schemas.openxmlformats.org/drawingml/2006/picture">
                        <pic:nvPicPr>
                          <pic:cNvPr id="710" name="图片_4"/>
                          <pic:cNvPicPr/>
                        </pic:nvPicPr>
                        <pic:blipFill>
                          <a:blip r:embed="rId170"/>
                          <a:stretch>
                            <a:fillRect/>
                          </a:stretch>
                        </pic:blipFill>
                        <pic:spPr>
                          <a:xfrm>
                            <a:off x="0" y="0"/>
                            <a:ext cx="742315" cy="1029335"/>
                          </a:xfrm>
                          <a:prstGeom prst="rect">
                            <a:avLst/>
                          </a:prstGeom>
                          <a:noFill/>
                          <a:ln>
                            <a:noFill/>
                          </a:ln>
                        </pic:spPr>
                      </pic:pic>
                    </a:graphicData>
                  </a:graphic>
                </wp:anchor>
              </w:drawing>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套</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i w:val="0"/>
                <w:color w:val="000000"/>
                <w:kern w:val="0"/>
                <w:sz w:val="22"/>
                <w:szCs w:val="22"/>
                <w:u w:val="none"/>
                <w:lang w:val="en-US" w:eastAsia="zh-CN" w:bidi="ar"/>
              </w:rPr>
            </w:pPr>
            <w:r>
              <w:rPr>
                <w:rFonts w:hint="eastAsia" w:ascii="宋体" w:hAnsi="宋体" w:cs="宋体"/>
                <w:b/>
                <w:i w:val="0"/>
                <w:color w:val="000000"/>
                <w:kern w:val="0"/>
                <w:sz w:val="22"/>
                <w:szCs w:val="22"/>
                <w:u w:val="none"/>
                <w:lang w:val="en-US" w:eastAsia="zh-CN" w:bidi="ar"/>
              </w:rPr>
              <w:t>1</w:t>
            </w:r>
          </w:p>
        </w:tc>
      </w:tr>
    </w:tbl>
    <w:p>
      <w:pPr>
        <w:pStyle w:val="2"/>
        <w:rPr>
          <w:rFonts w:hint="eastAsia"/>
        </w:rPr>
      </w:pPr>
    </w:p>
    <w:p>
      <w:pPr>
        <w:wordWrap w:val="0"/>
        <w:adjustRightInd w:val="0"/>
        <w:spacing w:line="360" w:lineRule="auto"/>
        <w:ind w:firstLine="413" w:firstLineChars="196"/>
        <w:textAlignment w:val="baseline"/>
        <w:rPr>
          <w:rFonts w:hint="eastAsia" w:ascii="黑体" w:hAnsi="宋体" w:eastAsia="黑体"/>
          <w:b/>
          <w:sz w:val="21"/>
          <w:szCs w:val="21"/>
        </w:rPr>
      </w:pPr>
      <w:r>
        <w:rPr>
          <w:rFonts w:hint="eastAsia" w:ascii="宋体" w:hAnsi="Courier New"/>
          <w:b/>
          <w:bCs/>
          <w:sz w:val="21"/>
          <w:szCs w:val="21"/>
        </w:rPr>
        <w:t>注：</w:t>
      </w:r>
      <w:r>
        <w:rPr>
          <w:rFonts w:hint="eastAsia" w:ascii="黑体" w:hAnsi="宋体" w:eastAsia="黑体"/>
          <w:b/>
          <w:sz w:val="21"/>
          <w:szCs w:val="21"/>
        </w:rPr>
        <w:t>1、以上数量均为暂定，所标注的产品规格都为成品规格。结算数量按实际完成数量为准。</w:t>
      </w:r>
    </w:p>
    <w:p>
      <w:pPr>
        <w:tabs>
          <w:tab w:val="left" w:pos="574"/>
        </w:tabs>
        <w:wordWrap w:val="0"/>
        <w:adjustRightInd w:val="0"/>
        <w:spacing w:line="360" w:lineRule="auto"/>
        <w:ind w:firstLine="422" w:firstLineChars="200"/>
        <w:textAlignment w:val="baseline"/>
        <w:rPr>
          <w:rFonts w:hint="eastAsia" w:ascii="宋体" w:hAnsi="宋体"/>
          <w:b/>
          <w:kern w:val="0"/>
          <w:sz w:val="21"/>
          <w:szCs w:val="21"/>
        </w:rPr>
      </w:pPr>
      <w:r>
        <w:rPr>
          <w:rFonts w:hint="eastAsia" w:ascii="宋体" w:hAnsi="宋体"/>
          <w:b/>
          <w:kern w:val="0"/>
          <w:sz w:val="21"/>
          <w:szCs w:val="21"/>
        </w:rPr>
        <w:t>三、技术规范</w:t>
      </w:r>
    </w:p>
    <w:p>
      <w:pPr>
        <w:widowControl/>
        <w:wordWrap w:val="0"/>
        <w:autoSpaceDE w:val="0"/>
        <w:autoSpaceDN w:val="0"/>
        <w:adjustRightInd w:val="0"/>
        <w:snapToGrid w:val="0"/>
        <w:spacing w:line="360" w:lineRule="auto"/>
        <w:ind w:firstLine="420" w:firstLineChars="200"/>
        <w:textAlignment w:val="bottom"/>
        <w:rPr>
          <w:rFonts w:hint="eastAsia" w:ascii="宋体" w:hAnsi="宋体" w:eastAsia="Times New Roman"/>
          <w:sz w:val="21"/>
          <w:szCs w:val="21"/>
        </w:rPr>
      </w:pPr>
      <w:r>
        <w:rPr>
          <w:rFonts w:hint="eastAsia" w:ascii="宋体" w:hAnsi="宋体" w:eastAsia="Times New Roman"/>
          <w:sz w:val="21"/>
          <w:szCs w:val="21"/>
        </w:rPr>
        <w:t>本项目所采用的主要技术规范要求如下（不限于以下）：</w:t>
      </w:r>
    </w:p>
    <w:p>
      <w:pPr>
        <w:widowControl/>
        <w:wordWrap w:val="0"/>
        <w:autoSpaceDE w:val="0"/>
        <w:autoSpaceDN w:val="0"/>
        <w:adjustRightInd w:val="0"/>
        <w:snapToGrid w:val="0"/>
        <w:spacing w:line="360" w:lineRule="auto"/>
        <w:ind w:firstLine="420" w:firstLineChars="200"/>
        <w:textAlignment w:val="bottom"/>
        <w:rPr>
          <w:rFonts w:hint="eastAsia" w:ascii="宋体" w:hAnsi="宋体" w:eastAsia="Times New Roman"/>
          <w:sz w:val="21"/>
          <w:szCs w:val="21"/>
        </w:rPr>
      </w:pPr>
      <w:r>
        <w:rPr>
          <w:rFonts w:hint="eastAsia" w:ascii="宋体" w:hAnsi="宋体" w:eastAsia="Times New Roman"/>
          <w:sz w:val="21"/>
          <w:szCs w:val="21"/>
        </w:rPr>
        <w:t>1、国家规定的标准和规范，有新标准按新标准执行。</w:t>
      </w:r>
    </w:p>
    <w:p>
      <w:pPr>
        <w:spacing w:line="360" w:lineRule="auto"/>
        <w:ind w:firstLine="420" w:firstLineChars="200"/>
        <w:rPr>
          <w:rFonts w:hint="eastAsia" w:ascii="宋体" w:hAnsi="宋体"/>
          <w:sz w:val="21"/>
          <w:szCs w:val="21"/>
        </w:rPr>
      </w:pPr>
      <w:r>
        <w:rPr>
          <w:rFonts w:hint="eastAsia" w:ascii="宋体" w:hAnsi="宋体" w:eastAsia="Times New Roman"/>
          <w:sz w:val="21"/>
          <w:szCs w:val="21"/>
        </w:rPr>
        <w:t>2、其它相关国家、行业标准及规范，或企业标准与规范，按最新版执行。</w:t>
      </w:r>
    </w:p>
    <w:p>
      <w:pPr>
        <w:spacing w:line="360" w:lineRule="auto"/>
        <w:ind w:firstLine="422" w:firstLineChars="200"/>
        <w:rPr>
          <w:rFonts w:ascii="宋体" w:hAnsi="宋体"/>
          <w:b/>
          <w:sz w:val="21"/>
          <w:szCs w:val="21"/>
        </w:rPr>
      </w:pPr>
      <w:r>
        <w:rPr>
          <w:rFonts w:hint="eastAsia" w:ascii="宋体" w:hAnsi="宋体"/>
          <w:b/>
          <w:sz w:val="21"/>
          <w:szCs w:val="21"/>
        </w:rPr>
        <w:t>四、服务期要求</w:t>
      </w:r>
    </w:p>
    <w:p>
      <w:pPr>
        <w:spacing w:line="360" w:lineRule="auto"/>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color w:val="auto"/>
          <w:sz w:val="24"/>
        </w:rPr>
        <w:t>在</w:t>
      </w:r>
      <w:r>
        <w:rPr>
          <w:rFonts w:hint="eastAsia" w:asciiTheme="majorEastAsia" w:hAnsiTheme="majorEastAsia" w:eastAsiaTheme="majorEastAsia" w:cstheme="majorEastAsia"/>
          <w:color w:val="auto"/>
          <w:sz w:val="24"/>
          <w:lang w:val="en-US" w:eastAsia="zh-CN"/>
        </w:rPr>
        <w:t>2019年09月10日前</w:t>
      </w:r>
      <w:r>
        <w:rPr>
          <w:rFonts w:hint="eastAsia" w:asciiTheme="majorEastAsia" w:hAnsiTheme="majorEastAsia" w:eastAsiaTheme="majorEastAsia" w:cstheme="majorEastAsia"/>
          <w:sz w:val="24"/>
        </w:rPr>
        <w:t>完成产品的供货、安装、调试</w:t>
      </w:r>
      <w:r>
        <w:rPr>
          <w:rFonts w:hint="eastAsia" w:asciiTheme="majorEastAsia" w:hAnsiTheme="majorEastAsia" w:eastAsiaTheme="majorEastAsia" w:cstheme="majorEastAsia"/>
          <w:sz w:val="24"/>
          <w:lang w:eastAsia="zh-CN"/>
        </w:rPr>
        <w:t>等</w:t>
      </w:r>
      <w:r>
        <w:rPr>
          <w:rFonts w:hint="eastAsia" w:asciiTheme="majorEastAsia" w:hAnsiTheme="majorEastAsia" w:eastAsiaTheme="majorEastAsia" w:cstheme="majorEastAsia"/>
          <w:sz w:val="24"/>
        </w:rPr>
        <w:t>。</w:t>
      </w:r>
    </w:p>
    <w:p>
      <w:pPr>
        <w:spacing w:line="360" w:lineRule="auto"/>
        <w:ind w:firstLine="422" w:firstLineChars="200"/>
        <w:rPr>
          <w:rFonts w:hint="eastAsia" w:ascii="宋体" w:hAnsi="宋体"/>
          <w:b/>
          <w:sz w:val="21"/>
          <w:szCs w:val="21"/>
        </w:rPr>
      </w:pPr>
      <w:r>
        <w:rPr>
          <w:rFonts w:hint="eastAsia" w:ascii="宋体" w:hAnsi="宋体"/>
          <w:b/>
          <w:sz w:val="21"/>
          <w:szCs w:val="21"/>
        </w:rPr>
        <w:t>五、付款方式</w:t>
      </w:r>
    </w:p>
    <w:p>
      <w:pPr>
        <w:tabs>
          <w:tab w:val="left" w:pos="5940"/>
        </w:tabs>
        <w:spacing w:line="360" w:lineRule="auto"/>
        <w:ind w:firstLine="420" w:firstLineChars="200"/>
        <w:rPr>
          <w:rFonts w:hint="eastAsia" w:ascii="宋体" w:hAnsi="宋体"/>
          <w:sz w:val="21"/>
          <w:szCs w:val="21"/>
        </w:rPr>
      </w:pPr>
      <w:r>
        <w:rPr>
          <w:rFonts w:hint="eastAsia" w:ascii="宋体" w:hAnsi="宋体"/>
          <w:sz w:val="21"/>
          <w:szCs w:val="21"/>
        </w:rPr>
        <w:t>1、进度款：</w:t>
      </w:r>
    </w:p>
    <w:p>
      <w:pPr>
        <w:spacing w:line="360" w:lineRule="auto"/>
        <w:ind w:firstLine="420" w:firstLineChars="200"/>
        <w:rPr>
          <w:rFonts w:hint="eastAsia" w:ascii="宋体" w:hAnsi="宋体"/>
          <w:sz w:val="21"/>
          <w:szCs w:val="21"/>
        </w:rPr>
      </w:pPr>
      <w:r>
        <w:rPr>
          <w:rFonts w:hint="eastAsia" w:ascii="宋体" w:hAnsi="宋体"/>
          <w:sz w:val="21"/>
          <w:szCs w:val="21"/>
        </w:rPr>
        <w:t>在合同</w:t>
      </w:r>
      <w:r>
        <w:rPr>
          <w:rFonts w:hint="eastAsia" w:ascii="宋体" w:hAnsi="宋体"/>
          <w:sz w:val="21"/>
          <w:szCs w:val="21"/>
          <w:lang w:eastAsia="zh-CN"/>
        </w:rPr>
        <w:t>签订后</w:t>
      </w:r>
      <w:r>
        <w:rPr>
          <w:rFonts w:hint="eastAsia" w:ascii="宋体" w:hAnsi="宋体"/>
          <w:sz w:val="21"/>
          <w:szCs w:val="21"/>
        </w:rPr>
        <w:t>付合同价的10%预付款；全部到货且安装</w:t>
      </w:r>
      <w:r>
        <w:rPr>
          <w:rFonts w:hint="eastAsia" w:ascii="宋体" w:hAnsi="宋体"/>
          <w:sz w:val="21"/>
          <w:szCs w:val="21"/>
          <w:lang w:eastAsia="zh-CN"/>
        </w:rPr>
        <w:t>完成</w:t>
      </w:r>
      <w:r>
        <w:rPr>
          <w:rFonts w:hint="eastAsia" w:ascii="宋体" w:hAnsi="宋体"/>
          <w:sz w:val="21"/>
          <w:szCs w:val="21"/>
        </w:rPr>
        <w:t>后30天内买方支付合同总价70%的货款，</w:t>
      </w:r>
      <w:r>
        <w:rPr>
          <w:rFonts w:hint="eastAsia" w:ascii="宋体" w:hAnsi="宋体"/>
          <w:sz w:val="21"/>
          <w:szCs w:val="21"/>
          <w:lang w:eastAsia="zh-CN"/>
        </w:rPr>
        <w:t>经业主验收合格后支付合同价的</w:t>
      </w:r>
      <w:r>
        <w:rPr>
          <w:rFonts w:hint="eastAsia" w:ascii="宋体" w:hAnsi="宋体"/>
          <w:sz w:val="21"/>
          <w:szCs w:val="21"/>
          <w:lang w:val="en-US" w:eastAsia="zh-CN"/>
        </w:rPr>
        <w:t>20%</w:t>
      </w:r>
      <w:r>
        <w:rPr>
          <w:rFonts w:hint="eastAsia" w:ascii="宋体" w:hAnsi="宋体"/>
          <w:sz w:val="21"/>
          <w:szCs w:val="21"/>
        </w:rPr>
        <w:t>。</w:t>
      </w: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autoSpaceDE w:val="0"/>
        <w:autoSpaceDN w:val="0"/>
        <w:adjustRightInd w:val="0"/>
        <w:snapToGrid w:val="0"/>
        <w:spacing w:line="360" w:lineRule="auto"/>
        <w:rPr>
          <w:rFonts w:asciiTheme="minorEastAsia" w:hAnsiTheme="minorEastAsia" w:eastAsiaTheme="minorEastAsia"/>
          <w:kern w:val="0"/>
          <w:sz w:val="24"/>
        </w:rPr>
      </w:pPr>
    </w:p>
    <w:p>
      <w:pPr>
        <w:numPr>
          <w:ilvl w:val="0"/>
          <w:numId w:val="4"/>
        </w:numPr>
        <w:spacing w:line="360" w:lineRule="auto"/>
        <w:jc w:val="center"/>
        <w:rPr>
          <w:rFonts w:asciiTheme="minorEastAsia" w:hAnsiTheme="minorEastAsia" w:eastAsiaTheme="minorEastAsia"/>
          <w:b/>
          <w:color w:val="auto"/>
          <w:sz w:val="36"/>
          <w:szCs w:val="36"/>
        </w:rPr>
      </w:pPr>
      <w:r>
        <w:rPr>
          <w:rFonts w:hint="eastAsia" w:asciiTheme="minorEastAsia" w:hAnsiTheme="minorEastAsia" w:eastAsiaTheme="minorEastAsia"/>
          <w:b/>
          <w:color w:val="auto"/>
          <w:sz w:val="36"/>
          <w:szCs w:val="36"/>
        </w:rPr>
        <w:t>政府采购合同主要条款指引</w:t>
      </w:r>
    </w:p>
    <w:p>
      <w:pPr>
        <w:snapToGrid w:val="0"/>
        <w:spacing w:line="360" w:lineRule="auto"/>
        <w:jc w:val="center"/>
        <w:rPr>
          <w:rFonts w:ascii="宋体" w:hAnsi="宋体"/>
          <w:b/>
          <w:color w:val="auto"/>
          <w:sz w:val="30"/>
          <w:szCs w:val="32"/>
        </w:rPr>
      </w:pPr>
      <w:r>
        <w:rPr>
          <w:rFonts w:hint="eastAsia" w:ascii="宋体" w:hAnsi="宋体"/>
          <w:b/>
          <w:color w:val="auto"/>
          <w:sz w:val="30"/>
          <w:szCs w:val="32"/>
        </w:rPr>
        <w:t>三门县政府采购合同</w:t>
      </w:r>
    </w:p>
    <w:p>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项目名称：</w:t>
      </w:r>
    </w:p>
    <w:p>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项目编号：</w:t>
      </w:r>
    </w:p>
    <w:p>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甲方：（</w:t>
      </w:r>
      <w:r>
        <w:rPr>
          <w:rFonts w:hint="eastAsia" w:asciiTheme="minorEastAsia" w:hAnsiTheme="minorEastAsia" w:eastAsiaTheme="minorEastAsia"/>
          <w:sz w:val="24"/>
        </w:rPr>
        <w:t>采购单位</w:t>
      </w:r>
      <w:r>
        <w:rPr>
          <w:rFonts w:asciiTheme="minorEastAsia" w:hAnsiTheme="minorEastAsia" w:eastAsiaTheme="minorEastAsia"/>
          <w:sz w:val="24"/>
        </w:rPr>
        <w:t>）</w:t>
      </w:r>
    </w:p>
    <w:p>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乙方：（</w:t>
      </w:r>
      <w:r>
        <w:rPr>
          <w:rFonts w:hint="eastAsia" w:asciiTheme="minorEastAsia" w:hAnsiTheme="minorEastAsia" w:eastAsiaTheme="minorEastAsia"/>
          <w:sz w:val="24"/>
        </w:rPr>
        <w:t>成交供应商</w:t>
      </w:r>
      <w:r>
        <w:rPr>
          <w:rFonts w:asciiTheme="minorEastAsia" w:hAnsiTheme="minorEastAsia" w:eastAsiaTheme="minorEastAsia"/>
          <w:sz w:val="24"/>
        </w:rPr>
        <w:t>）</w:t>
      </w:r>
    </w:p>
    <w:p>
      <w:pPr>
        <w:spacing w:line="360" w:lineRule="auto"/>
        <w:ind w:firstLine="480" w:firstLineChars="200"/>
        <w:rPr>
          <w:rFonts w:asciiTheme="minorEastAsia" w:hAnsiTheme="minorEastAsia" w:eastAsiaTheme="minorEastAsia"/>
          <w:b/>
          <w:sz w:val="24"/>
        </w:rPr>
      </w:pPr>
      <w:r>
        <w:rPr>
          <w:rFonts w:asciiTheme="minorEastAsia" w:hAnsiTheme="minorEastAsia" w:eastAsiaTheme="minorEastAsia"/>
          <w:sz w:val="24"/>
        </w:rPr>
        <w:t>甲、乙双方根据甲中心关于</w:t>
      </w:r>
      <w:r>
        <w:rPr>
          <w:rFonts w:hint="eastAsia" w:asciiTheme="minorEastAsia" w:hAnsiTheme="minorEastAsia" w:eastAsiaTheme="minorEastAsia"/>
          <w:color w:val="000000"/>
          <w:kern w:val="0"/>
          <w:sz w:val="24"/>
          <w:u w:val="single"/>
          <w:lang w:val="en-US" w:eastAsia="zh-CN"/>
        </w:rPr>
        <w:t xml:space="preserve">    </w:t>
      </w:r>
      <w:r>
        <w:rPr>
          <w:rFonts w:asciiTheme="minorEastAsia" w:hAnsiTheme="minorEastAsia" w:eastAsiaTheme="minorEastAsia"/>
          <w:sz w:val="24"/>
        </w:rPr>
        <w:t>单位</w:t>
      </w:r>
      <w:r>
        <w:rPr>
          <w:rFonts w:hint="eastAsia" w:asciiTheme="minorEastAsia" w:hAnsiTheme="minorEastAsia" w:eastAsiaTheme="minorEastAsia"/>
          <w:kern w:val="0"/>
          <w:sz w:val="24"/>
          <w:u w:val="single"/>
          <w:lang w:val="en-US" w:eastAsia="zh-CN"/>
        </w:rPr>
        <w:t xml:space="preserve">    </w:t>
      </w:r>
      <w:r>
        <w:rPr>
          <w:rFonts w:asciiTheme="minorEastAsia" w:hAnsiTheme="minorEastAsia" w:eastAsiaTheme="minorEastAsia"/>
          <w:sz w:val="24"/>
        </w:rPr>
        <w:t>项目公开招标的结果，签署本合同。</w:t>
      </w:r>
    </w:p>
    <w:p>
      <w:pPr>
        <w:spacing w:line="360" w:lineRule="auto"/>
        <w:ind w:firstLine="482" w:firstLineChars="200"/>
        <w:rPr>
          <w:rFonts w:asciiTheme="minorEastAsia" w:hAnsiTheme="minorEastAsia" w:eastAsiaTheme="minorEastAsia"/>
          <w:b/>
          <w:sz w:val="24"/>
        </w:rPr>
      </w:pPr>
      <w:r>
        <w:rPr>
          <w:rFonts w:asciiTheme="minorEastAsia" w:hAnsiTheme="minorEastAsia" w:eastAsiaTheme="minorEastAsia"/>
          <w:b/>
          <w:sz w:val="24"/>
        </w:rPr>
        <w:t>一、货物内容</w:t>
      </w:r>
    </w:p>
    <w:p>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1. 货物名称：</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 型号规格：</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w:t>
      </w:r>
      <w:r>
        <w:rPr>
          <w:rFonts w:asciiTheme="minorEastAsia" w:hAnsiTheme="minorEastAsia" w:eastAsiaTheme="minorEastAsia"/>
          <w:sz w:val="24"/>
        </w:rPr>
        <w:t>. 技术参数：</w:t>
      </w:r>
    </w:p>
    <w:p>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4</w:t>
      </w:r>
      <w:r>
        <w:rPr>
          <w:rFonts w:hint="eastAsia" w:asciiTheme="minorEastAsia" w:hAnsiTheme="minorEastAsia" w:eastAsiaTheme="minorEastAsia"/>
          <w:sz w:val="24"/>
        </w:rPr>
        <w:t>.</w:t>
      </w:r>
      <w:r>
        <w:rPr>
          <w:rFonts w:asciiTheme="minorEastAsia" w:hAnsiTheme="minorEastAsia" w:eastAsiaTheme="minorEastAsia"/>
          <w:sz w:val="24"/>
        </w:rPr>
        <w:t xml:space="preserve"> 数量（单位）：</w:t>
      </w:r>
    </w:p>
    <w:p>
      <w:pPr>
        <w:spacing w:line="360" w:lineRule="auto"/>
        <w:ind w:firstLine="482" w:firstLineChars="200"/>
        <w:rPr>
          <w:rFonts w:asciiTheme="minorEastAsia" w:hAnsiTheme="minorEastAsia" w:eastAsiaTheme="minorEastAsia"/>
          <w:b/>
          <w:sz w:val="24"/>
        </w:rPr>
      </w:pPr>
      <w:r>
        <w:rPr>
          <w:rFonts w:asciiTheme="minorEastAsia" w:hAnsiTheme="minorEastAsia" w:eastAsiaTheme="minorEastAsia"/>
          <w:b/>
          <w:sz w:val="24"/>
        </w:rPr>
        <w:t>二、合同金额</w:t>
      </w:r>
    </w:p>
    <w:p>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 xml:space="preserve"> 本合同金额为（大写）：_______________________元（￥_______________元）人民币。</w:t>
      </w:r>
    </w:p>
    <w:p>
      <w:pPr>
        <w:spacing w:line="360" w:lineRule="auto"/>
        <w:ind w:firstLine="482" w:firstLineChars="200"/>
        <w:rPr>
          <w:rFonts w:hint="eastAsia" w:asciiTheme="minorEastAsia" w:hAnsiTheme="minorEastAsia" w:eastAsiaTheme="minorEastAsia"/>
          <w:b/>
          <w:sz w:val="24"/>
        </w:rPr>
      </w:pPr>
      <w:r>
        <w:rPr>
          <w:rFonts w:asciiTheme="minorEastAsia" w:hAnsiTheme="minorEastAsia" w:eastAsiaTheme="minorEastAsia"/>
          <w:b/>
          <w:sz w:val="24"/>
        </w:rPr>
        <w:t>三、</w:t>
      </w:r>
      <w:r>
        <w:rPr>
          <w:rFonts w:hint="eastAsia" w:asciiTheme="minorEastAsia" w:hAnsiTheme="minorEastAsia" w:eastAsiaTheme="minorEastAsia"/>
          <w:b/>
          <w:sz w:val="24"/>
        </w:rPr>
        <w:t>合同组成：</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项目的合同文件包括下列附件：采购文件（包括采购补充文件），投标文件（包括投标补充文件），答疑纪要，询标纪要，中标通知书，合同履行中双方就有关问题协商达成的纪要或补充协议，项目技术文件（包括安装图纸、会议纪要、变更联系单等其他技术资料）等。所有附件与合同正本具有同等法律效力。</w:t>
      </w:r>
    </w:p>
    <w:p>
      <w:pPr>
        <w:spacing w:line="360" w:lineRule="auto"/>
        <w:ind w:firstLine="482" w:firstLineChars="200"/>
        <w:rPr>
          <w:rFonts w:hint="eastAsia" w:asciiTheme="minorEastAsia" w:hAnsiTheme="minorEastAsia" w:eastAsiaTheme="minorEastAsia"/>
          <w:b/>
          <w:sz w:val="24"/>
          <w:lang w:eastAsia="zh-CN"/>
        </w:rPr>
      </w:pPr>
      <w:r>
        <w:rPr>
          <w:rFonts w:asciiTheme="minorEastAsia" w:hAnsiTheme="minorEastAsia" w:eastAsiaTheme="minorEastAsia"/>
          <w:b/>
          <w:sz w:val="24"/>
        </w:rPr>
        <w:t>四、</w:t>
      </w:r>
      <w:r>
        <w:rPr>
          <w:rFonts w:hint="eastAsia" w:asciiTheme="minorEastAsia" w:hAnsiTheme="minorEastAsia" w:eastAsiaTheme="minorEastAsia"/>
          <w:b/>
          <w:sz w:val="24"/>
          <w:lang w:val="en-US" w:eastAsia="zh-CN"/>
        </w:rPr>
        <w:t>专利权</w:t>
      </w:r>
    </w:p>
    <w:p>
      <w:pPr>
        <w:spacing w:line="360" w:lineRule="auto"/>
        <w:ind w:firstLine="480" w:firstLineChars="200"/>
        <w:rPr>
          <w:rFonts w:hint="eastAsia" w:asciiTheme="minorEastAsia" w:hAnsiTheme="minorEastAsia" w:eastAsiaTheme="minorEastAsia"/>
          <w:sz w:val="24"/>
        </w:rPr>
      </w:pPr>
      <w:r>
        <w:rPr>
          <w:rFonts w:hint="eastAsia" w:asciiTheme="minorEastAsia" w:hAnsiTheme="minorEastAsia" w:eastAsiaTheme="minorEastAsia"/>
          <w:sz w:val="24"/>
        </w:rPr>
        <w:t>供应商应承诺保护采购人在使用合同产品或其任何一部分时不受第三方提出侵犯专利权、商标权和工业设计权等的起诉。如果任何第三方提出侵权指控，由供应商负责与第三方交涉并承担可能发生的一切费用和相关法律责任，采购人不承担由此引起的一切经济和法律责任。</w:t>
      </w:r>
    </w:p>
    <w:p>
      <w:pPr>
        <w:spacing w:line="360" w:lineRule="auto"/>
        <w:ind w:firstLine="482" w:firstLineChars="200"/>
        <w:rPr>
          <w:rFonts w:asciiTheme="minorEastAsia" w:hAnsiTheme="minorEastAsia" w:eastAsiaTheme="minorEastAsia"/>
          <w:sz w:val="24"/>
          <w:u w:val="single"/>
        </w:rPr>
      </w:pPr>
      <w:r>
        <w:rPr>
          <w:rFonts w:asciiTheme="minorEastAsia" w:hAnsiTheme="minorEastAsia" w:eastAsiaTheme="minorEastAsia"/>
          <w:b/>
          <w:sz w:val="24"/>
        </w:rPr>
        <w:t>五、产权担保</w:t>
      </w:r>
    </w:p>
    <w:p>
      <w:pPr>
        <w:spacing w:line="360" w:lineRule="auto"/>
        <w:ind w:firstLine="480" w:firstLineChars="200"/>
        <w:rPr>
          <w:rFonts w:asciiTheme="minorEastAsia" w:hAnsiTheme="minorEastAsia" w:eastAsiaTheme="minorEastAsia"/>
          <w:sz w:val="24"/>
          <w:u w:val="single"/>
        </w:rPr>
      </w:pPr>
      <w:r>
        <w:rPr>
          <w:rFonts w:asciiTheme="minorEastAsia" w:hAnsiTheme="minorEastAsia" w:eastAsiaTheme="minorEastAsia"/>
          <w:sz w:val="24"/>
        </w:rPr>
        <w:t>乙方保证所交付的货物的所有权完全属于乙方且无任何抵押、查封等产权瑕疵。</w:t>
      </w:r>
    </w:p>
    <w:p>
      <w:pPr>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lang w:val="en-US" w:eastAsia="zh-CN"/>
        </w:rPr>
        <w:t>六</w:t>
      </w:r>
      <w:r>
        <w:rPr>
          <w:rFonts w:hint="eastAsia" w:asciiTheme="minorEastAsia" w:hAnsiTheme="minorEastAsia" w:eastAsiaTheme="minorEastAsia"/>
          <w:b/>
          <w:sz w:val="24"/>
        </w:rPr>
        <w:t>、转包或分包</w:t>
      </w:r>
    </w:p>
    <w:p>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.本合同范围的货物，应由</w:t>
      </w:r>
      <w:r>
        <w:rPr>
          <w:rFonts w:asciiTheme="minorEastAsia" w:hAnsiTheme="minorEastAsia" w:eastAsiaTheme="minorEastAsia"/>
          <w:sz w:val="24"/>
        </w:rPr>
        <w:t>乙</w:t>
      </w:r>
      <w:r>
        <w:rPr>
          <w:rFonts w:hint="eastAsia" w:asciiTheme="minorEastAsia" w:hAnsiTheme="minorEastAsia" w:eastAsiaTheme="minorEastAsia"/>
          <w:sz w:val="24"/>
        </w:rPr>
        <w:t>方直接供应，不得转让他人供应；</w:t>
      </w:r>
    </w:p>
    <w:p>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.除非得到</w:t>
      </w:r>
      <w:r>
        <w:rPr>
          <w:rFonts w:asciiTheme="minorEastAsia" w:hAnsiTheme="minorEastAsia" w:eastAsiaTheme="minorEastAsia"/>
          <w:sz w:val="24"/>
        </w:rPr>
        <w:t>甲</w:t>
      </w:r>
      <w:r>
        <w:rPr>
          <w:rFonts w:hint="eastAsia" w:asciiTheme="minorEastAsia" w:hAnsiTheme="minorEastAsia" w:eastAsiaTheme="minorEastAsia"/>
          <w:sz w:val="24"/>
        </w:rPr>
        <w:t>方的书面同意，</w:t>
      </w:r>
      <w:r>
        <w:rPr>
          <w:rFonts w:asciiTheme="minorEastAsia" w:hAnsiTheme="minorEastAsia" w:eastAsiaTheme="minorEastAsia"/>
          <w:sz w:val="24"/>
        </w:rPr>
        <w:t>乙</w:t>
      </w:r>
      <w:r>
        <w:rPr>
          <w:rFonts w:hint="eastAsia" w:asciiTheme="minorEastAsia" w:hAnsiTheme="minorEastAsia" w:eastAsiaTheme="minorEastAsia"/>
          <w:sz w:val="24"/>
        </w:rPr>
        <w:t>方不得将本合同范围的货物全部或部分分包给他人供应；</w:t>
      </w:r>
    </w:p>
    <w:p>
      <w:pPr>
        <w:spacing w:line="360" w:lineRule="auto"/>
        <w:ind w:firstLine="480" w:firstLineChars="200"/>
        <w:rPr>
          <w:rFonts w:hint="eastAsia" w:asciiTheme="minorEastAsia" w:hAnsiTheme="minorEastAsia" w:eastAsiaTheme="minorEastAsia"/>
          <w:sz w:val="24"/>
        </w:rPr>
      </w:pPr>
      <w:r>
        <w:rPr>
          <w:rFonts w:asciiTheme="minorEastAsia" w:hAnsiTheme="minorEastAsia" w:eastAsiaTheme="minorEastAsia"/>
          <w:sz w:val="24"/>
        </w:rPr>
        <w:t>3</w:t>
      </w:r>
      <w:r>
        <w:rPr>
          <w:rFonts w:hint="eastAsia" w:asciiTheme="minorEastAsia" w:hAnsiTheme="minorEastAsia" w:eastAsiaTheme="minorEastAsia"/>
          <w:sz w:val="24"/>
        </w:rPr>
        <w:t>.如有转让和未经</w:t>
      </w:r>
      <w:r>
        <w:rPr>
          <w:rFonts w:asciiTheme="minorEastAsia" w:hAnsiTheme="minorEastAsia" w:eastAsiaTheme="minorEastAsia"/>
          <w:sz w:val="24"/>
        </w:rPr>
        <w:t>甲</w:t>
      </w:r>
      <w:r>
        <w:rPr>
          <w:rFonts w:hint="eastAsia" w:asciiTheme="minorEastAsia" w:hAnsiTheme="minorEastAsia" w:eastAsiaTheme="minorEastAsia"/>
          <w:sz w:val="24"/>
        </w:rPr>
        <w:t>方同意的分包行为，</w:t>
      </w:r>
      <w:r>
        <w:rPr>
          <w:rFonts w:asciiTheme="minorEastAsia" w:hAnsiTheme="minorEastAsia" w:eastAsiaTheme="minorEastAsia"/>
          <w:sz w:val="24"/>
        </w:rPr>
        <w:t>甲</w:t>
      </w:r>
      <w:r>
        <w:rPr>
          <w:rFonts w:hint="eastAsia" w:asciiTheme="minorEastAsia" w:hAnsiTheme="minorEastAsia" w:eastAsiaTheme="minorEastAsia"/>
          <w:sz w:val="24"/>
        </w:rPr>
        <w:t>方有权解除合同，没收履约保证金并追究乙方的违约责任。</w:t>
      </w:r>
    </w:p>
    <w:p>
      <w:pPr>
        <w:spacing w:line="360" w:lineRule="auto"/>
        <w:ind w:firstLine="241" w:firstLineChars="100"/>
        <w:jc w:val="left"/>
        <w:rPr>
          <w:rFonts w:hint="eastAsia" w:asciiTheme="minorEastAsia" w:hAnsiTheme="minorEastAsia" w:eastAsiaTheme="minorEastAsia"/>
          <w:b/>
          <w:sz w:val="24"/>
          <w:lang w:val="en-US" w:eastAsia="zh-CN"/>
        </w:rPr>
      </w:pPr>
      <w:r>
        <w:rPr>
          <w:rFonts w:hint="eastAsia" w:asciiTheme="minorEastAsia" w:hAnsiTheme="minorEastAsia" w:eastAsiaTheme="minorEastAsia"/>
          <w:b/>
          <w:sz w:val="24"/>
          <w:lang w:val="en-US" w:eastAsia="zh-CN"/>
        </w:rPr>
        <w:t>七、验收</w:t>
      </w:r>
    </w:p>
    <w:p>
      <w:pPr>
        <w:spacing w:line="360" w:lineRule="auto"/>
        <w:ind w:firstLine="480" w:firstLineChars="200"/>
        <w:rPr>
          <w:rFonts w:hint="eastAsia" w:asciiTheme="minorEastAsia" w:hAnsiTheme="minorEastAsia" w:eastAsiaTheme="minorEastAsia"/>
          <w:sz w:val="24"/>
        </w:rPr>
      </w:pPr>
      <w:r>
        <w:rPr>
          <w:rFonts w:hint="eastAsia" w:asciiTheme="minorEastAsia" w:hAnsiTheme="minorEastAsia" w:eastAsiaTheme="minorEastAsia"/>
          <w:sz w:val="24"/>
          <w:lang w:val="en-US" w:eastAsia="zh-CN"/>
        </w:rPr>
        <w:t>1、</w:t>
      </w:r>
      <w:r>
        <w:rPr>
          <w:rFonts w:hint="eastAsia" w:asciiTheme="minorEastAsia" w:hAnsiTheme="minorEastAsia" w:eastAsiaTheme="minorEastAsia"/>
          <w:sz w:val="24"/>
        </w:rPr>
        <w:t>验收以采购文件和技术文件、投标文件、合同及安装技术要求为依据。</w:t>
      </w:r>
    </w:p>
    <w:p>
      <w:pPr>
        <w:spacing w:line="360" w:lineRule="auto"/>
        <w:ind w:firstLine="480" w:firstLineChars="200"/>
        <w:rPr>
          <w:rFonts w:hint="eastAsia" w:asciiTheme="minorEastAsia" w:hAnsiTheme="minorEastAsia" w:eastAsiaTheme="minorEastAsia"/>
          <w:sz w:val="24"/>
        </w:rPr>
      </w:pPr>
      <w:r>
        <w:rPr>
          <w:rFonts w:hint="eastAsia" w:asciiTheme="minorEastAsia" w:hAnsiTheme="minorEastAsia" w:eastAsiaTheme="minorEastAsia"/>
          <w:sz w:val="24"/>
          <w:lang w:val="en-US" w:eastAsia="zh-CN"/>
        </w:rPr>
        <w:t>2、</w:t>
      </w:r>
      <w:r>
        <w:rPr>
          <w:rFonts w:hint="eastAsia" w:asciiTheme="minorEastAsia" w:hAnsiTheme="minorEastAsia" w:eastAsiaTheme="minorEastAsia"/>
          <w:sz w:val="24"/>
        </w:rPr>
        <w:t>供货安装完成后，中标供应商应该向采购人提交申请验收报告，并且提供主要货物的出厂合格证书（或报告）、检测报告等完整的技术档案资料，若中标供应商未能按照上述要求履行的，导致无法及时验收的，则须由中标供应商承担一切责任。</w:t>
      </w:r>
    </w:p>
    <w:p>
      <w:pPr>
        <w:spacing w:line="360" w:lineRule="auto"/>
        <w:ind w:firstLine="480" w:firstLineChars="200"/>
        <w:rPr>
          <w:rFonts w:hint="eastAsia" w:asciiTheme="minorEastAsia" w:hAnsiTheme="minorEastAsia" w:eastAsiaTheme="minorEastAsia"/>
          <w:sz w:val="24"/>
        </w:rPr>
      </w:pPr>
      <w:r>
        <w:rPr>
          <w:rFonts w:hint="eastAsia" w:asciiTheme="minorEastAsia" w:hAnsiTheme="minorEastAsia" w:eastAsiaTheme="minorEastAsia"/>
          <w:sz w:val="24"/>
          <w:lang w:val="en-US" w:eastAsia="zh-CN"/>
        </w:rPr>
        <w:t>3、</w:t>
      </w:r>
      <w:r>
        <w:rPr>
          <w:rFonts w:hint="eastAsia" w:asciiTheme="minorEastAsia" w:hAnsiTheme="minorEastAsia" w:eastAsiaTheme="minorEastAsia"/>
          <w:sz w:val="24"/>
        </w:rPr>
        <w:t>验收必须符合国家、地方有关规范、标准及设计要求。</w:t>
      </w:r>
    </w:p>
    <w:p>
      <w:pPr>
        <w:spacing w:line="360" w:lineRule="auto"/>
        <w:ind w:firstLine="480" w:firstLineChars="200"/>
        <w:rPr>
          <w:rFonts w:hint="eastAsia" w:asciiTheme="minorEastAsia" w:hAnsiTheme="minorEastAsia" w:eastAsiaTheme="minorEastAsia"/>
          <w:sz w:val="24"/>
        </w:rPr>
      </w:pPr>
      <w:r>
        <w:rPr>
          <w:rFonts w:hint="eastAsia" w:asciiTheme="minorEastAsia" w:hAnsiTheme="minorEastAsia" w:eastAsiaTheme="minorEastAsia"/>
          <w:sz w:val="24"/>
          <w:lang w:val="en-US" w:eastAsia="zh-CN"/>
        </w:rPr>
        <w:t>4、</w:t>
      </w:r>
      <w:r>
        <w:rPr>
          <w:rFonts w:hint="eastAsia" w:asciiTheme="minorEastAsia" w:hAnsiTheme="minorEastAsia" w:eastAsiaTheme="minorEastAsia"/>
          <w:sz w:val="24"/>
        </w:rPr>
        <w:t>符合验收条件的，由采购人组织有关部门按照国家、地方有关规范、标准及设计要求进行验收。验收后中标供应商应按照验收中提出的意见整改。</w:t>
      </w:r>
    </w:p>
    <w:p>
      <w:pPr>
        <w:spacing w:line="360" w:lineRule="auto"/>
        <w:ind w:firstLine="480" w:firstLineChars="200"/>
        <w:rPr>
          <w:rFonts w:hint="eastAsia" w:asciiTheme="minorEastAsia" w:hAnsiTheme="minorEastAsia" w:eastAsiaTheme="minorEastAsia"/>
          <w:sz w:val="24"/>
        </w:rPr>
      </w:pPr>
      <w:r>
        <w:rPr>
          <w:rFonts w:hint="eastAsia" w:asciiTheme="minorEastAsia" w:hAnsiTheme="minorEastAsia" w:eastAsiaTheme="minorEastAsia"/>
          <w:sz w:val="24"/>
          <w:lang w:val="en-US" w:eastAsia="zh-CN"/>
        </w:rPr>
        <w:t>5、</w:t>
      </w:r>
      <w:r>
        <w:rPr>
          <w:rFonts w:hint="eastAsia" w:asciiTheme="minorEastAsia" w:hAnsiTheme="minorEastAsia" w:eastAsiaTheme="minorEastAsia"/>
          <w:sz w:val="24"/>
        </w:rPr>
        <w:t>整改完毕且复验合格后将本项目货物交给采购人使用，完成日期以通过复验日期为准。</w:t>
      </w:r>
    </w:p>
    <w:p>
      <w:pPr>
        <w:spacing w:line="360" w:lineRule="auto"/>
        <w:ind w:firstLine="480" w:firstLineChars="200"/>
        <w:rPr>
          <w:rFonts w:hint="eastAsia" w:asciiTheme="minorEastAsia" w:hAnsiTheme="minorEastAsia" w:eastAsiaTheme="minorEastAsia"/>
          <w:sz w:val="24"/>
        </w:rPr>
      </w:pPr>
      <w:r>
        <w:rPr>
          <w:rFonts w:hint="eastAsia" w:asciiTheme="minorEastAsia" w:hAnsiTheme="minorEastAsia" w:eastAsiaTheme="minorEastAsia"/>
          <w:sz w:val="24"/>
          <w:lang w:val="en-US" w:eastAsia="zh-CN"/>
        </w:rPr>
        <w:t>6、</w:t>
      </w:r>
      <w:r>
        <w:rPr>
          <w:rFonts w:hint="eastAsia" w:asciiTheme="minorEastAsia" w:hAnsiTheme="minorEastAsia" w:eastAsiaTheme="minorEastAsia"/>
          <w:sz w:val="24"/>
        </w:rPr>
        <w:t>采购人在中标供应商送货、安装、调试后对货物服务进行检查验收，如果发现数量不足或有质量、技术等问题，中标供应商应负责根据合同及采购人的要求采取补足或更换等处理措施，并承担由此发生的一切损失和费用。验收合格后，采购人在验收单上签字并加盖单位公章。</w:t>
      </w:r>
    </w:p>
    <w:p>
      <w:pPr>
        <w:spacing w:line="360" w:lineRule="auto"/>
        <w:ind w:firstLine="482" w:firstLineChars="200"/>
        <w:rPr>
          <w:rFonts w:asciiTheme="minorEastAsia" w:hAnsiTheme="minorEastAsia" w:eastAsiaTheme="minorEastAsia"/>
          <w:sz w:val="24"/>
        </w:rPr>
      </w:pPr>
      <w:r>
        <w:rPr>
          <w:rFonts w:asciiTheme="minorEastAsia" w:hAnsiTheme="minorEastAsia" w:eastAsiaTheme="minorEastAsia"/>
          <w:b/>
          <w:sz w:val="24"/>
        </w:rPr>
        <w:t>八、质保期</w:t>
      </w:r>
    </w:p>
    <w:p>
      <w:pPr>
        <w:spacing w:line="360" w:lineRule="auto"/>
        <w:ind w:firstLine="480" w:firstLineChars="200"/>
        <w:rPr>
          <w:rFonts w:hint="eastAsia" w:asciiTheme="minorEastAsia" w:hAnsiTheme="minorEastAsia" w:eastAsiaTheme="minorEastAsia"/>
          <w:sz w:val="24"/>
        </w:rPr>
      </w:pPr>
      <w:r>
        <w:rPr>
          <w:rFonts w:hint="eastAsia" w:asciiTheme="minorEastAsia" w:hAnsiTheme="minorEastAsia" w:eastAsiaTheme="minorEastAsia"/>
          <w:sz w:val="24"/>
        </w:rPr>
        <w:t>产品保质一年（产品在正常使用范围内，非外力破坏、不正确使用、人为损坏），保质期外产品出现问题以维修、更换部件为主，所发生的相关费用由乙方承担。</w:t>
      </w:r>
    </w:p>
    <w:p>
      <w:pPr>
        <w:spacing w:line="360" w:lineRule="auto"/>
        <w:ind w:firstLine="482" w:firstLineChars="200"/>
        <w:rPr>
          <w:rFonts w:asciiTheme="minorEastAsia" w:hAnsiTheme="minorEastAsia" w:eastAsiaTheme="minorEastAsia"/>
          <w:b/>
          <w:sz w:val="24"/>
        </w:rPr>
      </w:pPr>
      <w:r>
        <w:rPr>
          <w:rFonts w:asciiTheme="minorEastAsia" w:hAnsiTheme="minorEastAsia" w:eastAsiaTheme="minorEastAsia"/>
          <w:b/>
          <w:sz w:val="24"/>
        </w:rPr>
        <w:t>九、</w:t>
      </w:r>
      <w:r>
        <w:rPr>
          <w:rFonts w:hint="eastAsia" w:asciiTheme="minorEastAsia" w:hAnsiTheme="minorEastAsia" w:eastAsiaTheme="minorEastAsia"/>
          <w:b/>
          <w:sz w:val="24"/>
          <w:lang w:val="en-US" w:eastAsia="zh-CN"/>
        </w:rPr>
        <w:t>供货</w:t>
      </w:r>
      <w:r>
        <w:rPr>
          <w:rFonts w:hint="eastAsia" w:asciiTheme="minorEastAsia" w:hAnsiTheme="minorEastAsia" w:eastAsiaTheme="minorEastAsia"/>
          <w:b/>
          <w:color w:val="auto"/>
          <w:sz w:val="24"/>
          <w:lang w:val="en-US" w:eastAsia="zh-CN"/>
        </w:rPr>
        <w:t>期</w:t>
      </w:r>
      <w:r>
        <w:rPr>
          <w:rFonts w:hint="eastAsia" w:asciiTheme="minorEastAsia" w:hAnsiTheme="minorEastAsia" w:eastAsiaTheme="minorEastAsia"/>
          <w:b/>
          <w:color w:val="auto"/>
          <w:sz w:val="24"/>
        </w:rPr>
        <w:t>：</w:t>
      </w:r>
      <w:r>
        <w:rPr>
          <w:rFonts w:hint="eastAsia" w:asciiTheme="majorEastAsia" w:hAnsiTheme="majorEastAsia" w:eastAsiaTheme="majorEastAsia" w:cstheme="majorEastAsia"/>
          <w:color w:val="auto"/>
          <w:sz w:val="24"/>
        </w:rPr>
        <w:t>在</w:t>
      </w:r>
      <w:r>
        <w:rPr>
          <w:rFonts w:hint="eastAsia" w:asciiTheme="majorEastAsia" w:hAnsiTheme="majorEastAsia" w:eastAsiaTheme="majorEastAsia" w:cstheme="majorEastAsia"/>
          <w:color w:val="auto"/>
          <w:sz w:val="24"/>
          <w:lang w:val="en-US" w:eastAsia="zh-CN"/>
        </w:rPr>
        <w:t>2019年09月10日</w:t>
      </w:r>
      <w:r>
        <w:rPr>
          <w:rFonts w:hint="eastAsia" w:asciiTheme="majorEastAsia" w:hAnsiTheme="majorEastAsia" w:eastAsiaTheme="majorEastAsia" w:cstheme="majorEastAsia"/>
          <w:sz w:val="24"/>
          <w:lang w:val="en-US" w:eastAsia="zh-CN"/>
        </w:rPr>
        <w:t>前</w:t>
      </w:r>
      <w:r>
        <w:rPr>
          <w:rFonts w:hint="eastAsia" w:asciiTheme="majorEastAsia" w:hAnsiTheme="majorEastAsia" w:eastAsiaTheme="majorEastAsia" w:cstheme="majorEastAsia"/>
          <w:sz w:val="24"/>
        </w:rPr>
        <w:t>完成产品的供货、安装、调试</w:t>
      </w:r>
      <w:r>
        <w:rPr>
          <w:rFonts w:hint="eastAsia" w:asciiTheme="majorEastAsia" w:hAnsiTheme="majorEastAsia" w:eastAsiaTheme="majorEastAsia" w:cstheme="majorEastAsia"/>
          <w:sz w:val="24"/>
          <w:lang w:eastAsia="zh-CN"/>
        </w:rPr>
        <w:t>等</w:t>
      </w:r>
      <w:r>
        <w:rPr>
          <w:rFonts w:hint="eastAsia" w:asciiTheme="minorEastAsia" w:hAnsiTheme="minorEastAsia" w:eastAsiaTheme="minorEastAsia"/>
          <w:color w:val="000000"/>
          <w:kern w:val="0"/>
          <w:sz w:val="24"/>
        </w:rPr>
        <w:t>。</w:t>
      </w:r>
    </w:p>
    <w:p>
      <w:pPr>
        <w:spacing w:line="360" w:lineRule="auto"/>
        <w:ind w:firstLine="482"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十、货款支付</w:t>
      </w:r>
      <w:r>
        <w:rPr>
          <w:rFonts w:hint="eastAsia" w:asciiTheme="minorEastAsia" w:hAnsiTheme="minorEastAsia" w:eastAsiaTheme="minorEastAsia"/>
          <w:b/>
          <w:color w:val="000000"/>
          <w:sz w:val="24"/>
        </w:rPr>
        <w:t>：</w:t>
      </w:r>
    </w:p>
    <w:p>
      <w:pPr>
        <w:spacing w:line="360" w:lineRule="auto"/>
        <w:ind w:firstLine="480" w:firstLineChars="200"/>
        <w:rPr>
          <w:rFonts w:hint="eastAsia"/>
        </w:rPr>
      </w:pPr>
      <w:r>
        <w:rPr>
          <w:rFonts w:hint="eastAsia" w:asciiTheme="minorEastAsia" w:hAnsiTheme="minorEastAsia" w:eastAsiaTheme="minorEastAsia"/>
          <w:sz w:val="24"/>
        </w:rPr>
        <w:t>在合同</w:t>
      </w:r>
      <w:r>
        <w:rPr>
          <w:rFonts w:hint="eastAsia" w:asciiTheme="minorEastAsia" w:hAnsiTheme="minorEastAsia" w:eastAsiaTheme="minorEastAsia"/>
          <w:sz w:val="24"/>
          <w:lang w:eastAsia="zh-CN"/>
        </w:rPr>
        <w:t>签订后</w:t>
      </w:r>
      <w:r>
        <w:rPr>
          <w:rFonts w:hint="eastAsia" w:asciiTheme="minorEastAsia" w:hAnsiTheme="minorEastAsia" w:eastAsiaTheme="minorEastAsia"/>
          <w:sz w:val="24"/>
        </w:rPr>
        <w:t>付合同价的10%预付款；全部到货且安装</w:t>
      </w:r>
      <w:r>
        <w:rPr>
          <w:rFonts w:hint="eastAsia" w:asciiTheme="minorEastAsia" w:hAnsiTheme="minorEastAsia" w:eastAsiaTheme="minorEastAsia"/>
          <w:sz w:val="24"/>
          <w:lang w:eastAsia="zh-CN"/>
        </w:rPr>
        <w:t>完成</w:t>
      </w:r>
      <w:r>
        <w:rPr>
          <w:rFonts w:hint="eastAsia" w:asciiTheme="minorEastAsia" w:hAnsiTheme="minorEastAsia" w:eastAsiaTheme="minorEastAsia"/>
          <w:sz w:val="24"/>
        </w:rPr>
        <w:t>后30天内买方支付合同总价70%的货款，</w:t>
      </w:r>
      <w:r>
        <w:rPr>
          <w:rFonts w:hint="eastAsia" w:asciiTheme="minorEastAsia" w:hAnsiTheme="minorEastAsia" w:eastAsiaTheme="minorEastAsia"/>
          <w:sz w:val="24"/>
          <w:lang w:eastAsia="zh-CN"/>
        </w:rPr>
        <w:t>经业主验收合格后支付合同价的</w:t>
      </w:r>
      <w:r>
        <w:rPr>
          <w:rFonts w:hint="eastAsia" w:asciiTheme="minorEastAsia" w:hAnsiTheme="minorEastAsia" w:eastAsiaTheme="minorEastAsia"/>
          <w:sz w:val="24"/>
          <w:lang w:val="en-US" w:eastAsia="zh-CN"/>
        </w:rPr>
        <w:t>20%</w:t>
      </w:r>
      <w:r>
        <w:rPr>
          <w:rFonts w:hint="eastAsia" w:asciiTheme="minorEastAsia" w:hAnsiTheme="minorEastAsia" w:eastAsiaTheme="minorEastAsia"/>
          <w:sz w:val="24"/>
        </w:rPr>
        <w:t>。</w:t>
      </w:r>
    </w:p>
    <w:p>
      <w:pPr>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十一、税费</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本合同执行中相关的一切税费均由</w:t>
      </w:r>
      <w:r>
        <w:rPr>
          <w:rFonts w:asciiTheme="minorEastAsia" w:hAnsiTheme="minorEastAsia" w:eastAsiaTheme="minorEastAsia"/>
          <w:sz w:val="24"/>
        </w:rPr>
        <w:t>乙</w:t>
      </w:r>
      <w:r>
        <w:rPr>
          <w:rFonts w:hint="eastAsia" w:asciiTheme="minorEastAsia" w:hAnsiTheme="minorEastAsia" w:eastAsiaTheme="minorEastAsia"/>
          <w:sz w:val="24"/>
        </w:rPr>
        <w:t>方负担。</w:t>
      </w:r>
    </w:p>
    <w:p>
      <w:pPr>
        <w:spacing w:line="360" w:lineRule="auto"/>
        <w:ind w:firstLine="482" w:firstLineChars="200"/>
        <w:rPr>
          <w:rFonts w:asciiTheme="minorEastAsia" w:hAnsiTheme="minorEastAsia" w:eastAsiaTheme="minorEastAsia"/>
          <w:sz w:val="24"/>
        </w:rPr>
      </w:pPr>
      <w:r>
        <w:rPr>
          <w:rFonts w:asciiTheme="minorEastAsia" w:hAnsiTheme="minorEastAsia" w:eastAsiaTheme="minorEastAsia"/>
          <w:b/>
          <w:sz w:val="24"/>
        </w:rPr>
        <w:t>十二、售后服务</w:t>
      </w:r>
    </w:p>
    <w:p>
      <w:pPr>
        <w:spacing w:line="360" w:lineRule="auto"/>
        <w:ind w:firstLine="480" w:firstLineChars="200"/>
        <w:rPr>
          <w:rFonts w:hint="eastAsia" w:asciiTheme="minorEastAsia" w:hAnsiTheme="minorEastAsia" w:eastAsiaTheme="minorEastAsia"/>
          <w:sz w:val="24"/>
        </w:rPr>
      </w:pPr>
      <w:r>
        <w:rPr>
          <w:rFonts w:hint="eastAsia" w:asciiTheme="minorEastAsia" w:hAnsiTheme="minorEastAsia" w:eastAsiaTheme="minorEastAsia"/>
          <w:sz w:val="24"/>
          <w:lang w:val="en-US" w:eastAsia="zh-CN"/>
        </w:rPr>
        <w:t>1、</w:t>
      </w:r>
      <w:r>
        <w:rPr>
          <w:rFonts w:hint="eastAsia" w:asciiTheme="minorEastAsia" w:hAnsiTheme="minorEastAsia" w:eastAsiaTheme="minorEastAsia"/>
          <w:sz w:val="24"/>
        </w:rPr>
        <w:t>中标供应商须提供从验收合格之日起，1年的免费质保期和1年的免费维修保养服务。供应商承诺超过本要求的，以优惠者为准。无论在质保期内还是质保期满后，中标供应商负责对其实施的项目提供现场服务。要求中标供应商在接到采购人的电话后2小时内响应，4小时内到达现场，并最迟在第2个工作日内排除故障，48小时内无法修复的，必须采取临时调换等措施，以保证采购人的正常使用。临时调换的设备要求不低于原有的设备要求。</w:t>
      </w:r>
    </w:p>
    <w:p>
      <w:pPr>
        <w:spacing w:line="360" w:lineRule="auto"/>
        <w:ind w:firstLine="480" w:firstLineChars="200"/>
        <w:rPr>
          <w:rFonts w:hint="eastAsia" w:asciiTheme="minorEastAsia" w:hAnsiTheme="minorEastAsia" w:eastAsiaTheme="minorEastAsia"/>
          <w:sz w:val="24"/>
        </w:rPr>
      </w:pPr>
      <w:r>
        <w:rPr>
          <w:rFonts w:hint="eastAsia" w:asciiTheme="minorEastAsia" w:hAnsiTheme="minorEastAsia" w:eastAsiaTheme="minorEastAsia"/>
          <w:sz w:val="24"/>
          <w:lang w:val="en-US" w:eastAsia="zh-CN"/>
        </w:rPr>
        <w:t>2、</w:t>
      </w:r>
      <w:r>
        <w:rPr>
          <w:rFonts w:hint="eastAsia" w:asciiTheme="minorEastAsia" w:hAnsiTheme="minorEastAsia" w:eastAsiaTheme="minorEastAsia"/>
          <w:sz w:val="24"/>
        </w:rPr>
        <w:t>供应商若有其他服务承诺，也将一并执行。</w:t>
      </w:r>
    </w:p>
    <w:p>
      <w:pPr>
        <w:spacing w:line="360" w:lineRule="auto"/>
        <w:ind w:firstLine="480" w:firstLineChars="200"/>
        <w:rPr>
          <w:rFonts w:hint="eastAsia" w:asciiTheme="minorEastAsia" w:hAnsiTheme="minorEastAsia" w:eastAsiaTheme="minorEastAsia"/>
          <w:sz w:val="24"/>
        </w:rPr>
      </w:pPr>
      <w:r>
        <w:rPr>
          <w:rFonts w:hint="eastAsia" w:asciiTheme="minorEastAsia" w:hAnsiTheme="minorEastAsia" w:eastAsiaTheme="minorEastAsia"/>
          <w:sz w:val="24"/>
          <w:lang w:val="en-US" w:eastAsia="zh-CN"/>
        </w:rPr>
        <w:t>3、</w:t>
      </w:r>
      <w:r>
        <w:rPr>
          <w:rFonts w:hint="eastAsia" w:asciiTheme="minorEastAsia" w:hAnsiTheme="minorEastAsia" w:eastAsiaTheme="minorEastAsia"/>
          <w:sz w:val="24"/>
        </w:rPr>
        <w:t>中标供应商必须将公司的服务热线明确告知采购人。</w:t>
      </w:r>
    </w:p>
    <w:p>
      <w:pPr>
        <w:spacing w:line="360" w:lineRule="auto"/>
        <w:ind w:firstLine="482" w:firstLineChars="200"/>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lang w:val="en-US" w:eastAsia="zh-CN"/>
        </w:rPr>
        <w:t>三</w:t>
      </w:r>
      <w:r>
        <w:rPr>
          <w:rFonts w:asciiTheme="minorEastAsia" w:hAnsiTheme="minorEastAsia" w:eastAsiaTheme="minorEastAsia"/>
          <w:b/>
          <w:sz w:val="24"/>
        </w:rPr>
        <w:t>、货物包装、发运及运输</w:t>
      </w:r>
    </w:p>
    <w:p>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w:t>
      </w:r>
      <w:r>
        <w:rPr>
          <w:rFonts w:asciiTheme="minorEastAsia" w:hAnsiTheme="minorEastAsia" w:eastAsiaTheme="minorEastAsia"/>
          <w:sz w:val="24"/>
        </w:rPr>
        <w:t xml:space="preserve"> 乙方应在货物发运前对其进行满足运输距离、防潮、防震、防锈和防破损装卸等要求包装，以保证货物安全运达甲方指定地点。</w:t>
      </w:r>
    </w:p>
    <w:p>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w:t>
      </w:r>
      <w:r>
        <w:rPr>
          <w:rFonts w:asciiTheme="minorEastAsia" w:hAnsiTheme="minorEastAsia" w:eastAsiaTheme="minorEastAsia"/>
          <w:sz w:val="24"/>
        </w:rPr>
        <w:t xml:space="preserve"> 使用说明书、质量检验证明书、随配附件和工具以及清单一并附于货物内。</w:t>
      </w:r>
    </w:p>
    <w:p>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3</w:t>
      </w:r>
      <w:r>
        <w:rPr>
          <w:rFonts w:hint="eastAsia" w:asciiTheme="minorEastAsia" w:hAnsiTheme="minorEastAsia" w:eastAsiaTheme="minorEastAsia"/>
          <w:sz w:val="24"/>
        </w:rPr>
        <w:t>.</w:t>
      </w:r>
      <w:r>
        <w:rPr>
          <w:rFonts w:asciiTheme="minorEastAsia" w:hAnsiTheme="minorEastAsia" w:eastAsiaTheme="minorEastAsia"/>
          <w:sz w:val="24"/>
        </w:rPr>
        <w:t xml:space="preserve"> 乙方在货物发运手续办理完毕后24小时内或货到甲方48小时前通知甲方，以准备接货。</w:t>
      </w:r>
    </w:p>
    <w:p>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4</w:t>
      </w:r>
      <w:r>
        <w:rPr>
          <w:rFonts w:hint="eastAsia" w:asciiTheme="minorEastAsia" w:hAnsiTheme="minorEastAsia" w:eastAsiaTheme="minorEastAsia"/>
          <w:sz w:val="24"/>
        </w:rPr>
        <w:t>.</w:t>
      </w:r>
      <w:r>
        <w:rPr>
          <w:rFonts w:asciiTheme="minorEastAsia" w:hAnsiTheme="minorEastAsia" w:eastAsiaTheme="minorEastAsia"/>
          <w:sz w:val="24"/>
        </w:rPr>
        <w:t xml:space="preserve"> 货物在交付甲方前发生的风险均由乙方负责。</w:t>
      </w:r>
    </w:p>
    <w:p>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5</w:t>
      </w:r>
      <w:r>
        <w:rPr>
          <w:rFonts w:hint="eastAsia" w:asciiTheme="minorEastAsia" w:hAnsiTheme="minorEastAsia" w:eastAsiaTheme="minorEastAsia"/>
          <w:sz w:val="24"/>
        </w:rPr>
        <w:t>.</w:t>
      </w:r>
      <w:r>
        <w:rPr>
          <w:rFonts w:asciiTheme="minorEastAsia" w:hAnsiTheme="minorEastAsia" w:eastAsiaTheme="minorEastAsia"/>
          <w:sz w:val="24"/>
        </w:rPr>
        <w:t xml:space="preserve"> 货物在规定的交付期限内由乙方送达甲方指定的地点视为交付，乙方同时需</w:t>
      </w:r>
    </w:p>
    <w:p>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通知甲方货物已送达。</w:t>
      </w:r>
    </w:p>
    <w:p>
      <w:pPr>
        <w:spacing w:line="360" w:lineRule="auto"/>
        <w:ind w:firstLine="482" w:firstLineChars="200"/>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lang w:val="en-US" w:eastAsia="zh-CN"/>
        </w:rPr>
        <w:t>四</w:t>
      </w:r>
      <w:r>
        <w:rPr>
          <w:rFonts w:asciiTheme="minorEastAsia" w:hAnsiTheme="minorEastAsia" w:eastAsiaTheme="minorEastAsia"/>
          <w:b/>
          <w:sz w:val="24"/>
        </w:rPr>
        <w:t>、违约责任</w:t>
      </w:r>
    </w:p>
    <w:p>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w:t>
      </w:r>
      <w:r>
        <w:rPr>
          <w:rFonts w:asciiTheme="minorEastAsia" w:hAnsiTheme="minorEastAsia" w:eastAsiaTheme="minorEastAsia"/>
          <w:sz w:val="24"/>
        </w:rPr>
        <w:t xml:space="preserve"> 甲方无正当理由拒收货物的，甲方向乙方偿付拒收货款总值的百分之五违约金。</w:t>
      </w:r>
    </w:p>
    <w:p>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w:t>
      </w:r>
      <w:r>
        <w:rPr>
          <w:rFonts w:asciiTheme="minorEastAsia" w:hAnsiTheme="minorEastAsia" w:eastAsiaTheme="minorEastAsia"/>
          <w:sz w:val="24"/>
        </w:rPr>
        <w:t xml:space="preserve"> 甲方无故逾期验收和办理货款支付手续的,甲方应按逾期付款总额每日万分之五向乙方支付违约金。</w:t>
      </w:r>
    </w:p>
    <w:p>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3</w:t>
      </w:r>
      <w:r>
        <w:rPr>
          <w:rFonts w:hint="eastAsia" w:asciiTheme="minorEastAsia" w:hAnsiTheme="minorEastAsia" w:eastAsiaTheme="minorEastAsia"/>
          <w:sz w:val="24"/>
        </w:rPr>
        <w:t>.</w:t>
      </w:r>
      <w:r>
        <w:rPr>
          <w:rFonts w:asciiTheme="minorEastAsia" w:hAnsiTheme="minorEastAsia" w:eastAsiaTheme="minorEastAsia"/>
          <w:sz w:val="24"/>
        </w:rPr>
        <w:t xml:space="preserve"> 乙方逾期交付货物的，乙方应按逾期交货总额每日千分之六向甲方支付违约金，由甲方从待付货款中扣除。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 </w:t>
      </w:r>
    </w:p>
    <w:p>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4</w:t>
      </w:r>
      <w:r>
        <w:rPr>
          <w:rFonts w:hint="eastAsia" w:asciiTheme="minorEastAsia" w:hAnsiTheme="minorEastAsia" w:eastAsiaTheme="minorEastAsia"/>
          <w:sz w:val="24"/>
        </w:rPr>
        <w:t>.</w:t>
      </w:r>
      <w:r>
        <w:rPr>
          <w:rFonts w:asciiTheme="minorEastAsia" w:hAnsiTheme="minorEastAsia" w:eastAsiaTheme="minorEastAsia"/>
          <w:sz w:val="24"/>
        </w:rPr>
        <w:t xml:space="preserve"> 乙方所交的货物品种、型号、规格、技术参数、质量不符合合同规定及招标文件规定标准的，甲方有权拒收该货物，乙方愿意更换货物但逾期交货的，按乙方逾期交货处理。乙方拒绝更换货物的，甲方可单方面解除合同。</w:t>
      </w:r>
    </w:p>
    <w:p>
      <w:pPr>
        <w:spacing w:line="360" w:lineRule="auto"/>
        <w:ind w:firstLine="482" w:firstLineChars="200"/>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lang w:val="en-US" w:eastAsia="zh-CN"/>
        </w:rPr>
        <w:t>五</w:t>
      </w:r>
      <w:r>
        <w:rPr>
          <w:rFonts w:asciiTheme="minorEastAsia" w:hAnsiTheme="minorEastAsia" w:eastAsiaTheme="minorEastAsia"/>
          <w:b/>
          <w:sz w:val="24"/>
        </w:rPr>
        <w:t>、不可抗力事件处理</w:t>
      </w:r>
    </w:p>
    <w:p>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w:t>
      </w:r>
      <w:r>
        <w:rPr>
          <w:rFonts w:asciiTheme="minorEastAsia" w:hAnsiTheme="minorEastAsia" w:eastAsiaTheme="minorEastAsia"/>
          <w:sz w:val="24"/>
        </w:rPr>
        <w:t xml:space="preserve"> 在合同有效期内，任何一方因不可抗力事件导致不能履行合同，则合同履行期可延长，其延长期与不可抗力影响期相同。</w:t>
      </w:r>
    </w:p>
    <w:p>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w:t>
      </w:r>
      <w:r>
        <w:rPr>
          <w:rFonts w:asciiTheme="minorEastAsia" w:hAnsiTheme="minorEastAsia" w:eastAsiaTheme="minorEastAsia"/>
          <w:sz w:val="24"/>
        </w:rPr>
        <w:t xml:space="preserve"> 不可抗力事件发生后，应立即通知对方，并寄送有关权威机构出具的证明。</w:t>
      </w:r>
    </w:p>
    <w:p>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3</w:t>
      </w:r>
      <w:r>
        <w:rPr>
          <w:rFonts w:hint="eastAsia" w:asciiTheme="minorEastAsia" w:hAnsiTheme="minorEastAsia" w:eastAsiaTheme="minorEastAsia"/>
          <w:sz w:val="24"/>
        </w:rPr>
        <w:t>.</w:t>
      </w:r>
      <w:r>
        <w:rPr>
          <w:rFonts w:asciiTheme="minorEastAsia" w:hAnsiTheme="minorEastAsia" w:eastAsiaTheme="minorEastAsia"/>
          <w:sz w:val="24"/>
        </w:rPr>
        <w:t xml:space="preserve"> 不可抗力事件延续120天以上，双方应通过友好协商，确定是否继续履行合同。</w:t>
      </w:r>
    </w:p>
    <w:p>
      <w:pPr>
        <w:autoSpaceDE w:val="0"/>
        <w:autoSpaceDN w:val="0"/>
        <w:adjustRightInd w:val="0"/>
        <w:spacing w:line="440" w:lineRule="exact"/>
        <w:ind w:firstLine="482"/>
        <w:rPr>
          <w:rFonts w:ascii="宋体" w:hAnsi="宋体" w:cs="宋体"/>
          <w:b/>
          <w:bCs/>
          <w:sz w:val="24"/>
          <w:lang w:val="zh-CN"/>
        </w:rPr>
      </w:pPr>
      <w:r>
        <w:rPr>
          <w:rFonts w:asciiTheme="minorEastAsia" w:hAnsiTheme="minorEastAsia" w:eastAsiaTheme="minorEastAsia"/>
          <w:b/>
          <w:sz w:val="24"/>
        </w:rPr>
        <w:t>十</w:t>
      </w:r>
      <w:r>
        <w:rPr>
          <w:rFonts w:hint="eastAsia" w:asciiTheme="minorEastAsia" w:hAnsiTheme="minorEastAsia" w:eastAsiaTheme="minorEastAsia"/>
          <w:b/>
          <w:sz w:val="24"/>
          <w:lang w:val="en-US" w:eastAsia="zh-CN"/>
        </w:rPr>
        <w:t>六</w:t>
      </w:r>
      <w:r>
        <w:rPr>
          <w:rFonts w:asciiTheme="minorEastAsia" w:hAnsiTheme="minorEastAsia" w:eastAsiaTheme="minorEastAsia"/>
          <w:b/>
          <w:sz w:val="24"/>
        </w:rPr>
        <w:t>、</w:t>
      </w:r>
      <w:r>
        <w:rPr>
          <w:rFonts w:hint="eastAsia" w:ascii="宋体" w:hAnsi="宋体" w:cs="宋体"/>
          <w:b/>
          <w:bCs/>
          <w:sz w:val="24"/>
          <w:lang w:val="zh-CN"/>
        </w:rPr>
        <w:t>争议解决</w:t>
      </w:r>
    </w:p>
    <w:p>
      <w:pPr>
        <w:spacing w:line="360" w:lineRule="auto"/>
        <w:ind w:firstLine="480" w:firstLineChars="200"/>
        <w:rPr>
          <w:rFonts w:asciiTheme="minorEastAsia" w:hAnsiTheme="minorEastAsia" w:eastAsiaTheme="minorEastAsia"/>
          <w:sz w:val="24"/>
          <w:lang w:val="zh-CN"/>
        </w:rPr>
      </w:pPr>
      <w:r>
        <w:rPr>
          <w:rFonts w:hint="eastAsia" w:asciiTheme="minorEastAsia" w:hAnsiTheme="minorEastAsia" w:eastAsiaTheme="minorEastAsia"/>
          <w:sz w:val="24"/>
          <w:lang w:val="en-US" w:eastAsia="zh-CN"/>
        </w:rPr>
        <w:t>1、</w:t>
      </w:r>
      <w:r>
        <w:rPr>
          <w:rFonts w:hint="eastAsia" w:asciiTheme="minorEastAsia" w:hAnsiTheme="minorEastAsia" w:eastAsiaTheme="minorEastAsia"/>
          <w:sz w:val="24"/>
          <w:lang w:val="zh-CN"/>
        </w:rPr>
        <w:t>因执行本合同所发生的，或与本合同有关的一切争议，采购人与中标供应商双方应通过友好协商解决。</w:t>
      </w:r>
    </w:p>
    <w:p>
      <w:pPr>
        <w:spacing w:line="360" w:lineRule="auto"/>
        <w:ind w:firstLine="480" w:firstLineChars="200"/>
        <w:rPr>
          <w:rFonts w:asciiTheme="minorEastAsia" w:hAnsiTheme="minorEastAsia" w:eastAsiaTheme="minorEastAsia"/>
          <w:sz w:val="24"/>
          <w:lang w:val="zh-CN"/>
        </w:rPr>
      </w:pPr>
      <w:r>
        <w:rPr>
          <w:rFonts w:hint="eastAsia" w:asciiTheme="minorEastAsia" w:hAnsiTheme="minorEastAsia" w:eastAsiaTheme="minorEastAsia"/>
          <w:sz w:val="24"/>
          <w:lang w:val="en-US" w:eastAsia="zh-CN"/>
        </w:rPr>
        <w:t>2、</w:t>
      </w:r>
      <w:r>
        <w:rPr>
          <w:rFonts w:hint="eastAsia" w:asciiTheme="minorEastAsia" w:hAnsiTheme="minorEastAsia" w:eastAsiaTheme="minorEastAsia"/>
          <w:sz w:val="24"/>
          <w:lang w:val="zh-CN"/>
        </w:rPr>
        <w:t>如经协商仍不能解决争议时，可要求有关主管部门调解。如其中一方不愿调解或调解不成，可按下一种方式解决争议。</w:t>
      </w:r>
    </w:p>
    <w:p>
      <w:pPr>
        <w:spacing w:line="360" w:lineRule="auto"/>
        <w:ind w:firstLine="480" w:firstLineChars="200"/>
        <w:rPr>
          <w:rFonts w:asciiTheme="minorEastAsia" w:hAnsiTheme="minorEastAsia" w:eastAsiaTheme="minorEastAsia"/>
          <w:sz w:val="24"/>
          <w:lang w:val="zh-CN"/>
        </w:rPr>
      </w:pPr>
      <w:r>
        <w:rPr>
          <w:rFonts w:hint="eastAsia" w:asciiTheme="minorEastAsia" w:hAnsiTheme="minorEastAsia" w:eastAsiaTheme="minorEastAsia"/>
          <w:sz w:val="24"/>
          <w:lang w:val="en-US" w:eastAsia="zh-CN"/>
        </w:rPr>
        <w:t>3、</w:t>
      </w:r>
      <w:r>
        <w:rPr>
          <w:rFonts w:hint="eastAsia" w:asciiTheme="minorEastAsia" w:hAnsiTheme="minorEastAsia" w:eastAsiaTheme="minorEastAsia"/>
          <w:sz w:val="24"/>
          <w:lang w:val="zh-CN"/>
        </w:rPr>
        <w:t>双方达成仲裁协议，向采购人所在地的仲裁机构申请仲裁。</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lang w:val="en-US" w:eastAsia="zh-CN"/>
        </w:rPr>
        <w:t>4、</w:t>
      </w:r>
      <w:r>
        <w:rPr>
          <w:rFonts w:hint="eastAsia" w:asciiTheme="minorEastAsia" w:hAnsiTheme="minorEastAsia" w:eastAsiaTheme="minorEastAsia"/>
          <w:sz w:val="24"/>
          <w:lang w:val="zh-CN"/>
        </w:rPr>
        <w:t>向有管辖权的人民法院起诉。</w:t>
      </w:r>
    </w:p>
    <w:p>
      <w:pPr>
        <w:spacing w:line="360" w:lineRule="auto"/>
        <w:ind w:firstLine="482" w:firstLineChars="200"/>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lang w:val="en-US" w:eastAsia="zh-CN"/>
        </w:rPr>
        <w:t>七</w:t>
      </w:r>
      <w:r>
        <w:rPr>
          <w:rFonts w:asciiTheme="minorEastAsia" w:hAnsiTheme="minorEastAsia" w:eastAsiaTheme="minorEastAsia"/>
          <w:b/>
          <w:sz w:val="24"/>
        </w:rPr>
        <w:t>、合同生效及其它</w:t>
      </w:r>
    </w:p>
    <w:p>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w:t>
      </w:r>
      <w:r>
        <w:rPr>
          <w:rFonts w:asciiTheme="minorEastAsia" w:hAnsiTheme="minorEastAsia" w:eastAsiaTheme="minorEastAsia"/>
          <w:sz w:val="24"/>
        </w:rPr>
        <w:t xml:space="preserve"> 合同经双方法定代表人或授权代表签字并加盖单位公章后生效。</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 xml:space="preserve">2. </w:t>
      </w:r>
      <w:r>
        <w:rPr>
          <w:rFonts w:asciiTheme="minorEastAsia" w:hAnsiTheme="minorEastAsia" w:eastAsiaTheme="minorEastAsia"/>
          <w:sz w:val="24"/>
        </w:rPr>
        <w:t>本合同未尽事宜，遵照《合同法》有关条文执行。</w:t>
      </w:r>
    </w:p>
    <w:p>
      <w:pPr>
        <w:spacing w:line="360" w:lineRule="auto"/>
        <w:ind w:firstLine="480" w:firstLineChars="200"/>
        <w:rPr>
          <w:rFonts w:asciiTheme="minorEastAsia" w:hAnsiTheme="minorEastAsia" w:eastAsiaTheme="minorEastAsia"/>
          <w:b/>
          <w:sz w:val="24"/>
        </w:rPr>
      </w:pPr>
      <w:r>
        <w:rPr>
          <w:rFonts w:hint="eastAsia" w:asciiTheme="minorEastAsia" w:hAnsiTheme="minorEastAsia" w:eastAsiaTheme="minorEastAsia"/>
          <w:sz w:val="24"/>
        </w:rPr>
        <w:t>3.</w:t>
      </w:r>
      <w:r>
        <w:rPr>
          <w:rFonts w:hint="eastAsia" w:asciiTheme="minorEastAsia" w:hAnsiTheme="minorEastAsia" w:eastAsiaTheme="minorEastAsia"/>
          <w:kern w:val="0"/>
          <w:sz w:val="24"/>
        </w:rPr>
        <w:t xml:space="preserve">  </w:t>
      </w:r>
      <w:r>
        <w:rPr>
          <w:rFonts w:hint="eastAsia" w:asciiTheme="minorEastAsia" w:hAnsiTheme="minorEastAsia" w:eastAsiaTheme="minorEastAsia"/>
          <w:b/>
          <w:sz w:val="24"/>
        </w:rPr>
        <w:t>本合同一式四份。甲、乙双方各执</w:t>
      </w:r>
      <w:r>
        <w:rPr>
          <w:rFonts w:hint="eastAsia" w:asciiTheme="minorEastAsia" w:hAnsiTheme="minorEastAsia" w:eastAsiaTheme="minorEastAsia"/>
          <w:b/>
          <w:sz w:val="24"/>
          <w:lang w:eastAsia="zh-CN"/>
        </w:rPr>
        <w:t>二</w:t>
      </w:r>
      <w:r>
        <w:rPr>
          <w:rFonts w:hint="eastAsia" w:asciiTheme="minorEastAsia" w:hAnsiTheme="minorEastAsia" w:eastAsiaTheme="minorEastAsia"/>
          <w:b/>
          <w:sz w:val="24"/>
        </w:rPr>
        <w:t>份。本项目未尽事宜以招标文件及澄清文件等为准。</w:t>
      </w:r>
    </w:p>
    <w:p>
      <w:pPr>
        <w:widowControl/>
        <w:spacing w:line="360" w:lineRule="auto"/>
        <w:ind w:firstLine="482" w:firstLineChars="200"/>
        <w:rPr>
          <w:b/>
          <w:sz w:val="24"/>
        </w:rPr>
      </w:pPr>
    </w:p>
    <w:p>
      <w:pPr>
        <w:widowControl/>
        <w:spacing w:line="360" w:lineRule="auto"/>
        <w:ind w:firstLine="482" w:firstLineChars="200"/>
        <w:rPr>
          <w:b/>
          <w:sz w:val="24"/>
        </w:rPr>
      </w:pPr>
    </w:p>
    <w:p>
      <w:pPr>
        <w:spacing w:line="360" w:lineRule="auto"/>
        <w:ind w:firstLine="480" w:firstLineChars="200"/>
        <w:rPr>
          <w:sz w:val="24"/>
        </w:rPr>
      </w:pPr>
      <w:r>
        <w:rPr>
          <w:rFonts w:hint="eastAsia"/>
          <w:sz w:val="24"/>
        </w:rPr>
        <w:t>甲方（公章）                                     乙方（公章）</w:t>
      </w:r>
    </w:p>
    <w:p>
      <w:pPr>
        <w:spacing w:line="360" w:lineRule="auto"/>
        <w:ind w:firstLine="480" w:firstLineChars="200"/>
        <w:rPr>
          <w:sz w:val="24"/>
        </w:rPr>
      </w:pPr>
      <w:r>
        <w:rPr>
          <w:rFonts w:hint="eastAsia"/>
          <w:sz w:val="24"/>
        </w:rPr>
        <w:t>法定代表人：                                     法定代表人：</w:t>
      </w:r>
    </w:p>
    <w:p>
      <w:pPr>
        <w:spacing w:line="360" w:lineRule="auto"/>
        <w:ind w:firstLine="480" w:firstLineChars="200"/>
        <w:rPr>
          <w:sz w:val="24"/>
        </w:rPr>
      </w:pPr>
      <w:r>
        <w:rPr>
          <w:rFonts w:hint="eastAsia"/>
          <w:sz w:val="24"/>
        </w:rPr>
        <w:t>委托代理人：                                     委托代理人：</w:t>
      </w:r>
    </w:p>
    <w:p>
      <w:pPr>
        <w:spacing w:line="360" w:lineRule="auto"/>
        <w:ind w:firstLine="480" w:firstLineChars="200"/>
        <w:rPr>
          <w:sz w:val="24"/>
        </w:rPr>
      </w:pPr>
      <w:r>
        <w:rPr>
          <w:rFonts w:hint="eastAsia"/>
          <w:sz w:val="24"/>
        </w:rPr>
        <w:t>联系电话：                                       联系电话：</w:t>
      </w:r>
    </w:p>
    <w:p>
      <w:pPr>
        <w:spacing w:line="360" w:lineRule="auto"/>
        <w:ind w:firstLine="480" w:firstLineChars="200"/>
        <w:rPr>
          <w:sz w:val="24"/>
        </w:rPr>
      </w:pPr>
      <w:r>
        <w:rPr>
          <w:rFonts w:hint="eastAsia"/>
          <w:sz w:val="24"/>
        </w:rPr>
        <w:t>开户银行：                                       开户银行：</w:t>
      </w:r>
    </w:p>
    <w:p>
      <w:pPr>
        <w:spacing w:line="360" w:lineRule="auto"/>
        <w:ind w:firstLine="480" w:firstLineChars="200"/>
        <w:rPr>
          <w:sz w:val="24"/>
        </w:rPr>
      </w:pPr>
      <w:r>
        <w:rPr>
          <w:rFonts w:hint="eastAsia"/>
          <w:sz w:val="24"/>
        </w:rPr>
        <w:t>帐号：                                           帐号：</w:t>
      </w:r>
    </w:p>
    <w:p>
      <w:pPr>
        <w:spacing w:line="360" w:lineRule="auto"/>
        <w:ind w:firstLine="480" w:firstLineChars="200"/>
        <w:rPr>
          <w:sz w:val="24"/>
        </w:rPr>
      </w:pPr>
      <w:r>
        <w:rPr>
          <w:rFonts w:hint="eastAsia"/>
          <w:sz w:val="24"/>
        </w:rPr>
        <w:t>地址及邮编：                                     地址及邮编：</w:t>
      </w:r>
    </w:p>
    <w:p>
      <w:pPr>
        <w:pStyle w:val="11"/>
        <w:snapToGrid w:val="0"/>
        <w:spacing w:line="360" w:lineRule="auto"/>
        <w:rPr>
          <w:rFonts w:hAnsi="宋体"/>
          <w:szCs w:val="21"/>
        </w:rPr>
      </w:pPr>
    </w:p>
    <w:p>
      <w:pPr>
        <w:spacing w:line="360" w:lineRule="auto"/>
        <w:jc w:val="left"/>
        <w:rPr>
          <w:rFonts w:asciiTheme="majorEastAsia" w:hAnsiTheme="majorEastAsia" w:eastAsiaTheme="majorEastAsia"/>
          <w:sz w:val="28"/>
          <w:szCs w:val="28"/>
        </w:rPr>
      </w:pPr>
    </w:p>
    <w:p>
      <w:pPr>
        <w:pStyle w:val="2"/>
        <w:rPr>
          <w:rFonts w:asciiTheme="majorEastAsia" w:hAnsiTheme="majorEastAsia" w:eastAsiaTheme="majorEastAsia"/>
          <w:sz w:val="28"/>
          <w:szCs w:val="28"/>
        </w:rPr>
      </w:pPr>
    </w:p>
    <w:p>
      <w:pPr>
        <w:pStyle w:val="2"/>
        <w:rPr>
          <w:rFonts w:asciiTheme="majorEastAsia" w:hAnsiTheme="majorEastAsia" w:eastAsiaTheme="majorEastAsia"/>
          <w:sz w:val="28"/>
          <w:szCs w:val="28"/>
        </w:rPr>
      </w:pPr>
    </w:p>
    <w:p>
      <w:pPr>
        <w:pStyle w:val="2"/>
        <w:rPr>
          <w:rFonts w:asciiTheme="majorEastAsia" w:hAnsiTheme="majorEastAsia" w:eastAsiaTheme="majorEastAsia"/>
          <w:sz w:val="28"/>
          <w:szCs w:val="28"/>
        </w:rPr>
      </w:pPr>
    </w:p>
    <w:p>
      <w:pPr>
        <w:pStyle w:val="2"/>
        <w:rPr>
          <w:rFonts w:asciiTheme="majorEastAsia" w:hAnsiTheme="majorEastAsia" w:eastAsiaTheme="majorEastAsia"/>
          <w:sz w:val="28"/>
          <w:szCs w:val="28"/>
        </w:rPr>
      </w:pPr>
    </w:p>
    <w:p>
      <w:pPr>
        <w:pStyle w:val="2"/>
        <w:rPr>
          <w:rFonts w:asciiTheme="majorEastAsia" w:hAnsiTheme="majorEastAsia" w:eastAsiaTheme="majorEastAsia"/>
          <w:sz w:val="28"/>
          <w:szCs w:val="28"/>
        </w:rPr>
      </w:pPr>
    </w:p>
    <w:p>
      <w:pPr>
        <w:pStyle w:val="2"/>
        <w:rPr>
          <w:rFonts w:asciiTheme="majorEastAsia" w:hAnsiTheme="majorEastAsia" w:eastAsiaTheme="majorEastAsia"/>
          <w:sz w:val="28"/>
          <w:szCs w:val="28"/>
        </w:rPr>
      </w:pPr>
    </w:p>
    <w:p>
      <w:pPr>
        <w:pStyle w:val="2"/>
        <w:rPr>
          <w:rFonts w:asciiTheme="majorEastAsia" w:hAnsiTheme="majorEastAsia" w:eastAsiaTheme="majorEastAsia"/>
          <w:sz w:val="28"/>
          <w:szCs w:val="28"/>
        </w:rPr>
      </w:pPr>
    </w:p>
    <w:p>
      <w:pPr>
        <w:pStyle w:val="2"/>
        <w:rPr>
          <w:rFonts w:asciiTheme="majorEastAsia" w:hAnsiTheme="majorEastAsia" w:eastAsiaTheme="majorEastAsia"/>
          <w:sz w:val="28"/>
          <w:szCs w:val="28"/>
        </w:rPr>
      </w:pPr>
    </w:p>
    <w:p>
      <w:pPr>
        <w:pStyle w:val="2"/>
        <w:rPr>
          <w:rFonts w:asciiTheme="majorEastAsia" w:hAnsiTheme="majorEastAsia" w:eastAsiaTheme="majorEastAsia"/>
          <w:sz w:val="28"/>
          <w:szCs w:val="28"/>
        </w:rPr>
      </w:pPr>
    </w:p>
    <w:p>
      <w:pPr>
        <w:numPr>
          <w:ilvl w:val="0"/>
          <w:numId w:val="4"/>
        </w:numPr>
        <w:spacing w:line="360" w:lineRule="auto"/>
        <w:jc w:val="center"/>
        <w:rPr>
          <w:rFonts w:asciiTheme="minorEastAsia" w:hAnsiTheme="minorEastAsia" w:eastAsiaTheme="minorEastAsia"/>
          <w:b/>
          <w:sz w:val="36"/>
          <w:szCs w:val="36"/>
        </w:rPr>
      </w:pPr>
      <w:r>
        <w:rPr>
          <w:rFonts w:hint="eastAsia" w:asciiTheme="minorEastAsia" w:hAnsiTheme="minorEastAsia" w:eastAsiaTheme="minorEastAsia"/>
          <w:b/>
          <w:sz w:val="36"/>
          <w:szCs w:val="36"/>
        </w:rPr>
        <w:t>投标文件格式附件</w:t>
      </w:r>
    </w:p>
    <w:p>
      <w:pPr>
        <w:rPr>
          <w:rFonts w:ascii="宋体" w:hAnsi="宋体"/>
          <w:b/>
          <w:kern w:val="0"/>
          <w:sz w:val="28"/>
          <w:szCs w:val="28"/>
        </w:rPr>
      </w:pPr>
      <w:r>
        <w:rPr>
          <w:rFonts w:hint="eastAsia" w:ascii="宋体" w:hAnsi="宋体"/>
          <w:b/>
          <w:kern w:val="0"/>
          <w:sz w:val="28"/>
          <w:szCs w:val="28"/>
        </w:rPr>
        <w:t>附件1</w:t>
      </w:r>
      <w:r>
        <w:rPr>
          <w:rFonts w:hint="eastAsia" w:ascii="宋体" w:hAnsi="宋体"/>
          <w:sz w:val="30"/>
          <w:szCs w:val="30"/>
        </w:rPr>
        <w:t xml:space="preserve"> 　　　</w:t>
      </w:r>
    </w:p>
    <w:p>
      <w:pPr>
        <w:spacing w:line="360" w:lineRule="auto"/>
        <w:rPr>
          <w:rFonts w:asciiTheme="minorEastAsia" w:hAnsiTheme="minorEastAsia" w:eastAsiaTheme="minorEastAsia"/>
          <w:b/>
          <w:sz w:val="30"/>
          <w:szCs w:val="30"/>
        </w:rPr>
      </w:pPr>
    </w:p>
    <w:p>
      <w:pPr>
        <w:spacing w:line="360" w:lineRule="auto"/>
        <w:ind w:right="-110"/>
        <w:jc w:val="center"/>
        <w:rPr>
          <w:rFonts w:ascii="宋体" w:hAnsi="宋体"/>
          <w:spacing w:val="40"/>
          <w:sz w:val="52"/>
          <w:szCs w:val="52"/>
        </w:rPr>
      </w:pPr>
      <w:r>
        <w:rPr>
          <w:rFonts w:hint="eastAsia" w:ascii="宋体" w:hAnsi="宋体"/>
          <w:spacing w:val="40"/>
          <w:sz w:val="52"/>
          <w:szCs w:val="52"/>
        </w:rPr>
        <w:t>项目名称</w:t>
      </w:r>
    </w:p>
    <w:p>
      <w:pPr>
        <w:spacing w:before="312" w:beforeLines="100" w:line="360" w:lineRule="auto"/>
        <w:ind w:right="-108"/>
        <w:jc w:val="center"/>
        <w:rPr>
          <w:rFonts w:ascii="宋体" w:hAnsi="宋体" w:cs="宋体"/>
          <w:sz w:val="84"/>
          <w:szCs w:val="84"/>
          <w:lang w:val="zh-CN"/>
        </w:rPr>
      </w:pPr>
      <w:r>
        <w:rPr>
          <w:rFonts w:hint="eastAsia" w:ascii="宋体" w:hAnsi="宋体"/>
          <w:sz w:val="36"/>
          <w:szCs w:val="36"/>
        </w:rPr>
        <w:t>项目编号：</w:t>
      </w:r>
    </w:p>
    <w:p>
      <w:pPr>
        <w:autoSpaceDE w:val="0"/>
        <w:autoSpaceDN w:val="0"/>
        <w:adjustRightInd w:val="0"/>
        <w:spacing w:line="360" w:lineRule="auto"/>
        <w:jc w:val="center"/>
        <w:rPr>
          <w:rFonts w:ascii="宋体" w:hAnsi="宋体" w:cs="宋体"/>
          <w:sz w:val="84"/>
          <w:szCs w:val="84"/>
          <w:lang w:val="zh-CN"/>
        </w:rPr>
      </w:pPr>
      <w:r>
        <w:rPr>
          <w:rFonts w:hint="eastAsia" w:ascii="宋体" w:hAnsi="宋体" w:cs="宋体"/>
          <w:sz w:val="84"/>
          <w:szCs w:val="84"/>
          <w:lang w:val="zh-CN"/>
        </w:rPr>
        <w:t>投</w:t>
      </w:r>
    </w:p>
    <w:p>
      <w:pPr>
        <w:autoSpaceDE w:val="0"/>
        <w:autoSpaceDN w:val="0"/>
        <w:adjustRightInd w:val="0"/>
        <w:spacing w:line="360" w:lineRule="auto"/>
        <w:jc w:val="center"/>
        <w:rPr>
          <w:rFonts w:ascii="宋体" w:hAnsi="宋体" w:cs="宋体"/>
          <w:sz w:val="84"/>
          <w:szCs w:val="84"/>
          <w:lang w:val="zh-CN"/>
        </w:rPr>
      </w:pPr>
      <w:r>
        <w:rPr>
          <w:rFonts w:hint="eastAsia" w:ascii="宋体" w:hAnsi="宋体" w:cs="宋体"/>
          <w:sz w:val="84"/>
          <w:szCs w:val="84"/>
          <w:lang w:val="zh-CN"/>
        </w:rPr>
        <w:t>标</w:t>
      </w:r>
    </w:p>
    <w:p>
      <w:pPr>
        <w:autoSpaceDE w:val="0"/>
        <w:autoSpaceDN w:val="0"/>
        <w:adjustRightInd w:val="0"/>
        <w:spacing w:line="360" w:lineRule="auto"/>
        <w:jc w:val="center"/>
        <w:rPr>
          <w:rFonts w:ascii="宋体" w:hAnsi="宋体"/>
          <w:sz w:val="84"/>
          <w:szCs w:val="84"/>
        </w:rPr>
      </w:pPr>
      <w:r>
        <w:rPr>
          <w:rFonts w:hint="eastAsia" w:ascii="宋体" w:hAnsi="宋体" w:cs="宋体"/>
          <w:sz w:val="84"/>
          <w:szCs w:val="84"/>
          <w:lang w:val="zh-CN"/>
        </w:rPr>
        <w:t>文</w:t>
      </w:r>
    </w:p>
    <w:p>
      <w:pPr>
        <w:spacing w:after="100" w:afterAutospacing="1" w:line="360" w:lineRule="auto"/>
        <w:ind w:right="-108"/>
        <w:jc w:val="center"/>
        <w:rPr>
          <w:rFonts w:ascii="宋体" w:hAnsi="宋体" w:cs="宋体"/>
          <w:sz w:val="84"/>
          <w:szCs w:val="84"/>
          <w:lang w:val="zh-CN"/>
        </w:rPr>
      </w:pPr>
      <w:r>
        <w:rPr>
          <w:rFonts w:hint="eastAsia" w:ascii="宋体" w:hAnsi="宋体" w:cs="宋体"/>
          <w:sz w:val="84"/>
          <w:szCs w:val="84"/>
          <w:lang w:val="zh-CN"/>
        </w:rPr>
        <w:t>件</w:t>
      </w:r>
    </w:p>
    <w:p>
      <w:pPr>
        <w:spacing w:after="100" w:afterAutospacing="1" w:line="360" w:lineRule="auto"/>
        <w:ind w:right="-108"/>
        <w:jc w:val="center"/>
        <w:rPr>
          <w:rFonts w:ascii="宋体" w:hAnsi="宋体"/>
          <w:b/>
          <w:spacing w:val="40"/>
          <w:sz w:val="28"/>
          <w:szCs w:val="28"/>
        </w:rPr>
      </w:pPr>
      <w:r>
        <w:rPr>
          <w:rFonts w:hint="eastAsia" w:ascii="宋体" w:hAnsi="宋体" w:cs="宋体"/>
          <w:sz w:val="28"/>
          <w:szCs w:val="28"/>
          <w:lang w:val="zh-CN"/>
        </w:rPr>
        <w:t>（</w:t>
      </w:r>
      <w:r>
        <w:rPr>
          <w:rFonts w:hint="eastAsia" w:ascii="宋体" w:hAnsi="宋体"/>
          <w:b/>
          <w:spacing w:val="40"/>
          <w:sz w:val="28"/>
          <w:szCs w:val="28"/>
        </w:rPr>
        <w:t>资格证明文件）</w:t>
      </w:r>
    </w:p>
    <w:p>
      <w:pPr>
        <w:spacing w:line="360" w:lineRule="auto"/>
        <w:ind w:right="532" w:firstLine="720" w:firstLineChars="200"/>
        <w:rPr>
          <w:rFonts w:ascii="宋体" w:hAnsi="宋体"/>
          <w:sz w:val="36"/>
          <w:szCs w:val="36"/>
        </w:rPr>
      </w:pPr>
      <w:r>
        <w:rPr>
          <w:rFonts w:hint="eastAsia" w:ascii="宋体" w:hAnsi="宋体"/>
          <w:sz w:val="36"/>
          <w:szCs w:val="36"/>
        </w:rPr>
        <w:t>投标人全称（公章）：</w:t>
      </w:r>
    </w:p>
    <w:p>
      <w:pPr>
        <w:spacing w:line="360" w:lineRule="auto"/>
        <w:ind w:right="532" w:firstLine="720" w:firstLineChars="200"/>
        <w:rPr>
          <w:rFonts w:ascii="宋体" w:hAnsi="宋体"/>
          <w:sz w:val="36"/>
          <w:szCs w:val="36"/>
        </w:rPr>
      </w:pPr>
      <w:r>
        <w:rPr>
          <w:rFonts w:hint="eastAsia" w:ascii="宋体" w:hAnsi="宋体"/>
          <w:sz w:val="36"/>
          <w:szCs w:val="36"/>
        </w:rPr>
        <w:t>地    址：</w:t>
      </w:r>
    </w:p>
    <w:p>
      <w:pPr>
        <w:spacing w:line="360" w:lineRule="auto"/>
        <w:ind w:right="532" w:firstLine="720" w:firstLineChars="200"/>
        <w:rPr>
          <w:rFonts w:hint="eastAsia" w:ascii="宋体" w:hAnsi="宋体"/>
          <w:sz w:val="36"/>
          <w:szCs w:val="36"/>
        </w:rPr>
      </w:pPr>
      <w:r>
        <w:rPr>
          <w:rFonts w:hint="eastAsia" w:ascii="宋体" w:hAnsi="宋体"/>
          <w:sz w:val="36"/>
          <w:szCs w:val="36"/>
        </w:rPr>
        <w:t>时    间：</w:t>
      </w:r>
    </w:p>
    <w:p>
      <w:pPr>
        <w:pStyle w:val="2"/>
      </w:pPr>
    </w:p>
    <w:p>
      <w:pPr>
        <w:snapToGrid w:val="0"/>
        <w:spacing w:before="50" w:after="50" w:line="360" w:lineRule="auto"/>
        <w:jc w:val="center"/>
        <w:rPr>
          <w:rFonts w:ascii="宋体" w:hAnsi="宋体"/>
          <w:b/>
          <w:bCs/>
          <w:sz w:val="36"/>
          <w:szCs w:val="36"/>
        </w:rPr>
      </w:pPr>
      <w:r>
        <w:rPr>
          <w:rFonts w:hint="eastAsia" w:ascii="宋体" w:hAnsi="宋体"/>
          <w:b/>
          <w:bCs/>
          <w:sz w:val="36"/>
          <w:szCs w:val="36"/>
        </w:rPr>
        <w:t>资格证明文件目录</w:t>
      </w:r>
    </w:p>
    <w:p>
      <w:pPr>
        <w:snapToGrid w:val="0"/>
        <w:spacing w:before="50" w:after="50" w:line="360" w:lineRule="auto"/>
        <w:jc w:val="center"/>
        <w:rPr>
          <w:rFonts w:ascii="仿宋_GB2312" w:hAnsi="宋体" w:eastAsia="仿宋_GB2312"/>
          <w:b/>
          <w:bCs/>
          <w:sz w:val="36"/>
          <w:szCs w:val="36"/>
        </w:rPr>
      </w:pPr>
    </w:p>
    <w:p>
      <w:pPr>
        <w:widowControl/>
        <w:spacing w:line="360" w:lineRule="auto"/>
        <w:ind w:right="60" w:firstLine="480" w:firstLineChars="200"/>
        <w:jc w:val="left"/>
        <w:outlineLvl w:val="0"/>
        <w:rPr>
          <w:rFonts w:ascii="宋体" w:hAnsi="宋体" w:cs="宋体"/>
          <w:sz w:val="24"/>
        </w:rPr>
      </w:pPr>
      <w:r>
        <w:rPr>
          <w:rFonts w:hint="eastAsia" w:ascii="宋体" w:hAnsi="宋体" w:cs="宋体"/>
          <w:sz w:val="24"/>
        </w:rPr>
        <w:t>1、投标声明书（附件2）；</w:t>
      </w:r>
    </w:p>
    <w:p>
      <w:pPr>
        <w:widowControl/>
        <w:spacing w:line="360" w:lineRule="auto"/>
        <w:ind w:right="60" w:firstLine="480" w:firstLineChars="200"/>
        <w:jc w:val="left"/>
        <w:outlineLvl w:val="0"/>
        <w:rPr>
          <w:rFonts w:ascii="宋体" w:hAnsi="宋体" w:cs="宋体"/>
          <w:sz w:val="24"/>
        </w:rPr>
      </w:pPr>
      <w:r>
        <w:rPr>
          <w:rFonts w:hint="eastAsia" w:ascii="宋体" w:hAnsi="宋体" w:cs="宋体"/>
          <w:sz w:val="24"/>
        </w:rPr>
        <w:t>2、授权委托书（法定代表人亲自办理投标事宜的，则无需提交)（附件3）；</w:t>
      </w:r>
    </w:p>
    <w:p>
      <w:pPr>
        <w:widowControl/>
        <w:spacing w:line="360" w:lineRule="auto"/>
        <w:ind w:right="60" w:firstLine="472" w:firstLineChars="197"/>
        <w:jc w:val="left"/>
        <w:outlineLvl w:val="0"/>
        <w:rPr>
          <w:rFonts w:ascii="宋体" w:hAnsi="宋体" w:cs="宋体"/>
          <w:sz w:val="24"/>
        </w:rPr>
      </w:pPr>
      <w:r>
        <w:rPr>
          <w:rFonts w:hint="eastAsia" w:ascii="宋体" w:hAnsi="宋体" w:cs="宋体"/>
          <w:sz w:val="24"/>
        </w:rPr>
        <w:t>3、提供有效的营业执照复印件；如事业单位参加投标的，则提供有效的《事业单位法人证书》复印件；</w:t>
      </w:r>
    </w:p>
    <w:p>
      <w:pPr>
        <w:widowControl/>
        <w:spacing w:line="360" w:lineRule="auto"/>
        <w:ind w:right="60" w:firstLine="472" w:firstLineChars="197"/>
        <w:jc w:val="left"/>
        <w:outlineLvl w:val="0"/>
        <w:rPr>
          <w:rFonts w:ascii="宋体" w:hAnsi="宋体" w:cs="宋体"/>
          <w:sz w:val="24"/>
        </w:rPr>
      </w:pPr>
      <w:r>
        <w:rPr>
          <w:rFonts w:hint="eastAsia" w:ascii="宋体" w:hAnsi="宋体" w:cs="宋体"/>
          <w:kern w:val="21"/>
          <w:sz w:val="24"/>
        </w:rPr>
        <w:t>4、</w:t>
      </w:r>
      <w:r>
        <w:rPr>
          <w:rFonts w:hint="eastAsia" w:ascii="宋体" w:hAnsi="宋体" w:cs="宋体"/>
          <w:kern w:val="21"/>
          <w:sz w:val="24"/>
          <w:lang w:val="zh-CN"/>
        </w:rPr>
        <w:t>提供最近年度的</w:t>
      </w:r>
      <w:r>
        <w:rPr>
          <w:rFonts w:hint="eastAsia" w:ascii="宋体" w:hAnsi="宋体" w:cs="宋体"/>
          <w:sz w:val="24"/>
        </w:rPr>
        <w:t>资产负债表、利润表，或者银行出具的资信证明；</w:t>
      </w:r>
    </w:p>
    <w:p>
      <w:pPr>
        <w:pStyle w:val="11"/>
        <w:spacing w:line="360" w:lineRule="auto"/>
        <w:ind w:firstLine="475" w:firstLineChars="198"/>
        <w:rPr>
          <w:rFonts w:hAnsi="宋体" w:cs="宋体"/>
          <w:sz w:val="24"/>
        </w:rPr>
      </w:pPr>
      <w:r>
        <w:rPr>
          <w:rFonts w:hint="eastAsia" w:hAnsi="宋体" w:cs="宋体"/>
          <w:kern w:val="21"/>
          <w:sz w:val="24"/>
        </w:rPr>
        <w:t>5、</w:t>
      </w:r>
      <w:r>
        <w:rPr>
          <w:rFonts w:hint="eastAsia" w:hAnsi="宋体" w:cs="宋体"/>
          <w:kern w:val="21"/>
          <w:sz w:val="24"/>
          <w:lang w:val="zh-CN"/>
        </w:rPr>
        <w:t>提供</w:t>
      </w:r>
      <w:r>
        <w:rPr>
          <w:rFonts w:hint="eastAsia" w:hAnsi="宋体" w:cs="宋体"/>
          <w:sz w:val="24"/>
        </w:rPr>
        <w:t>投标截止时间前六个月内（至少提供其中一个月）缴纳社会保障资金凭据（提供专用收据或社会保险缴纳清单或社保部门出具的社保证明）和缴纳税收凭证（依法免税的，提供相应证明资料证明依法免税）；</w:t>
      </w:r>
    </w:p>
    <w:p>
      <w:pPr>
        <w:snapToGrid w:val="0"/>
        <w:spacing w:line="360" w:lineRule="auto"/>
        <w:ind w:firstLine="480" w:firstLineChars="200"/>
        <w:rPr>
          <w:rFonts w:ascii="宋体" w:hAnsi="宋体" w:cs="宋体"/>
          <w:sz w:val="24"/>
        </w:rPr>
      </w:pPr>
      <w:r>
        <w:rPr>
          <w:rFonts w:hint="eastAsia" w:ascii="宋体" w:hAnsi="宋体" w:cs="宋体"/>
          <w:sz w:val="24"/>
        </w:rPr>
        <w:t>6、提供采购公告中符合供应商特定条件的有效资质证书复印件</w:t>
      </w:r>
      <w:r>
        <w:rPr>
          <w:rFonts w:hint="eastAsia" w:ascii="宋体" w:hAnsi="宋体" w:cs="宋体"/>
          <w:b/>
          <w:bCs/>
          <w:sz w:val="24"/>
        </w:rPr>
        <w:t>（投标供应商特定条件中有要求的必须提供），</w:t>
      </w:r>
      <w:r>
        <w:rPr>
          <w:rFonts w:hint="eastAsia" w:ascii="宋体" w:hAnsi="宋体" w:cs="宋体"/>
          <w:sz w:val="24"/>
        </w:rPr>
        <w:t>以及需要说明的其他资料；</w:t>
      </w:r>
    </w:p>
    <w:p>
      <w:pPr>
        <w:spacing w:line="360" w:lineRule="auto"/>
        <w:rPr>
          <w:rFonts w:ascii="宋体" w:hAnsi="宋体"/>
          <w:b/>
          <w:sz w:val="28"/>
        </w:rPr>
      </w:pPr>
    </w:p>
    <w:p>
      <w:pPr>
        <w:spacing w:line="360" w:lineRule="auto"/>
        <w:ind w:left="420"/>
        <w:rPr>
          <w:rFonts w:ascii="宋体" w:hAnsi="宋体"/>
          <w:b/>
          <w:sz w:val="28"/>
        </w:rPr>
      </w:pPr>
    </w:p>
    <w:p>
      <w:pPr>
        <w:spacing w:line="360" w:lineRule="auto"/>
        <w:ind w:left="420"/>
        <w:rPr>
          <w:rFonts w:ascii="宋体" w:hAnsi="宋体"/>
          <w:b/>
          <w:sz w:val="28"/>
        </w:rPr>
      </w:pPr>
    </w:p>
    <w:p>
      <w:pPr>
        <w:spacing w:line="360" w:lineRule="auto"/>
        <w:ind w:left="420"/>
        <w:rPr>
          <w:rFonts w:ascii="宋体" w:hAnsi="宋体"/>
          <w:b/>
          <w:sz w:val="28"/>
        </w:rPr>
      </w:pPr>
    </w:p>
    <w:p>
      <w:pPr>
        <w:spacing w:line="360" w:lineRule="auto"/>
        <w:ind w:left="420"/>
        <w:rPr>
          <w:rFonts w:ascii="宋体" w:hAnsi="宋体"/>
          <w:b/>
          <w:sz w:val="28"/>
        </w:rPr>
      </w:pPr>
    </w:p>
    <w:p>
      <w:pPr>
        <w:spacing w:line="360" w:lineRule="auto"/>
        <w:ind w:left="420"/>
        <w:rPr>
          <w:rFonts w:ascii="宋体" w:hAnsi="宋体"/>
          <w:b/>
          <w:sz w:val="28"/>
        </w:rPr>
      </w:pPr>
    </w:p>
    <w:p>
      <w:pPr>
        <w:spacing w:line="360" w:lineRule="auto"/>
        <w:ind w:left="420"/>
        <w:rPr>
          <w:rFonts w:ascii="宋体" w:hAnsi="宋体"/>
          <w:b/>
          <w:sz w:val="28"/>
        </w:rPr>
      </w:pPr>
    </w:p>
    <w:p>
      <w:pPr>
        <w:spacing w:line="360" w:lineRule="auto"/>
        <w:ind w:left="420"/>
        <w:rPr>
          <w:rFonts w:ascii="宋体" w:hAnsi="宋体"/>
          <w:b/>
          <w:sz w:val="28"/>
        </w:rPr>
      </w:pPr>
    </w:p>
    <w:p>
      <w:pPr>
        <w:spacing w:line="360" w:lineRule="auto"/>
        <w:ind w:left="420"/>
        <w:rPr>
          <w:rFonts w:ascii="宋体" w:hAnsi="宋体"/>
          <w:b/>
          <w:sz w:val="28"/>
        </w:rPr>
      </w:pPr>
    </w:p>
    <w:p>
      <w:pPr>
        <w:spacing w:line="360" w:lineRule="auto"/>
        <w:ind w:left="420"/>
        <w:rPr>
          <w:rFonts w:ascii="宋体" w:hAnsi="宋体"/>
          <w:b/>
          <w:sz w:val="28"/>
        </w:rPr>
      </w:pPr>
    </w:p>
    <w:p>
      <w:pPr>
        <w:spacing w:line="360" w:lineRule="auto"/>
        <w:ind w:left="420"/>
        <w:rPr>
          <w:rFonts w:ascii="宋体" w:hAnsi="宋体"/>
          <w:b/>
          <w:sz w:val="28"/>
        </w:rPr>
      </w:pPr>
    </w:p>
    <w:p>
      <w:pPr>
        <w:spacing w:line="360" w:lineRule="auto"/>
        <w:rPr>
          <w:rFonts w:ascii="宋体" w:hAnsi="宋体"/>
          <w:b/>
          <w:sz w:val="28"/>
        </w:rPr>
      </w:pPr>
    </w:p>
    <w:p>
      <w:pPr>
        <w:spacing w:line="360" w:lineRule="auto"/>
        <w:ind w:left="420"/>
        <w:rPr>
          <w:rFonts w:hint="eastAsia" w:ascii="宋体" w:hAnsi="宋体"/>
          <w:b/>
          <w:sz w:val="28"/>
        </w:rPr>
      </w:pPr>
    </w:p>
    <w:p>
      <w:pPr>
        <w:spacing w:line="360" w:lineRule="auto"/>
        <w:ind w:left="420"/>
        <w:rPr>
          <w:rFonts w:hint="eastAsia" w:ascii="宋体" w:hAnsi="宋体"/>
          <w:b/>
          <w:sz w:val="28"/>
        </w:rPr>
      </w:pPr>
    </w:p>
    <w:p>
      <w:pPr>
        <w:spacing w:line="360" w:lineRule="auto"/>
        <w:ind w:left="420"/>
        <w:rPr>
          <w:rFonts w:ascii="宋体" w:hAnsi="宋体"/>
          <w:b/>
          <w:sz w:val="28"/>
        </w:rPr>
      </w:pPr>
      <w:r>
        <w:rPr>
          <w:rFonts w:hint="eastAsia" w:ascii="宋体" w:hAnsi="宋体"/>
          <w:b/>
          <w:sz w:val="28"/>
        </w:rPr>
        <w:t>附件2</w:t>
      </w:r>
    </w:p>
    <w:p>
      <w:pPr>
        <w:adjustRightInd w:val="0"/>
        <w:snapToGrid w:val="0"/>
        <w:spacing w:line="360" w:lineRule="auto"/>
        <w:ind w:right="480"/>
        <w:jc w:val="center"/>
        <w:rPr>
          <w:rFonts w:ascii="宋体" w:hAnsi="宋体"/>
          <w:b/>
          <w:kern w:val="0"/>
          <w:sz w:val="32"/>
          <w:szCs w:val="32"/>
          <w:lang w:val="zh-CN"/>
        </w:rPr>
      </w:pPr>
      <w:r>
        <w:rPr>
          <w:rFonts w:hint="eastAsia" w:ascii="宋体" w:hAnsi="宋体"/>
          <w:b/>
          <w:kern w:val="0"/>
          <w:sz w:val="32"/>
          <w:szCs w:val="32"/>
          <w:lang w:val="zh-CN"/>
        </w:rPr>
        <w:t>投标声明书</w:t>
      </w:r>
    </w:p>
    <w:p>
      <w:pPr>
        <w:snapToGrid w:val="0"/>
        <w:spacing w:before="156" w:beforeLines="50" w:after="50" w:line="360" w:lineRule="auto"/>
        <w:ind w:firstLine="480" w:firstLineChars="200"/>
        <w:rPr>
          <w:rFonts w:ascii="宋体" w:hAnsi="宋体" w:cs="宋体"/>
          <w:kern w:val="0"/>
          <w:sz w:val="24"/>
        </w:rPr>
      </w:pPr>
      <w:r>
        <w:rPr>
          <w:rFonts w:hint="eastAsia" w:ascii="宋体" w:hAnsi="宋体" w:cstheme="minorBidi"/>
          <w:sz w:val="24"/>
          <w:u w:val="single"/>
        </w:rPr>
        <w:t xml:space="preserve">                 </w:t>
      </w:r>
      <w:r>
        <w:rPr>
          <w:rFonts w:hint="eastAsia" w:ascii="宋体" w:hAnsi="宋体" w:cs="宋体"/>
          <w:kern w:val="0"/>
          <w:sz w:val="24"/>
        </w:rPr>
        <w:t>（采购代理机构名称）：</w:t>
      </w:r>
    </w:p>
    <w:p>
      <w:pPr>
        <w:snapToGrid w:val="0"/>
        <w:spacing w:line="360" w:lineRule="auto"/>
        <w:ind w:firstLine="480" w:firstLineChars="200"/>
        <w:rPr>
          <w:rFonts w:ascii="宋体" w:hAnsi="宋体" w:cs="宋体"/>
          <w:kern w:val="0"/>
          <w:sz w:val="24"/>
        </w:rPr>
      </w:pPr>
      <w:r>
        <w:rPr>
          <w:rFonts w:hint="eastAsia" w:ascii="宋体" w:hAnsi="宋体" w:cs="宋体"/>
          <w:kern w:val="0"/>
          <w:sz w:val="24"/>
        </w:rPr>
        <w:t>（投标人名称）系中华人民共和国合法企业，经营地址</w:t>
      </w:r>
      <w:r>
        <w:rPr>
          <w:rFonts w:hint="eastAsia" w:ascii="宋体" w:hAnsi="宋体" w:cs="宋体"/>
          <w:kern w:val="0"/>
          <w:sz w:val="24"/>
          <w:u w:val="single"/>
        </w:rPr>
        <w:t xml:space="preserve">             </w:t>
      </w:r>
      <w:r>
        <w:rPr>
          <w:rFonts w:hint="eastAsia" w:ascii="宋体" w:hAnsi="宋体" w:cs="宋体"/>
          <w:kern w:val="0"/>
          <w:sz w:val="24"/>
        </w:rPr>
        <w:t>。</w:t>
      </w:r>
    </w:p>
    <w:p>
      <w:pPr>
        <w:snapToGrid w:val="0"/>
        <w:spacing w:line="360" w:lineRule="auto"/>
        <w:ind w:firstLine="480" w:firstLineChars="200"/>
        <w:rPr>
          <w:rFonts w:ascii="宋体" w:hAnsi="宋体" w:cs="宋体"/>
          <w:kern w:val="0"/>
          <w:sz w:val="24"/>
        </w:rPr>
      </w:pPr>
      <w:r>
        <w:rPr>
          <w:rFonts w:hint="eastAsia" w:ascii="宋体" w:hAnsi="宋体" w:cs="宋体"/>
          <w:kern w:val="0"/>
          <w:sz w:val="24"/>
        </w:rPr>
        <w:t>我（</w:t>
      </w:r>
      <w:r>
        <w:rPr>
          <w:rFonts w:hint="eastAsia" w:ascii="宋体" w:hAnsi="宋体" w:cs="宋体"/>
          <w:kern w:val="0"/>
          <w:sz w:val="24"/>
          <w:u w:val="single"/>
        </w:rPr>
        <w:t xml:space="preserve"> 姓名 </w:t>
      </w:r>
      <w:r>
        <w:rPr>
          <w:rFonts w:hint="eastAsia" w:ascii="宋体" w:hAnsi="宋体" w:cs="宋体"/>
          <w:kern w:val="0"/>
          <w:sz w:val="24"/>
        </w:rPr>
        <w:t>）系（</w:t>
      </w:r>
      <w:r>
        <w:rPr>
          <w:rFonts w:hint="eastAsia" w:ascii="宋体" w:hAnsi="宋体" w:cs="宋体"/>
          <w:kern w:val="0"/>
          <w:sz w:val="24"/>
          <w:u w:val="single"/>
        </w:rPr>
        <w:t xml:space="preserve"> 投标人名称 </w:t>
      </w:r>
      <w:r>
        <w:rPr>
          <w:rFonts w:hint="eastAsia" w:ascii="宋体" w:hAnsi="宋体" w:cs="宋体"/>
          <w:kern w:val="0"/>
          <w:sz w:val="24"/>
        </w:rPr>
        <w:t>）的法定代表人，我公司自愿参加贵方组织的（</w:t>
      </w:r>
      <w:r>
        <w:rPr>
          <w:rFonts w:hint="eastAsia" w:ascii="宋体" w:hAnsi="宋体" w:cs="宋体"/>
          <w:kern w:val="0"/>
          <w:sz w:val="24"/>
          <w:u w:val="single"/>
        </w:rPr>
        <w:t>招标项目名称</w:t>
      </w:r>
      <w:r>
        <w:rPr>
          <w:rFonts w:hint="eastAsia" w:ascii="宋体" w:hAnsi="宋体" w:cs="宋体"/>
          <w:kern w:val="0"/>
          <w:sz w:val="24"/>
        </w:rPr>
        <w:t>）（编号为）的投标，为此，我公司就本次投标有关事项郑重声明如下：</w:t>
      </w:r>
    </w:p>
    <w:p>
      <w:pPr>
        <w:snapToGrid w:val="0"/>
        <w:spacing w:line="360" w:lineRule="auto"/>
        <w:ind w:firstLine="480" w:firstLineChars="200"/>
        <w:rPr>
          <w:rFonts w:ascii="宋体" w:hAnsi="宋体" w:cs="宋体"/>
          <w:b/>
          <w:kern w:val="0"/>
          <w:sz w:val="24"/>
        </w:rPr>
      </w:pPr>
      <w:r>
        <w:rPr>
          <w:rFonts w:hint="eastAsia" w:ascii="宋体" w:hAnsi="宋体" w:cs="宋体"/>
          <w:kern w:val="0"/>
          <w:sz w:val="24"/>
        </w:rPr>
        <w:t>1、</w:t>
      </w:r>
      <w:r>
        <w:rPr>
          <w:rFonts w:hint="eastAsia" w:ascii="Arial" w:hAnsi="Arial" w:cs="Arial"/>
          <w:sz w:val="24"/>
        </w:rPr>
        <w:t>我公司声明截止投标时间近三年以来：在政府采购领域中的项目招标、投标和合同履约期间无任何不良行为记录；无重大违法记录（重大违法记录是指供应商因违法经营受到刑事处罚或者责令停产停业、吊销许可证或者执照、较大数额罚款等行政处罚）。</w:t>
      </w:r>
    </w:p>
    <w:p>
      <w:pPr>
        <w:snapToGrid w:val="0"/>
        <w:spacing w:line="360" w:lineRule="auto"/>
        <w:ind w:firstLine="480" w:firstLineChars="200"/>
        <w:rPr>
          <w:rFonts w:ascii="宋体" w:hAnsi="宋体" w:cs="宋体"/>
          <w:kern w:val="0"/>
          <w:sz w:val="24"/>
        </w:rPr>
      </w:pPr>
      <w:r>
        <w:rPr>
          <w:rFonts w:hint="eastAsia" w:ascii="宋体" w:hAnsi="宋体" w:cs="宋体"/>
          <w:kern w:val="0"/>
          <w:sz w:val="24"/>
        </w:rPr>
        <w:t>2、我公司</w:t>
      </w:r>
      <w:r>
        <w:rPr>
          <w:rFonts w:ascii="宋体" w:hAnsi="宋体" w:cs="宋体"/>
          <w:kern w:val="0"/>
          <w:sz w:val="24"/>
        </w:rPr>
        <w:t>在参与投标前已</w:t>
      </w:r>
      <w:r>
        <w:rPr>
          <w:rFonts w:hint="eastAsia" w:ascii="宋体" w:hAnsi="宋体" w:cs="宋体"/>
          <w:kern w:val="0"/>
          <w:sz w:val="24"/>
        </w:rPr>
        <w:t>详细审查</w:t>
      </w:r>
      <w:r>
        <w:rPr>
          <w:rFonts w:ascii="宋体" w:hAnsi="宋体" w:cs="宋体"/>
          <w:kern w:val="0"/>
          <w:sz w:val="24"/>
        </w:rPr>
        <w:t>了招标文件和所有相关资料，我方完全明白并认为此招标文件没有倾向性，也没有存在排斥潜在投标人的内容，我方同意招标文件的相关条款，放弃对招标文件提出误解和质疑的一切权</w:t>
      </w:r>
      <w:r>
        <w:rPr>
          <w:rFonts w:hint="eastAsia" w:ascii="宋体" w:hAnsi="宋体" w:cs="宋体"/>
          <w:kern w:val="0"/>
          <w:sz w:val="24"/>
        </w:rPr>
        <w:t>利。</w:t>
      </w:r>
    </w:p>
    <w:p>
      <w:pPr>
        <w:numPr>
          <w:ilvl w:val="255"/>
          <w:numId w:val="0"/>
        </w:numPr>
        <w:snapToGrid w:val="0"/>
        <w:spacing w:line="360" w:lineRule="auto"/>
        <w:ind w:firstLine="480" w:firstLineChars="200"/>
        <w:rPr>
          <w:rFonts w:ascii="宋体" w:hAnsi="宋体"/>
          <w:sz w:val="24"/>
        </w:rPr>
      </w:pPr>
      <w:r>
        <w:rPr>
          <w:rFonts w:hint="eastAsia" w:ascii="宋体" w:hAnsi="宋体"/>
          <w:sz w:val="24"/>
        </w:rPr>
        <w:t>3、我</w:t>
      </w:r>
      <w:r>
        <w:rPr>
          <w:rFonts w:hint="eastAsia" w:ascii="宋体" w:hAnsi="宋体" w:cs="仿宋_GB2312"/>
          <w:kern w:val="0"/>
          <w:sz w:val="24"/>
          <w:lang w:val="zh-CN"/>
        </w:rPr>
        <w:t>公司</w:t>
      </w:r>
      <w:r>
        <w:rPr>
          <w:rFonts w:hint="eastAsia" w:ascii="宋体" w:hAnsi="宋体"/>
          <w:sz w:val="24"/>
        </w:rPr>
        <w:t>不是采购人的附属机构；在获知本项目采购信息后，与采购人聘请的为此项目提供咨询服务的公司及其附属机构没有任何联系。</w:t>
      </w:r>
    </w:p>
    <w:p>
      <w:pPr>
        <w:snapToGrid w:val="0"/>
        <w:spacing w:line="360" w:lineRule="auto"/>
        <w:ind w:firstLine="480" w:firstLineChars="200"/>
        <w:rPr>
          <w:rFonts w:ascii="宋体" w:hAnsi="宋体"/>
          <w:kern w:val="0"/>
          <w:sz w:val="24"/>
          <w:lang w:val="af-ZA"/>
        </w:rPr>
      </w:pPr>
      <w:r>
        <w:rPr>
          <w:rFonts w:hint="eastAsia" w:ascii="宋体" w:hAnsi="宋体"/>
          <w:sz w:val="24"/>
        </w:rPr>
        <w:t>4、</w:t>
      </w:r>
      <w:r>
        <w:rPr>
          <w:rFonts w:hint="eastAsia" w:ascii="宋体" w:hAnsi="宋体" w:cs="宋体"/>
          <w:kern w:val="0"/>
          <w:sz w:val="24"/>
        </w:rPr>
        <w:t>我</w:t>
      </w:r>
      <w:r>
        <w:rPr>
          <w:rFonts w:hint="eastAsia" w:ascii="宋体" w:hAnsi="宋体" w:cs="仿宋_GB2312"/>
          <w:kern w:val="0"/>
          <w:sz w:val="24"/>
          <w:lang w:val="zh-CN"/>
        </w:rPr>
        <w:t>公司</w:t>
      </w:r>
      <w:r>
        <w:rPr>
          <w:rFonts w:hint="eastAsia" w:ascii="宋体" w:hAnsi="宋体" w:cs="宋体"/>
          <w:kern w:val="0"/>
          <w:sz w:val="24"/>
        </w:rPr>
        <w:t>保证，</w:t>
      </w:r>
      <w:r>
        <w:rPr>
          <w:rFonts w:hint="eastAsia" w:ascii="宋体" w:hAnsi="宋体"/>
          <w:kern w:val="0"/>
          <w:sz w:val="24"/>
          <w:lang w:val="af-ZA"/>
        </w:rPr>
        <w:t>采购人在中华人民共和国境内使用</w:t>
      </w:r>
      <w:r>
        <w:rPr>
          <w:rFonts w:hint="eastAsia" w:ascii="宋体" w:hAnsi="宋体" w:cs="宋体"/>
          <w:kern w:val="0"/>
          <w:sz w:val="24"/>
        </w:rPr>
        <w:t>我</w:t>
      </w:r>
      <w:r>
        <w:rPr>
          <w:rFonts w:hint="eastAsia" w:ascii="宋体" w:hAnsi="宋体" w:cs="仿宋_GB2312"/>
          <w:kern w:val="0"/>
          <w:sz w:val="24"/>
          <w:lang w:val="zh-CN"/>
        </w:rPr>
        <w:t>公司</w:t>
      </w:r>
      <w:r>
        <w:rPr>
          <w:rFonts w:hint="eastAsia" w:ascii="宋体" w:hAnsi="宋体"/>
          <w:kern w:val="0"/>
          <w:sz w:val="24"/>
          <w:lang w:val="af-ZA"/>
        </w:rPr>
        <w:t>投标货物、资料、技术、服务或其任何一部分时，享有不受限制的无偿使用权，如有第三方向采购人提出侵犯其专利权、商标权或其它知识产权的主张，该责任由</w:t>
      </w:r>
      <w:r>
        <w:rPr>
          <w:rFonts w:hint="eastAsia" w:ascii="宋体" w:hAnsi="宋体" w:cs="宋体"/>
          <w:kern w:val="0"/>
          <w:sz w:val="24"/>
          <w:lang w:val="af-ZA"/>
        </w:rPr>
        <w:t>我方</w:t>
      </w:r>
      <w:r>
        <w:rPr>
          <w:rFonts w:hint="eastAsia" w:ascii="宋体" w:hAnsi="宋体"/>
          <w:kern w:val="0"/>
          <w:sz w:val="24"/>
          <w:lang w:val="af-ZA"/>
        </w:rPr>
        <w:t>承担。</w:t>
      </w:r>
      <w:r>
        <w:rPr>
          <w:rFonts w:hint="eastAsia" w:ascii="宋体" w:hAnsi="宋体" w:cs="宋体"/>
          <w:kern w:val="0"/>
          <w:sz w:val="24"/>
          <w:lang w:val="af-ZA"/>
        </w:rPr>
        <w:t>我方的</w:t>
      </w:r>
      <w:r>
        <w:rPr>
          <w:rFonts w:hint="eastAsia" w:ascii="宋体" w:hAnsi="宋体"/>
          <w:kern w:val="0"/>
          <w:sz w:val="24"/>
          <w:lang w:val="af-ZA"/>
        </w:rPr>
        <w:t>投标报价</w:t>
      </w:r>
      <w:r>
        <w:rPr>
          <w:rFonts w:hint="eastAsia" w:ascii="宋体" w:hAnsi="宋体" w:cs="宋体"/>
          <w:kern w:val="0"/>
          <w:sz w:val="24"/>
          <w:lang w:val="af-ZA"/>
        </w:rPr>
        <w:t>已</w:t>
      </w:r>
      <w:r>
        <w:rPr>
          <w:rFonts w:hint="eastAsia" w:ascii="宋体" w:hAnsi="宋体"/>
          <w:kern w:val="0"/>
          <w:sz w:val="24"/>
          <w:lang w:val="af-ZA"/>
        </w:rPr>
        <w:t>包含所有应向所有权人支付的专利权、商标权或其它知识产权的一切相关费用。</w:t>
      </w:r>
    </w:p>
    <w:p>
      <w:pPr>
        <w:snapToGrid w:val="0"/>
        <w:spacing w:line="360" w:lineRule="auto"/>
        <w:ind w:firstLine="480" w:firstLineChars="200"/>
        <w:rPr>
          <w:rFonts w:ascii="仿宋_GB2312" w:hAnsi="仿宋_GB2312" w:eastAsia="仿宋_GB2312" w:cs="仿宋_GB2312"/>
          <w:sz w:val="24"/>
        </w:rPr>
      </w:pPr>
      <w:r>
        <w:rPr>
          <w:rFonts w:hint="eastAsia" w:ascii="宋体" w:hAnsi="宋体" w:cs="宋体"/>
          <w:kern w:val="0"/>
          <w:sz w:val="24"/>
          <w:lang w:val="af-ZA"/>
        </w:rPr>
        <w:t>5、我</w:t>
      </w:r>
      <w:r>
        <w:rPr>
          <w:rFonts w:hint="eastAsia" w:ascii="宋体" w:hAnsi="宋体" w:cs="宋体"/>
          <w:kern w:val="0"/>
          <w:sz w:val="24"/>
          <w:lang w:val="zh-CN"/>
        </w:rPr>
        <w:t>公司</w:t>
      </w:r>
      <w:r>
        <w:rPr>
          <w:rFonts w:hint="eastAsia" w:ascii="宋体" w:hAnsi="宋体" w:cs="宋体"/>
          <w:kern w:val="0"/>
          <w:sz w:val="24"/>
          <w:lang w:val="af-ZA"/>
        </w:rPr>
        <w:t>严格履行政府采购合同，不降低合同约定的产品质量和服务，不擅自变更、中止、终止合同，或拒绝履行合同义务；</w:t>
      </w:r>
    </w:p>
    <w:p>
      <w:pPr>
        <w:snapToGrid w:val="0"/>
        <w:spacing w:line="360" w:lineRule="auto"/>
        <w:ind w:firstLine="480" w:firstLineChars="200"/>
        <w:rPr>
          <w:rFonts w:ascii="宋体" w:hAnsi="宋体"/>
          <w:sz w:val="24"/>
        </w:rPr>
      </w:pPr>
      <w:r>
        <w:rPr>
          <w:rFonts w:hint="eastAsia" w:ascii="宋体" w:hAnsi="宋体"/>
          <w:sz w:val="24"/>
        </w:rPr>
        <w:t>6、以上事项如有虚假或隐瞒，我</w:t>
      </w:r>
      <w:r>
        <w:rPr>
          <w:rFonts w:hint="eastAsia" w:ascii="宋体" w:hAnsi="宋体" w:cs="仿宋_GB2312"/>
          <w:kern w:val="0"/>
          <w:sz w:val="24"/>
          <w:lang w:val="zh-CN"/>
        </w:rPr>
        <w:t>公司</w:t>
      </w:r>
      <w:r>
        <w:rPr>
          <w:rFonts w:hint="eastAsia" w:ascii="宋体" w:hAnsi="宋体"/>
          <w:sz w:val="24"/>
        </w:rPr>
        <w:t>愿意承担一切后果，并不再寻求任何旨在减轻或免除法律责任的辩解。</w:t>
      </w:r>
    </w:p>
    <w:p>
      <w:pPr>
        <w:adjustRightInd w:val="0"/>
        <w:snapToGrid w:val="0"/>
        <w:spacing w:line="360" w:lineRule="auto"/>
        <w:ind w:firstLine="480"/>
        <w:rPr>
          <w:rFonts w:ascii="宋体" w:hAnsi="宋体" w:cs="仿宋_GB2312"/>
          <w:kern w:val="0"/>
          <w:sz w:val="24"/>
        </w:rPr>
      </w:pPr>
    </w:p>
    <w:p>
      <w:pPr>
        <w:adjustRightInd w:val="0"/>
        <w:snapToGrid w:val="0"/>
        <w:spacing w:line="360" w:lineRule="auto"/>
        <w:ind w:firstLine="4680" w:firstLineChars="1950"/>
        <w:rPr>
          <w:rFonts w:ascii="宋体" w:hAnsi="宋体" w:cs="仿宋_GB2312"/>
          <w:kern w:val="0"/>
          <w:sz w:val="24"/>
          <w:lang w:val="zh-CN"/>
        </w:rPr>
      </w:pPr>
      <w:r>
        <w:rPr>
          <w:rFonts w:hint="eastAsia" w:ascii="宋体" w:hAnsi="宋体" w:cs="仿宋_GB2312"/>
          <w:kern w:val="0"/>
          <w:sz w:val="24"/>
          <w:lang w:val="zh-CN"/>
        </w:rPr>
        <w:t xml:space="preserve">    投标人名称(公章)：</w:t>
      </w:r>
    </w:p>
    <w:p>
      <w:pPr>
        <w:adjustRightInd w:val="0"/>
        <w:snapToGrid w:val="0"/>
        <w:spacing w:line="360" w:lineRule="auto"/>
        <w:rPr>
          <w:rFonts w:ascii="宋体" w:hAnsi="宋体" w:cs="仿宋_GB2312"/>
          <w:kern w:val="0"/>
          <w:sz w:val="24"/>
          <w:lang w:val="zh-CN"/>
        </w:rPr>
      </w:pPr>
      <w:r>
        <w:rPr>
          <w:rFonts w:hint="eastAsia" w:ascii="宋体" w:hAnsi="宋体" w:cs="仿宋_GB2312"/>
          <w:kern w:val="0"/>
          <w:sz w:val="24"/>
          <w:lang w:val="zh-CN"/>
        </w:rPr>
        <w:t xml:space="preserve">                                       法定代表人或授权委托人(签字)：</w:t>
      </w:r>
    </w:p>
    <w:p>
      <w:pPr>
        <w:adjustRightInd w:val="0"/>
        <w:snapToGrid w:val="0"/>
        <w:spacing w:line="360" w:lineRule="auto"/>
        <w:ind w:right="480"/>
        <w:jc w:val="center"/>
        <w:rPr>
          <w:rFonts w:ascii="宋体" w:hAnsi="宋体" w:cs="仿宋_GB2312"/>
          <w:kern w:val="0"/>
          <w:sz w:val="24"/>
          <w:lang w:val="zh-CN"/>
        </w:rPr>
      </w:pPr>
      <w:r>
        <w:rPr>
          <w:rFonts w:hint="eastAsia" w:ascii="宋体" w:hAnsi="宋体" w:cs="仿宋_GB2312"/>
          <w:kern w:val="0"/>
          <w:sz w:val="24"/>
          <w:lang w:val="zh-CN"/>
        </w:rPr>
        <w:t xml:space="preserve">                                       日期：</w:t>
      </w:r>
      <w:r>
        <w:rPr>
          <w:rFonts w:hint="eastAsia" w:ascii="宋体" w:hAnsi="宋体" w:cstheme="minorBidi"/>
          <w:sz w:val="24"/>
        </w:rPr>
        <w:t xml:space="preserve">   </w:t>
      </w:r>
      <w:r>
        <w:rPr>
          <w:rFonts w:hint="eastAsia" w:ascii="宋体" w:hAnsi="宋体" w:cs="仿宋_GB2312"/>
          <w:kern w:val="0"/>
          <w:sz w:val="24"/>
          <w:lang w:val="zh-CN"/>
        </w:rPr>
        <w:t xml:space="preserve">年 </w:t>
      </w:r>
      <w:r>
        <w:rPr>
          <w:rFonts w:hint="eastAsia" w:ascii="宋体" w:hAnsi="宋体" w:cstheme="minorBidi"/>
          <w:sz w:val="24"/>
        </w:rPr>
        <w:t xml:space="preserve">  </w:t>
      </w:r>
      <w:r>
        <w:rPr>
          <w:rFonts w:hint="eastAsia" w:ascii="宋体" w:hAnsi="宋体" w:cs="仿宋_GB2312"/>
          <w:kern w:val="0"/>
          <w:sz w:val="24"/>
          <w:lang w:val="zh-CN"/>
        </w:rPr>
        <w:t xml:space="preserve"> 月 </w:t>
      </w:r>
      <w:r>
        <w:rPr>
          <w:rFonts w:hint="eastAsia" w:ascii="宋体" w:hAnsi="宋体" w:cstheme="minorBidi"/>
          <w:sz w:val="24"/>
        </w:rPr>
        <w:t xml:space="preserve">   </w:t>
      </w:r>
      <w:r>
        <w:rPr>
          <w:rFonts w:hint="eastAsia" w:ascii="宋体" w:hAnsi="宋体" w:cs="仿宋_GB2312"/>
          <w:kern w:val="0"/>
          <w:sz w:val="24"/>
          <w:lang w:val="zh-CN"/>
        </w:rPr>
        <w:t xml:space="preserve"> 日</w:t>
      </w:r>
    </w:p>
    <w:p>
      <w:pPr>
        <w:adjustRightInd w:val="0"/>
        <w:snapToGrid w:val="0"/>
        <w:spacing w:line="360" w:lineRule="auto"/>
        <w:ind w:right="480"/>
        <w:rPr>
          <w:rFonts w:ascii="宋体" w:hAnsi="宋体"/>
          <w:b/>
          <w:sz w:val="28"/>
        </w:rPr>
      </w:pPr>
    </w:p>
    <w:p>
      <w:pPr>
        <w:adjustRightInd w:val="0"/>
        <w:snapToGrid w:val="0"/>
        <w:spacing w:line="360" w:lineRule="auto"/>
        <w:ind w:right="480"/>
        <w:rPr>
          <w:rFonts w:ascii="宋体" w:hAnsi="宋体"/>
          <w:b/>
          <w:sz w:val="28"/>
        </w:rPr>
      </w:pPr>
    </w:p>
    <w:p>
      <w:pPr>
        <w:adjustRightInd w:val="0"/>
        <w:snapToGrid w:val="0"/>
        <w:spacing w:line="360" w:lineRule="auto"/>
        <w:ind w:right="480"/>
        <w:rPr>
          <w:rFonts w:ascii="宋体"/>
          <w:b/>
          <w:sz w:val="30"/>
          <w:szCs w:val="30"/>
        </w:rPr>
      </w:pPr>
      <w:r>
        <w:rPr>
          <w:rFonts w:hint="eastAsia" w:ascii="宋体" w:hAnsi="宋体"/>
          <w:b/>
          <w:sz w:val="28"/>
        </w:rPr>
        <w:t>附件3</w:t>
      </w:r>
    </w:p>
    <w:p>
      <w:pPr>
        <w:spacing w:line="360" w:lineRule="auto"/>
        <w:ind w:firstLine="321" w:firstLineChars="100"/>
        <w:jc w:val="center"/>
        <w:rPr>
          <w:rFonts w:hAnsi="宋体"/>
          <w:b/>
          <w:sz w:val="32"/>
          <w:szCs w:val="32"/>
          <w:u w:val="single"/>
        </w:rPr>
      </w:pPr>
      <w:r>
        <w:rPr>
          <w:b/>
          <w:sz w:val="32"/>
          <w:szCs w:val="32"/>
        </w:rPr>
        <w:t>授权</w:t>
      </w:r>
      <w:r>
        <w:rPr>
          <w:rFonts w:hint="eastAsia"/>
          <w:b/>
          <w:sz w:val="32"/>
          <w:szCs w:val="32"/>
        </w:rPr>
        <w:t>委托</w:t>
      </w:r>
      <w:r>
        <w:rPr>
          <w:b/>
          <w:sz w:val="32"/>
          <w:szCs w:val="32"/>
        </w:rPr>
        <w:t>书</w:t>
      </w:r>
    </w:p>
    <w:p>
      <w:pPr>
        <w:snapToGrid w:val="0"/>
        <w:spacing w:line="360" w:lineRule="auto"/>
        <w:ind w:firstLine="480" w:firstLineChars="200"/>
        <w:rPr>
          <w:rFonts w:ascii="宋体" w:hAnsi="宋体" w:cs="宋体"/>
          <w:kern w:val="0"/>
          <w:sz w:val="24"/>
        </w:rPr>
      </w:pPr>
      <w:r>
        <w:rPr>
          <w:rFonts w:hint="eastAsia" w:ascii="宋体" w:hAnsi="宋体" w:cstheme="minorBidi"/>
          <w:sz w:val="24"/>
          <w:u w:val="single"/>
        </w:rPr>
        <w:t xml:space="preserve">               </w:t>
      </w:r>
      <w:r>
        <w:rPr>
          <w:rFonts w:hint="eastAsia" w:ascii="宋体" w:hAnsi="宋体" w:cs="宋体"/>
          <w:kern w:val="0"/>
          <w:sz w:val="24"/>
        </w:rPr>
        <w:t>（采购代理机构名称）：</w:t>
      </w:r>
    </w:p>
    <w:p>
      <w:pPr>
        <w:pStyle w:val="11"/>
        <w:spacing w:line="500" w:lineRule="exact"/>
        <w:ind w:left="240" w:hanging="240" w:hangingChars="100"/>
        <w:rPr>
          <w:rFonts w:hAnsi="宋体"/>
          <w:sz w:val="24"/>
        </w:rPr>
      </w:pPr>
      <w:r>
        <w:rPr>
          <w:rFonts w:hAnsi="宋体"/>
          <w:sz w:val="24"/>
          <w:u w:val="single"/>
        </w:rPr>
        <w:t xml:space="preserve">  （投标人全称）  </w:t>
      </w:r>
      <w:r>
        <w:rPr>
          <w:rFonts w:hAnsi="宋体"/>
          <w:sz w:val="24"/>
        </w:rPr>
        <w:t>法定代表人</w:t>
      </w:r>
      <w:r>
        <w:rPr>
          <w:rFonts w:hint="eastAsia" w:ascii="Arial" w:hAnsi="Arial" w:cs="Arial"/>
          <w:sz w:val="24"/>
        </w:rPr>
        <w:t>（或营业执照中单位负责人）</w:t>
      </w:r>
      <w:r>
        <w:rPr>
          <w:rFonts w:hAnsi="宋体"/>
          <w:sz w:val="24"/>
          <w:u w:val="single"/>
        </w:rPr>
        <w:tab/>
      </w:r>
      <w:r>
        <w:rPr>
          <w:rFonts w:hAnsi="宋体"/>
          <w:sz w:val="24"/>
          <w:u w:val="single"/>
        </w:rPr>
        <w:t>（法定代表</w:t>
      </w:r>
      <w:r>
        <w:rPr>
          <w:rFonts w:hint="eastAsia" w:hAnsi="宋体"/>
          <w:sz w:val="24"/>
          <w:u w:val="single"/>
        </w:rPr>
        <w:t>人</w:t>
      </w:r>
      <w:r>
        <w:rPr>
          <w:rFonts w:hint="eastAsia" w:ascii="Arial" w:hAnsi="Arial" w:cs="Arial"/>
          <w:sz w:val="24"/>
          <w:u w:val="single"/>
        </w:rPr>
        <w:t>或营业执照中单位负责人</w:t>
      </w:r>
      <w:r>
        <w:rPr>
          <w:rFonts w:hAnsi="宋体"/>
          <w:sz w:val="24"/>
          <w:u w:val="single"/>
        </w:rPr>
        <w:t xml:space="preserve">姓名） </w:t>
      </w:r>
      <w:r>
        <w:rPr>
          <w:rFonts w:hAnsi="宋体"/>
          <w:sz w:val="24"/>
        </w:rPr>
        <w:t>授权</w:t>
      </w:r>
      <w:r>
        <w:rPr>
          <w:rFonts w:hint="eastAsia" w:hAnsi="宋体"/>
          <w:sz w:val="24"/>
          <w:u w:val="single"/>
        </w:rPr>
        <w:t xml:space="preserve">   （全权代表</w:t>
      </w:r>
      <w:r>
        <w:rPr>
          <w:rFonts w:hAnsi="宋体"/>
          <w:sz w:val="24"/>
          <w:u w:val="single"/>
        </w:rPr>
        <w:t>姓名</w:t>
      </w:r>
      <w:r>
        <w:rPr>
          <w:rFonts w:hint="eastAsia" w:hAnsi="宋体"/>
          <w:sz w:val="24"/>
          <w:u w:val="single"/>
        </w:rPr>
        <w:t xml:space="preserve">） </w:t>
      </w:r>
      <w:r>
        <w:rPr>
          <w:rFonts w:hAnsi="宋体"/>
          <w:sz w:val="24"/>
        </w:rPr>
        <w:t>为</w:t>
      </w:r>
      <w:r>
        <w:rPr>
          <w:rFonts w:hint="eastAsia" w:hAnsi="宋体"/>
          <w:sz w:val="24"/>
        </w:rPr>
        <w:t>全权代表</w:t>
      </w:r>
      <w:r>
        <w:rPr>
          <w:rFonts w:hAnsi="宋体"/>
          <w:sz w:val="24"/>
        </w:rPr>
        <w:t>，参加贵单位组织的</w:t>
      </w:r>
      <w:r>
        <w:rPr>
          <w:rFonts w:hAnsi="宋体"/>
          <w:sz w:val="24"/>
          <w:u w:val="single"/>
        </w:rPr>
        <w:tab/>
      </w:r>
      <w:r>
        <w:rPr>
          <w:rFonts w:hAnsi="宋体"/>
          <w:sz w:val="24"/>
        </w:rPr>
        <w:t>项目的采购活动，并代表我方全权办理针对上述项目的投标、开标、评标、签约等具体事务和签署相关文件。</w:t>
      </w:r>
      <w:r>
        <w:rPr>
          <w:rFonts w:hint="eastAsia" w:hAnsi="宋体"/>
          <w:sz w:val="24"/>
        </w:rPr>
        <w:t>我方对全权代表的签字事项负全部责任。</w:t>
      </w:r>
    </w:p>
    <w:p>
      <w:pPr>
        <w:pStyle w:val="11"/>
        <w:spacing w:line="500" w:lineRule="exact"/>
        <w:ind w:left="139" w:leftChars="66" w:firstLine="480" w:firstLineChars="200"/>
        <w:rPr>
          <w:rFonts w:hAnsi="宋体"/>
          <w:sz w:val="24"/>
        </w:rPr>
      </w:pPr>
      <w:r>
        <w:rPr>
          <w:rFonts w:hint="eastAsia" w:hAnsi="宋体"/>
          <w:sz w:val="24"/>
        </w:rPr>
        <w:t>在撤销授权的书面通知以前，本授权书一直有效。全权代表在授权委托书有效期内签署的所有文件不因授权的撤销而失效。</w:t>
      </w:r>
    </w:p>
    <w:p>
      <w:pPr>
        <w:pStyle w:val="11"/>
        <w:spacing w:line="500" w:lineRule="exact"/>
        <w:ind w:left="139" w:leftChars="66" w:firstLine="480" w:firstLineChars="200"/>
        <w:rPr>
          <w:rFonts w:hAnsi="宋体"/>
          <w:sz w:val="24"/>
        </w:rPr>
      </w:pPr>
      <w:r>
        <w:rPr>
          <w:rFonts w:hint="eastAsia" w:hAnsi="宋体"/>
          <w:sz w:val="24"/>
        </w:rPr>
        <w:t>全权代表无转委托权，特此委托。</w:t>
      </w:r>
    </w:p>
    <w:p>
      <w:pPr>
        <w:spacing w:line="360" w:lineRule="auto"/>
        <w:rPr>
          <w:sz w:val="24"/>
        </w:rPr>
      </w:pPr>
    </w:p>
    <w:p>
      <w:pPr>
        <w:spacing w:line="360" w:lineRule="auto"/>
        <w:rPr>
          <w:sz w:val="24"/>
        </w:rPr>
      </w:pPr>
      <w:r>
        <w:rPr>
          <w:rFonts w:hint="eastAsia" w:ascii="宋体"/>
          <w:sz w:val="24"/>
        </w:rPr>
        <w:t>法定代表人签字或盖章：</w:t>
      </w:r>
    </w:p>
    <w:p>
      <w:pPr>
        <w:spacing w:line="360" w:lineRule="auto"/>
        <w:rPr>
          <w:sz w:val="24"/>
        </w:rPr>
      </w:pPr>
      <w:r>
        <w:rPr>
          <w:rFonts w:hint="eastAsia" w:ascii="宋体"/>
          <w:sz w:val="24"/>
        </w:rPr>
        <w:t>投标人全称（公章）：                              日期：</w:t>
      </w:r>
    </w:p>
    <w:p>
      <w:pPr>
        <w:spacing w:line="360" w:lineRule="auto"/>
        <w:rPr>
          <w:sz w:val="24"/>
        </w:rPr>
      </w:pPr>
    </w:p>
    <w:p>
      <w:pPr>
        <w:spacing w:line="360" w:lineRule="auto"/>
        <w:rPr>
          <w:b/>
          <w:sz w:val="24"/>
        </w:rPr>
      </w:pPr>
      <w:r>
        <w:rPr>
          <w:rFonts w:hint="eastAsia" w:ascii="宋体"/>
          <w:b/>
          <w:sz w:val="24"/>
        </w:rPr>
        <w:t>附：</w:t>
      </w:r>
    </w:p>
    <w:tbl>
      <w:tblPr>
        <w:tblStyle w:val="20"/>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0" w:hRule="atLeast"/>
        </w:trPr>
        <w:tc>
          <w:tcPr>
            <w:tcW w:w="4080" w:type="dxa"/>
          </w:tcPr>
          <w:p>
            <w:pPr>
              <w:spacing w:line="360" w:lineRule="auto"/>
              <w:rPr>
                <w:rFonts w:ascii="宋体"/>
                <w:b/>
                <w:sz w:val="24"/>
              </w:rPr>
            </w:pPr>
          </w:p>
          <w:p>
            <w:pPr>
              <w:spacing w:line="360" w:lineRule="auto"/>
              <w:ind w:firstLine="361" w:firstLineChars="150"/>
              <w:rPr>
                <w:rFonts w:ascii="宋体"/>
                <w:b/>
                <w:sz w:val="24"/>
              </w:rPr>
            </w:pPr>
            <w:r>
              <w:rPr>
                <w:rFonts w:hint="eastAsia" w:ascii="宋体"/>
                <w:b/>
                <w:sz w:val="24"/>
              </w:rPr>
              <w:t>法定代表身份证复印件粘帖处</w:t>
            </w:r>
          </w:p>
        </w:tc>
      </w:tr>
    </w:tbl>
    <w:p>
      <w:pPr>
        <w:spacing w:line="360" w:lineRule="auto"/>
        <w:rPr>
          <w:sz w:val="24"/>
        </w:rPr>
      </w:pPr>
      <w:r>
        <w:rPr>
          <w:rFonts w:hint="eastAsia" w:ascii="宋体"/>
          <w:sz w:val="24"/>
        </w:rPr>
        <w:t xml:space="preserve">法定代表人姓名：                                 </w:t>
      </w:r>
    </w:p>
    <w:p>
      <w:pPr>
        <w:spacing w:line="360" w:lineRule="auto"/>
        <w:rPr>
          <w:sz w:val="24"/>
        </w:rPr>
      </w:pPr>
      <w:r>
        <w:rPr>
          <w:rFonts w:hint="eastAsia" w:ascii="宋体"/>
          <w:sz w:val="24"/>
        </w:rPr>
        <w:t>传真：</w:t>
      </w:r>
    </w:p>
    <w:p>
      <w:pPr>
        <w:spacing w:line="360" w:lineRule="auto"/>
        <w:rPr>
          <w:rFonts w:ascii="宋体"/>
          <w:sz w:val="24"/>
        </w:rPr>
      </w:pPr>
      <w:r>
        <w:rPr>
          <w:rFonts w:hint="eastAsia" w:ascii="宋体"/>
          <w:sz w:val="24"/>
        </w:rPr>
        <w:t>电话：</w:t>
      </w:r>
    </w:p>
    <w:p>
      <w:pPr>
        <w:spacing w:line="360" w:lineRule="auto"/>
        <w:rPr>
          <w:sz w:val="24"/>
        </w:rPr>
      </w:pPr>
      <w:r>
        <w:rPr>
          <w:rFonts w:hint="eastAsia" w:ascii="宋体"/>
          <w:sz w:val="24"/>
        </w:rPr>
        <w:t>详细通讯地址：</w:t>
      </w:r>
    </w:p>
    <w:p>
      <w:pPr>
        <w:spacing w:line="360" w:lineRule="auto"/>
        <w:rPr>
          <w:rFonts w:ascii="宋体"/>
          <w:sz w:val="24"/>
        </w:rPr>
      </w:pPr>
      <w:r>
        <w:rPr>
          <w:rFonts w:hint="eastAsia" w:ascii="宋体"/>
          <w:sz w:val="24"/>
        </w:rPr>
        <w:t>邮政编码：</w:t>
      </w:r>
    </w:p>
    <w:p>
      <w:pPr>
        <w:spacing w:line="360" w:lineRule="auto"/>
        <w:rPr>
          <w:b/>
          <w:sz w:val="24"/>
        </w:rPr>
      </w:pPr>
    </w:p>
    <w:tbl>
      <w:tblPr>
        <w:tblStyle w:val="20"/>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0" w:hRule="atLeast"/>
        </w:trPr>
        <w:tc>
          <w:tcPr>
            <w:tcW w:w="4080" w:type="dxa"/>
          </w:tcPr>
          <w:p>
            <w:pPr>
              <w:spacing w:line="360" w:lineRule="auto"/>
              <w:rPr>
                <w:rFonts w:ascii="宋体"/>
                <w:b/>
                <w:sz w:val="24"/>
              </w:rPr>
            </w:pPr>
          </w:p>
          <w:p>
            <w:pPr>
              <w:spacing w:line="360" w:lineRule="auto"/>
              <w:ind w:firstLine="361" w:firstLineChars="150"/>
              <w:rPr>
                <w:rFonts w:ascii="宋体"/>
                <w:b/>
                <w:sz w:val="24"/>
              </w:rPr>
            </w:pPr>
            <w:r>
              <w:rPr>
                <w:rFonts w:hint="eastAsia" w:ascii="宋体"/>
                <w:b/>
                <w:sz w:val="24"/>
              </w:rPr>
              <w:t>全权代表身份证复印件粘帖处</w:t>
            </w:r>
          </w:p>
        </w:tc>
      </w:tr>
    </w:tbl>
    <w:p>
      <w:pPr>
        <w:spacing w:line="360" w:lineRule="auto"/>
        <w:rPr>
          <w:rFonts w:ascii="宋体"/>
          <w:sz w:val="24"/>
        </w:rPr>
      </w:pPr>
      <w:r>
        <w:rPr>
          <w:rFonts w:hint="eastAsia" w:ascii="宋体"/>
          <w:sz w:val="24"/>
        </w:rPr>
        <w:t xml:space="preserve">全权代表姓名：       </w:t>
      </w:r>
    </w:p>
    <w:p>
      <w:pPr>
        <w:spacing w:line="360" w:lineRule="auto"/>
        <w:rPr>
          <w:sz w:val="24"/>
        </w:rPr>
      </w:pPr>
      <w:r>
        <w:rPr>
          <w:rFonts w:hint="eastAsia" w:ascii="宋体"/>
          <w:sz w:val="24"/>
        </w:rPr>
        <w:t xml:space="preserve">职务：                           </w:t>
      </w:r>
    </w:p>
    <w:p>
      <w:pPr>
        <w:spacing w:line="360" w:lineRule="auto"/>
        <w:rPr>
          <w:sz w:val="24"/>
        </w:rPr>
      </w:pPr>
      <w:r>
        <w:rPr>
          <w:rFonts w:hint="eastAsia" w:ascii="宋体"/>
          <w:sz w:val="24"/>
        </w:rPr>
        <w:t>传真：</w:t>
      </w:r>
    </w:p>
    <w:p>
      <w:pPr>
        <w:spacing w:line="360" w:lineRule="auto"/>
        <w:rPr>
          <w:rFonts w:ascii="宋体"/>
          <w:sz w:val="24"/>
        </w:rPr>
      </w:pPr>
      <w:r>
        <w:rPr>
          <w:rFonts w:hint="eastAsia" w:ascii="宋体"/>
          <w:sz w:val="24"/>
        </w:rPr>
        <w:t>电话：</w:t>
      </w:r>
    </w:p>
    <w:p>
      <w:pPr>
        <w:spacing w:line="360" w:lineRule="auto"/>
        <w:rPr>
          <w:sz w:val="24"/>
        </w:rPr>
      </w:pPr>
      <w:r>
        <w:rPr>
          <w:rFonts w:hint="eastAsia" w:ascii="宋体"/>
          <w:sz w:val="24"/>
        </w:rPr>
        <w:t>详细通讯地址：</w:t>
      </w:r>
    </w:p>
    <w:p>
      <w:pPr>
        <w:spacing w:line="360" w:lineRule="auto"/>
        <w:rPr>
          <w:rFonts w:ascii="宋体" w:hAnsi="宋体"/>
          <w:b/>
          <w:sz w:val="28"/>
        </w:rPr>
      </w:pPr>
      <w:r>
        <w:rPr>
          <w:rFonts w:hint="eastAsia" w:ascii="宋体"/>
          <w:sz w:val="24"/>
        </w:rPr>
        <w:t>邮政编码：</w:t>
      </w:r>
    </w:p>
    <w:p>
      <w:pPr>
        <w:snapToGrid w:val="0"/>
        <w:spacing w:before="156" w:beforeLines="50" w:after="50" w:line="360" w:lineRule="auto"/>
        <w:rPr>
          <w:rFonts w:hint="eastAsia" w:ascii="宋体" w:hAnsi="宋体"/>
          <w:b/>
          <w:sz w:val="28"/>
        </w:rPr>
      </w:pPr>
    </w:p>
    <w:p>
      <w:pPr>
        <w:snapToGrid w:val="0"/>
        <w:spacing w:before="156" w:beforeLines="50" w:after="50" w:line="360" w:lineRule="auto"/>
        <w:rPr>
          <w:rFonts w:ascii="仿宋_GB2312" w:hAnsi="宋体" w:eastAsia="仿宋_GB2312"/>
          <w:b/>
          <w:sz w:val="30"/>
          <w:szCs w:val="30"/>
        </w:rPr>
      </w:pPr>
      <w:r>
        <w:rPr>
          <w:rFonts w:hint="eastAsia" w:ascii="宋体" w:hAnsi="宋体"/>
          <w:b/>
          <w:sz w:val="28"/>
        </w:rPr>
        <w:t>附件4：</w:t>
      </w:r>
    </w:p>
    <w:p>
      <w:pPr>
        <w:snapToGrid w:val="0"/>
        <w:spacing w:before="156" w:beforeLines="50" w:after="50" w:line="360" w:lineRule="auto"/>
        <w:jc w:val="right"/>
        <w:rPr>
          <w:rFonts w:ascii="仿宋_GB2312" w:hAnsi="宋体" w:eastAsia="仿宋_GB2312"/>
          <w:bCs/>
          <w:sz w:val="30"/>
          <w:szCs w:val="30"/>
        </w:rPr>
      </w:pPr>
    </w:p>
    <w:p>
      <w:pPr>
        <w:spacing w:line="360" w:lineRule="auto"/>
        <w:ind w:right="-110"/>
        <w:jc w:val="center"/>
        <w:rPr>
          <w:rFonts w:ascii="宋体" w:hAnsi="宋体"/>
          <w:spacing w:val="40"/>
          <w:sz w:val="52"/>
          <w:szCs w:val="52"/>
        </w:rPr>
      </w:pPr>
      <w:r>
        <w:rPr>
          <w:rFonts w:hint="eastAsia" w:ascii="宋体" w:hAnsi="宋体"/>
          <w:spacing w:val="40"/>
          <w:sz w:val="52"/>
          <w:szCs w:val="52"/>
        </w:rPr>
        <w:t>项目名称</w:t>
      </w:r>
    </w:p>
    <w:p>
      <w:pPr>
        <w:spacing w:before="312" w:beforeLines="100" w:line="360" w:lineRule="auto"/>
        <w:ind w:right="-108"/>
        <w:jc w:val="center"/>
        <w:rPr>
          <w:rFonts w:ascii="宋体" w:hAnsi="宋体" w:cs="宋体"/>
          <w:sz w:val="84"/>
          <w:szCs w:val="84"/>
          <w:lang w:val="zh-CN"/>
        </w:rPr>
      </w:pPr>
      <w:r>
        <w:rPr>
          <w:rFonts w:hint="eastAsia" w:ascii="宋体" w:hAnsi="宋体"/>
          <w:sz w:val="36"/>
          <w:szCs w:val="36"/>
        </w:rPr>
        <w:t>项目编号：</w:t>
      </w:r>
      <w:r>
        <w:rPr>
          <w:rFonts w:ascii="宋体" w:hAnsi="宋体"/>
          <w:sz w:val="36"/>
          <w:szCs w:val="36"/>
        </w:rPr>
        <w:t xml:space="preserve"> </w:t>
      </w:r>
    </w:p>
    <w:p>
      <w:pPr>
        <w:autoSpaceDE w:val="0"/>
        <w:autoSpaceDN w:val="0"/>
        <w:adjustRightInd w:val="0"/>
        <w:spacing w:line="360" w:lineRule="auto"/>
        <w:jc w:val="center"/>
        <w:rPr>
          <w:rFonts w:ascii="宋体" w:hAnsi="宋体" w:cs="宋体"/>
          <w:sz w:val="84"/>
          <w:szCs w:val="84"/>
          <w:lang w:val="zh-CN"/>
        </w:rPr>
      </w:pPr>
      <w:r>
        <w:rPr>
          <w:rFonts w:hint="eastAsia" w:ascii="宋体" w:hAnsi="宋体" w:cs="宋体"/>
          <w:sz w:val="84"/>
          <w:szCs w:val="84"/>
          <w:lang w:val="zh-CN"/>
        </w:rPr>
        <w:t>投</w:t>
      </w:r>
    </w:p>
    <w:p>
      <w:pPr>
        <w:autoSpaceDE w:val="0"/>
        <w:autoSpaceDN w:val="0"/>
        <w:adjustRightInd w:val="0"/>
        <w:spacing w:line="360" w:lineRule="auto"/>
        <w:jc w:val="center"/>
        <w:rPr>
          <w:rFonts w:ascii="宋体" w:hAnsi="宋体" w:cs="宋体"/>
          <w:sz w:val="84"/>
          <w:szCs w:val="84"/>
          <w:lang w:val="zh-CN"/>
        </w:rPr>
      </w:pPr>
      <w:r>
        <w:rPr>
          <w:rFonts w:hint="eastAsia" w:ascii="宋体" w:hAnsi="宋体" w:cs="宋体"/>
          <w:sz w:val="84"/>
          <w:szCs w:val="84"/>
          <w:lang w:val="zh-CN"/>
        </w:rPr>
        <w:t>标</w:t>
      </w:r>
    </w:p>
    <w:p>
      <w:pPr>
        <w:autoSpaceDE w:val="0"/>
        <w:autoSpaceDN w:val="0"/>
        <w:adjustRightInd w:val="0"/>
        <w:spacing w:line="360" w:lineRule="auto"/>
        <w:jc w:val="center"/>
        <w:rPr>
          <w:rFonts w:ascii="宋体" w:hAnsi="宋体"/>
          <w:sz w:val="84"/>
          <w:szCs w:val="84"/>
        </w:rPr>
      </w:pPr>
      <w:r>
        <w:rPr>
          <w:rFonts w:hint="eastAsia" w:ascii="宋体" w:hAnsi="宋体" w:cs="宋体"/>
          <w:sz w:val="84"/>
          <w:szCs w:val="84"/>
          <w:lang w:val="zh-CN"/>
        </w:rPr>
        <w:t>文</w:t>
      </w:r>
    </w:p>
    <w:p>
      <w:pPr>
        <w:spacing w:after="100" w:afterAutospacing="1" w:line="360" w:lineRule="auto"/>
        <w:ind w:right="-108"/>
        <w:jc w:val="center"/>
        <w:rPr>
          <w:rFonts w:ascii="宋体" w:hAnsi="宋体" w:cs="宋体"/>
          <w:sz w:val="84"/>
          <w:szCs w:val="84"/>
          <w:lang w:val="zh-CN"/>
        </w:rPr>
      </w:pPr>
      <w:r>
        <w:rPr>
          <w:rFonts w:hint="eastAsia" w:ascii="宋体" w:hAnsi="宋体" w:cs="宋体"/>
          <w:sz w:val="84"/>
          <w:szCs w:val="84"/>
          <w:lang w:val="zh-CN"/>
        </w:rPr>
        <w:t>件</w:t>
      </w:r>
    </w:p>
    <w:p>
      <w:pPr>
        <w:spacing w:after="100" w:afterAutospacing="1" w:line="360" w:lineRule="auto"/>
        <w:ind w:right="-108"/>
        <w:jc w:val="center"/>
        <w:rPr>
          <w:rFonts w:ascii="宋体" w:hAnsi="宋体"/>
          <w:b/>
          <w:spacing w:val="40"/>
          <w:sz w:val="28"/>
          <w:szCs w:val="28"/>
        </w:rPr>
      </w:pPr>
      <w:r>
        <w:rPr>
          <w:rFonts w:hint="eastAsia" w:ascii="宋体" w:hAnsi="宋体" w:cs="宋体"/>
          <w:sz w:val="28"/>
          <w:szCs w:val="28"/>
          <w:lang w:val="zh-CN"/>
        </w:rPr>
        <w:t>（</w:t>
      </w:r>
      <w:r>
        <w:rPr>
          <w:rFonts w:hint="eastAsia" w:ascii="宋体" w:hAnsi="宋体"/>
          <w:bCs/>
          <w:sz w:val="24"/>
          <w:lang w:val="zh-CN"/>
        </w:rPr>
        <w:t>商务与技术文件</w:t>
      </w:r>
      <w:r>
        <w:rPr>
          <w:rFonts w:hint="eastAsia" w:ascii="宋体" w:hAnsi="宋体"/>
          <w:b/>
          <w:spacing w:val="40"/>
          <w:sz w:val="28"/>
          <w:szCs w:val="28"/>
        </w:rPr>
        <w:t>）</w:t>
      </w:r>
    </w:p>
    <w:p>
      <w:pPr>
        <w:spacing w:line="360" w:lineRule="auto"/>
        <w:ind w:right="532" w:firstLine="720" w:firstLineChars="200"/>
        <w:rPr>
          <w:rFonts w:ascii="宋体" w:hAnsi="宋体"/>
          <w:sz w:val="36"/>
          <w:szCs w:val="36"/>
        </w:rPr>
      </w:pPr>
      <w:r>
        <w:rPr>
          <w:rFonts w:hint="eastAsia" w:ascii="宋体" w:hAnsi="宋体"/>
          <w:sz w:val="36"/>
          <w:szCs w:val="36"/>
        </w:rPr>
        <w:t>投标人全称（公章）：</w:t>
      </w:r>
    </w:p>
    <w:p>
      <w:pPr>
        <w:spacing w:line="360" w:lineRule="auto"/>
        <w:ind w:right="532" w:firstLine="720" w:firstLineChars="200"/>
        <w:rPr>
          <w:rFonts w:ascii="宋体" w:hAnsi="宋体"/>
          <w:sz w:val="36"/>
          <w:szCs w:val="36"/>
        </w:rPr>
      </w:pPr>
      <w:r>
        <w:rPr>
          <w:rFonts w:hint="eastAsia" w:ascii="宋体" w:hAnsi="宋体"/>
          <w:sz w:val="36"/>
          <w:szCs w:val="36"/>
        </w:rPr>
        <w:t>地    址：</w:t>
      </w:r>
    </w:p>
    <w:p>
      <w:pPr>
        <w:spacing w:line="360" w:lineRule="auto"/>
        <w:ind w:right="532" w:firstLine="720" w:firstLineChars="200"/>
        <w:rPr>
          <w:rFonts w:ascii="宋体" w:hAnsi="宋体"/>
          <w:sz w:val="36"/>
          <w:szCs w:val="36"/>
        </w:rPr>
      </w:pPr>
      <w:r>
        <w:rPr>
          <w:rFonts w:hint="eastAsia" w:ascii="宋体" w:hAnsi="宋体"/>
          <w:sz w:val="36"/>
          <w:szCs w:val="36"/>
        </w:rPr>
        <w:t>时    间：</w:t>
      </w:r>
    </w:p>
    <w:p>
      <w:pPr>
        <w:snapToGrid w:val="0"/>
        <w:spacing w:before="50" w:after="50" w:line="360" w:lineRule="auto"/>
        <w:jc w:val="both"/>
        <w:rPr>
          <w:rFonts w:hint="eastAsia" w:ascii="宋体" w:hAnsi="宋体"/>
          <w:b/>
          <w:bCs/>
          <w:sz w:val="32"/>
          <w:szCs w:val="32"/>
          <w:lang w:val="zh-CN"/>
        </w:rPr>
      </w:pPr>
    </w:p>
    <w:p>
      <w:pPr>
        <w:snapToGrid w:val="0"/>
        <w:spacing w:before="50" w:after="50" w:line="360" w:lineRule="auto"/>
        <w:jc w:val="center"/>
        <w:rPr>
          <w:rFonts w:ascii="宋体" w:hAnsi="宋体"/>
          <w:b/>
          <w:bCs/>
          <w:sz w:val="32"/>
          <w:szCs w:val="32"/>
        </w:rPr>
      </w:pPr>
      <w:r>
        <w:rPr>
          <w:rFonts w:hint="eastAsia" w:ascii="宋体" w:hAnsi="宋体"/>
          <w:b/>
          <w:bCs/>
          <w:sz w:val="32"/>
          <w:szCs w:val="32"/>
          <w:lang w:val="zh-CN"/>
        </w:rPr>
        <w:t>商务与技术文件</w:t>
      </w:r>
      <w:r>
        <w:rPr>
          <w:rFonts w:hint="eastAsia" w:ascii="宋体" w:hAnsi="宋体"/>
          <w:b/>
          <w:bCs/>
          <w:sz w:val="32"/>
          <w:szCs w:val="32"/>
        </w:rPr>
        <w:t>目录</w:t>
      </w:r>
    </w:p>
    <w:p>
      <w:pPr>
        <w:snapToGrid w:val="0"/>
        <w:spacing w:line="360" w:lineRule="auto"/>
        <w:rPr>
          <w:rFonts w:ascii="宋体" w:hAnsi="宋体"/>
          <w:sz w:val="24"/>
        </w:rPr>
      </w:pPr>
    </w:p>
    <w:p>
      <w:pPr>
        <w:pStyle w:val="8"/>
        <w:widowControl/>
        <w:adjustRightInd w:val="0"/>
        <w:snapToGrid w:val="0"/>
        <w:spacing w:line="360" w:lineRule="auto"/>
        <w:ind w:firstLine="480" w:firstLineChars="200"/>
        <w:rPr>
          <w:rFonts w:hint="eastAsia" w:ascii="宋体" w:hAnsi="宋体"/>
          <w:sz w:val="24"/>
          <w:lang w:eastAsia="zh-CN"/>
        </w:rPr>
      </w:pPr>
      <w:r>
        <w:rPr>
          <w:rFonts w:hint="eastAsia" w:ascii="宋体" w:hAnsi="宋体"/>
          <w:sz w:val="24"/>
        </w:rPr>
        <w:t>（1）投标人情况介绍（人员与技术力量、企业规模、经营业绩等，格式自拟）</w:t>
      </w:r>
      <w:r>
        <w:rPr>
          <w:rFonts w:hint="eastAsia" w:ascii="宋体" w:hAnsi="宋体"/>
          <w:sz w:val="24"/>
          <w:lang w:eastAsia="zh-CN"/>
        </w:rPr>
        <w:t>；</w:t>
      </w:r>
    </w:p>
    <w:p>
      <w:pPr>
        <w:pStyle w:val="8"/>
        <w:widowControl/>
        <w:adjustRightInd w:val="0"/>
        <w:snapToGrid w:val="0"/>
        <w:spacing w:line="360" w:lineRule="auto"/>
        <w:ind w:firstLine="480" w:firstLineChars="200"/>
        <w:rPr>
          <w:rFonts w:ascii="宋体" w:hAnsi="宋体"/>
          <w:sz w:val="24"/>
          <w:lang w:eastAsia="zh-CN"/>
        </w:rPr>
      </w:pPr>
      <w:r>
        <w:rPr>
          <w:rFonts w:hint="eastAsia" w:ascii="宋体" w:hAnsi="宋体"/>
          <w:sz w:val="24"/>
        </w:rPr>
        <w:t>（2）</w:t>
      </w:r>
      <w:r>
        <w:rPr>
          <w:rFonts w:hint="eastAsia" w:hAnsi="宋体"/>
          <w:sz w:val="24"/>
        </w:rPr>
        <w:t>类似项目业绩一览表（如有，见附件</w:t>
      </w:r>
      <w:r>
        <w:rPr>
          <w:rFonts w:hint="eastAsia" w:hAnsi="宋体"/>
          <w:sz w:val="24"/>
          <w:lang w:val="en-US" w:eastAsia="zh-CN"/>
        </w:rPr>
        <w:t>5</w:t>
      </w:r>
      <w:r>
        <w:rPr>
          <w:rFonts w:hint="eastAsia" w:hAnsi="宋体"/>
          <w:sz w:val="24"/>
        </w:rPr>
        <w:t>）</w:t>
      </w:r>
      <w:r>
        <w:rPr>
          <w:rFonts w:hint="eastAsia" w:hAnsi="宋体"/>
          <w:sz w:val="24"/>
          <w:lang w:eastAsia="zh-CN"/>
        </w:rPr>
        <w:t>；</w:t>
      </w:r>
    </w:p>
    <w:p>
      <w:pPr>
        <w:spacing w:line="360" w:lineRule="auto"/>
        <w:ind w:firstLine="480" w:firstLineChars="200"/>
        <w:rPr>
          <w:rFonts w:ascii="宋体" w:hAnsi="宋体"/>
          <w:sz w:val="24"/>
        </w:rPr>
      </w:pPr>
      <w:r>
        <w:rPr>
          <w:rFonts w:hint="eastAsia" w:ascii="宋体" w:hAnsi="宋体"/>
          <w:sz w:val="24"/>
        </w:rPr>
        <w:t>（3）商务响应表（见附件</w:t>
      </w:r>
      <w:r>
        <w:rPr>
          <w:rFonts w:hint="eastAsia" w:ascii="宋体" w:hAnsi="宋体"/>
          <w:sz w:val="24"/>
          <w:lang w:val="en-US" w:eastAsia="zh-CN"/>
        </w:rPr>
        <w:t>6</w:t>
      </w:r>
      <w:r>
        <w:rPr>
          <w:rFonts w:hint="eastAsia" w:ascii="宋体" w:hAnsi="宋体"/>
          <w:sz w:val="24"/>
        </w:rPr>
        <w:t>）；</w:t>
      </w:r>
    </w:p>
    <w:p>
      <w:pPr>
        <w:spacing w:line="360" w:lineRule="auto"/>
        <w:ind w:firstLine="480" w:firstLineChars="200"/>
        <w:rPr>
          <w:rFonts w:hint="eastAsia" w:ascii="宋体" w:hAnsi="宋体"/>
          <w:sz w:val="24"/>
        </w:rPr>
      </w:pPr>
      <w:r>
        <w:rPr>
          <w:rFonts w:hint="eastAsia" w:ascii="宋体" w:hAnsi="宋体"/>
          <w:sz w:val="24"/>
        </w:rPr>
        <w:t>（4）项目</w:t>
      </w:r>
      <w:r>
        <w:rPr>
          <w:rFonts w:hint="eastAsia" w:ascii="宋体" w:hAnsi="宋体"/>
          <w:sz w:val="24"/>
          <w:lang w:eastAsia="zh-CN"/>
        </w:rPr>
        <w:t>供货</w:t>
      </w:r>
      <w:r>
        <w:rPr>
          <w:rFonts w:hint="eastAsia" w:ascii="宋体" w:hAnsi="宋体"/>
          <w:sz w:val="24"/>
        </w:rPr>
        <w:t>方案及人员配置的详细阐述；</w:t>
      </w:r>
    </w:p>
    <w:p>
      <w:pPr>
        <w:spacing w:line="360" w:lineRule="auto"/>
        <w:ind w:firstLine="480" w:firstLineChars="200"/>
        <w:rPr>
          <w:rFonts w:hint="eastAsia" w:ascii="宋体" w:hAnsi="宋体"/>
          <w:sz w:val="24"/>
        </w:rPr>
      </w:pPr>
      <w:r>
        <w:rPr>
          <w:rFonts w:hint="eastAsia" w:ascii="宋体" w:hAnsi="宋体"/>
          <w:sz w:val="24"/>
        </w:rPr>
        <w:t>（5）备品备件及专用工具；</w:t>
      </w:r>
    </w:p>
    <w:p>
      <w:pPr>
        <w:spacing w:line="360" w:lineRule="auto"/>
        <w:ind w:firstLine="480" w:firstLineChars="200"/>
        <w:rPr>
          <w:rFonts w:hint="eastAsia" w:ascii="宋体" w:hAnsi="宋体" w:eastAsia="宋体"/>
          <w:sz w:val="24"/>
          <w:lang w:eastAsia="zh-CN"/>
        </w:rPr>
      </w:pPr>
      <w:r>
        <w:rPr>
          <w:rFonts w:hint="eastAsia" w:ascii="宋体" w:hAnsi="宋体"/>
          <w:sz w:val="24"/>
        </w:rPr>
        <w:t>（6）生产设备及工艺、产品深化设计及产品包装运输安装协调能力</w:t>
      </w:r>
      <w:r>
        <w:rPr>
          <w:rFonts w:hint="eastAsia" w:ascii="宋体" w:hAnsi="宋体"/>
          <w:sz w:val="24"/>
          <w:lang w:eastAsia="zh-CN"/>
        </w:rPr>
        <w:t>；</w:t>
      </w:r>
    </w:p>
    <w:p>
      <w:pPr>
        <w:spacing w:line="360" w:lineRule="auto"/>
        <w:ind w:firstLine="480" w:firstLineChars="200"/>
        <w:rPr>
          <w:rFonts w:hint="eastAsia" w:ascii="宋体" w:hAnsi="宋体"/>
          <w:sz w:val="24"/>
        </w:rPr>
      </w:pPr>
      <w:r>
        <w:rPr>
          <w:rFonts w:hint="eastAsia" w:ascii="宋体" w:hAnsi="宋体"/>
          <w:sz w:val="24"/>
        </w:rPr>
        <w:t>（</w:t>
      </w:r>
      <w:r>
        <w:rPr>
          <w:rFonts w:hint="eastAsia" w:ascii="宋体" w:hAnsi="宋体"/>
          <w:sz w:val="24"/>
          <w:lang w:eastAsia="zh-CN"/>
        </w:rPr>
        <w:t>7</w:t>
      </w:r>
      <w:r>
        <w:rPr>
          <w:rFonts w:hint="eastAsia" w:ascii="宋体" w:hAnsi="宋体"/>
          <w:sz w:val="24"/>
        </w:rPr>
        <w:t>）人员配置</w:t>
      </w:r>
      <w:r>
        <w:rPr>
          <w:rFonts w:hint="eastAsia" w:ascii="宋体" w:hAnsi="宋体"/>
          <w:sz w:val="24"/>
          <w:lang w:eastAsia="zh-CN"/>
        </w:rPr>
        <w:t>一览表</w:t>
      </w:r>
      <w:r>
        <w:rPr>
          <w:rFonts w:hint="eastAsia" w:ascii="宋体" w:hAnsi="宋体"/>
          <w:sz w:val="24"/>
        </w:rPr>
        <w:t>（附件</w:t>
      </w:r>
      <w:r>
        <w:rPr>
          <w:rFonts w:hint="eastAsia" w:ascii="宋体" w:hAnsi="宋体"/>
          <w:sz w:val="24"/>
          <w:lang w:val="en-US" w:eastAsia="zh-CN"/>
        </w:rPr>
        <w:t>7</w:t>
      </w:r>
      <w:r>
        <w:rPr>
          <w:rFonts w:hint="eastAsia" w:ascii="宋体" w:hAnsi="宋体"/>
          <w:sz w:val="24"/>
        </w:rPr>
        <w:t>）；</w:t>
      </w:r>
    </w:p>
    <w:p>
      <w:pPr>
        <w:pStyle w:val="8"/>
        <w:widowControl/>
        <w:adjustRightInd w:val="0"/>
        <w:snapToGrid w:val="0"/>
        <w:spacing w:line="360" w:lineRule="auto"/>
        <w:ind w:firstLine="480" w:firstLineChars="200"/>
        <w:rPr>
          <w:rFonts w:hint="eastAsia" w:ascii="宋体" w:hAnsi="宋体" w:eastAsia="宋体"/>
          <w:sz w:val="24"/>
          <w:lang w:eastAsia="zh-CN"/>
        </w:rPr>
      </w:pPr>
      <w:r>
        <w:rPr>
          <w:rFonts w:hint="eastAsia" w:ascii="宋体" w:hAnsi="宋体"/>
          <w:sz w:val="24"/>
        </w:rPr>
        <w:t>（</w:t>
      </w:r>
      <w:r>
        <w:rPr>
          <w:rFonts w:hint="eastAsia" w:ascii="宋体" w:hAnsi="宋体"/>
          <w:sz w:val="24"/>
          <w:lang w:eastAsia="zh-CN"/>
        </w:rPr>
        <w:t>8</w:t>
      </w:r>
      <w:r>
        <w:rPr>
          <w:rFonts w:hint="eastAsia" w:ascii="宋体" w:hAnsi="宋体"/>
          <w:sz w:val="24"/>
        </w:rPr>
        <w:t>）</w:t>
      </w:r>
      <w:r>
        <w:rPr>
          <w:rFonts w:hint="eastAsia" w:hAnsi="宋体" w:cs="宋体"/>
          <w:sz w:val="24"/>
          <w:lang w:val="zh-CN"/>
        </w:rPr>
        <w:t>技术响应表</w:t>
      </w:r>
      <w:r>
        <w:rPr>
          <w:rFonts w:hint="eastAsia" w:hAnsi="宋体"/>
          <w:sz w:val="24"/>
        </w:rPr>
        <w:t>（见附件</w:t>
      </w:r>
      <w:r>
        <w:rPr>
          <w:rFonts w:hint="eastAsia" w:hAnsi="宋体"/>
          <w:sz w:val="24"/>
          <w:lang w:val="en-US" w:eastAsia="zh-CN"/>
        </w:rPr>
        <w:t>8</w:t>
      </w:r>
      <w:r>
        <w:rPr>
          <w:rFonts w:hint="eastAsia" w:hAnsi="宋体"/>
          <w:sz w:val="24"/>
        </w:rPr>
        <w:t>）</w:t>
      </w:r>
      <w:r>
        <w:rPr>
          <w:rFonts w:hint="eastAsia" w:hAnsi="宋体"/>
          <w:sz w:val="24"/>
          <w:lang w:eastAsia="zh-CN"/>
        </w:rPr>
        <w:t>；</w:t>
      </w:r>
    </w:p>
    <w:p>
      <w:pPr>
        <w:pStyle w:val="8"/>
        <w:widowControl/>
        <w:adjustRightInd w:val="0"/>
        <w:snapToGrid w:val="0"/>
        <w:spacing w:line="360" w:lineRule="auto"/>
        <w:ind w:firstLine="480" w:firstLineChars="200"/>
        <w:rPr>
          <w:rFonts w:ascii="宋体" w:hAnsi="宋体"/>
          <w:sz w:val="24"/>
          <w:lang w:eastAsia="zh-CN"/>
        </w:rPr>
      </w:pPr>
      <w:r>
        <w:rPr>
          <w:rFonts w:hint="eastAsia" w:ascii="宋体" w:hAnsi="宋体"/>
          <w:sz w:val="24"/>
        </w:rPr>
        <w:t>（</w:t>
      </w:r>
      <w:r>
        <w:rPr>
          <w:rFonts w:hint="eastAsia" w:ascii="宋体" w:hAnsi="宋体"/>
          <w:sz w:val="24"/>
          <w:lang w:eastAsia="zh-CN"/>
        </w:rPr>
        <w:t>9</w:t>
      </w:r>
      <w:r>
        <w:rPr>
          <w:rFonts w:hint="eastAsia" w:ascii="宋体" w:hAnsi="宋体"/>
          <w:sz w:val="24"/>
        </w:rPr>
        <w:t>）</w:t>
      </w:r>
      <w:r>
        <w:rPr>
          <w:rFonts w:hint="eastAsia" w:hAnsi="宋体"/>
          <w:sz w:val="24"/>
        </w:rPr>
        <w:t>针对本项目的售后服务措施及承诺</w:t>
      </w:r>
      <w:r>
        <w:rPr>
          <w:rFonts w:hint="eastAsia" w:hAnsi="宋体"/>
          <w:sz w:val="24"/>
          <w:lang w:eastAsia="zh-CN"/>
        </w:rPr>
        <w:t>；</w:t>
      </w:r>
    </w:p>
    <w:p>
      <w:pPr>
        <w:pStyle w:val="11"/>
        <w:spacing w:line="360" w:lineRule="auto"/>
        <w:ind w:firstLine="480" w:firstLineChars="200"/>
        <w:rPr>
          <w:rFonts w:hint="eastAsia" w:hAnsi="宋体"/>
          <w:sz w:val="24"/>
          <w:lang w:eastAsia="zh-CN"/>
        </w:rPr>
      </w:pPr>
      <w:r>
        <w:rPr>
          <w:rFonts w:hint="eastAsia" w:hAnsi="宋体"/>
          <w:sz w:val="24"/>
        </w:rPr>
        <w:t>（</w:t>
      </w:r>
      <w:r>
        <w:rPr>
          <w:rFonts w:hint="eastAsia" w:hAnsi="宋体"/>
          <w:sz w:val="24"/>
          <w:lang w:eastAsia="zh-CN"/>
        </w:rPr>
        <w:t>10</w:t>
      </w:r>
      <w:r>
        <w:rPr>
          <w:rFonts w:hint="eastAsia" w:hAnsi="宋体"/>
          <w:sz w:val="24"/>
        </w:rPr>
        <w:t>）</w:t>
      </w:r>
      <w:r>
        <w:rPr>
          <w:rFonts w:hint="eastAsia" w:ascii="黑体" w:hAnsi="宋体" w:eastAsia="黑体"/>
          <w:b/>
          <w:sz w:val="24"/>
          <w:szCs w:val="24"/>
        </w:rPr>
        <w:t>证书及业绩材料（提供与原件一致的复印件，复印件要求加盖单位公章，提供原件备查。如不按要求提供，相应类项不予评分。）</w:t>
      </w:r>
    </w:p>
    <w:p>
      <w:pPr>
        <w:pStyle w:val="11"/>
        <w:spacing w:line="360" w:lineRule="auto"/>
        <w:ind w:firstLine="480" w:firstLineChars="200"/>
        <w:rPr>
          <w:rFonts w:hint="eastAsia" w:hAnsi="宋体"/>
          <w:sz w:val="24"/>
          <w:szCs w:val="24"/>
          <w:lang w:eastAsia="zh-CN"/>
        </w:rPr>
      </w:pPr>
      <w:r>
        <w:rPr>
          <w:rFonts w:hint="eastAsia" w:hAnsi="宋体" w:cs="宋体"/>
          <w:sz w:val="24"/>
        </w:rPr>
        <w:t>相关业绩</w:t>
      </w:r>
      <w:r>
        <w:rPr>
          <w:rFonts w:hint="eastAsia" w:hAnsi="宋体" w:cs="宋体"/>
          <w:sz w:val="24"/>
          <w:lang w:eastAsia="zh-CN"/>
        </w:rPr>
        <w:t>：</w:t>
      </w:r>
      <w:r>
        <w:rPr>
          <w:rFonts w:hint="eastAsia" w:hAnsi="宋体"/>
          <w:sz w:val="24"/>
          <w:szCs w:val="24"/>
        </w:rPr>
        <w:t>投标人于201</w:t>
      </w:r>
      <w:r>
        <w:rPr>
          <w:rFonts w:hint="eastAsia" w:hAnsi="宋体"/>
          <w:sz w:val="24"/>
          <w:szCs w:val="24"/>
          <w:lang w:val="en-US" w:eastAsia="zh-CN"/>
        </w:rPr>
        <w:t>7</w:t>
      </w:r>
      <w:r>
        <w:rPr>
          <w:rFonts w:hint="eastAsia" w:hAnsi="宋体"/>
          <w:sz w:val="24"/>
          <w:szCs w:val="24"/>
        </w:rPr>
        <w:t>年1月1日起至</w:t>
      </w:r>
      <w:r>
        <w:rPr>
          <w:rFonts w:hint="eastAsia" w:hAnsi="宋体"/>
          <w:sz w:val="24"/>
          <w:szCs w:val="24"/>
          <w:lang w:eastAsia="zh-CN"/>
        </w:rPr>
        <w:t>今</w:t>
      </w:r>
      <w:r>
        <w:rPr>
          <w:rFonts w:hint="eastAsia" w:hAnsi="宋体"/>
          <w:sz w:val="24"/>
          <w:szCs w:val="24"/>
        </w:rPr>
        <w:t>完成</w:t>
      </w:r>
      <w:r>
        <w:rPr>
          <w:rFonts w:hint="eastAsia" w:hAnsi="宋体"/>
          <w:sz w:val="24"/>
          <w:szCs w:val="24"/>
          <w:lang w:eastAsia="zh-CN"/>
        </w:rPr>
        <w:t>过</w:t>
      </w:r>
      <w:r>
        <w:rPr>
          <w:rFonts w:hint="eastAsia" w:hAnsi="宋体"/>
          <w:sz w:val="24"/>
          <w:szCs w:val="24"/>
          <w:lang w:val="en-US" w:eastAsia="zh-CN"/>
        </w:rPr>
        <w:t>幼儿家具</w:t>
      </w:r>
      <w:r>
        <w:rPr>
          <w:rFonts w:hint="eastAsia" w:hAnsi="宋体"/>
          <w:sz w:val="24"/>
          <w:szCs w:val="24"/>
        </w:rPr>
        <w:t>项目业绩</w:t>
      </w:r>
      <w:r>
        <w:rPr>
          <w:rFonts w:hint="eastAsia" w:hAnsi="宋体"/>
          <w:sz w:val="24"/>
          <w:szCs w:val="24"/>
          <w:lang w:eastAsia="zh-CN"/>
        </w:rPr>
        <w:t>的，提供供货合同及中标通知书。</w:t>
      </w:r>
    </w:p>
    <w:p>
      <w:pPr>
        <w:snapToGrid w:val="0"/>
        <w:spacing w:line="360" w:lineRule="auto"/>
        <w:ind w:firstLine="480" w:firstLineChars="200"/>
        <w:rPr>
          <w:rFonts w:hint="eastAsia" w:hAnsi="宋体"/>
          <w:sz w:val="24"/>
        </w:rPr>
      </w:pPr>
      <w:r>
        <w:rPr>
          <w:rFonts w:hint="eastAsia" w:hAnsi="宋体"/>
          <w:sz w:val="24"/>
        </w:rPr>
        <w:t>（</w:t>
      </w:r>
      <w:r>
        <w:rPr>
          <w:rFonts w:hint="eastAsia" w:hAnsi="宋体"/>
          <w:sz w:val="24"/>
          <w:lang w:val="en-US" w:eastAsia="zh-CN"/>
        </w:rPr>
        <w:t>11</w:t>
      </w:r>
      <w:r>
        <w:rPr>
          <w:rFonts w:hAnsi="宋体"/>
          <w:sz w:val="24"/>
        </w:rPr>
        <w:t>）</w:t>
      </w:r>
      <w:r>
        <w:rPr>
          <w:rFonts w:hint="eastAsia" w:hAnsi="宋体"/>
          <w:sz w:val="24"/>
        </w:rPr>
        <w:t>投标人认为需要提供的其他资料（包括可能影响投标人商务与技术文件评分的各类证明材料）。</w:t>
      </w:r>
    </w:p>
    <w:p>
      <w:pPr>
        <w:pStyle w:val="11"/>
        <w:spacing w:line="360" w:lineRule="auto"/>
        <w:ind w:firstLine="482" w:firstLineChars="200"/>
        <w:rPr>
          <w:rFonts w:hint="eastAsia" w:ascii="黑体" w:hAnsi="宋体" w:eastAsia="黑体"/>
          <w:b/>
          <w:sz w:val="24"/>
          <w:szCs w:val="24"/>
          <w:lang w:eastAsia="zh-CN"/>
        </w:rPr>
      </w:pPr>
      <w:r>
        <w:rPr>
          <w:rFonts w:hint="eastAsia" w:ascii="黑体" w:hAnsi="宋体" w:eastAsia="黑体"/>
          <w:b/>
          <w:sz w:val="24"/>
          <w:szCs w:val="24"/>
        </w:rPr>
        <w:t>（1</w:t>
      </w:r>
      <w:r>
        <w:rPr>
          <w:rFonts w:hint="eastAsia" w:ascii="黑体" w:hAnsi="宋体" w:eastAsia="黑体"/>
          <w:b/>
          <w:sz w:val="24"/>
          <w:szCs w:val="24"/>
          <w:lang w:val="en-US" w:eastAsia="zh-CN"/>
        </w:rPr>
        <w:t>2</w:t>
      </w:r>
      <w:r>
        <w:rPr>
          <w:rFonts w:hint="eastAsia" w:ascii="黑体" w:hAnsi="宋体" w:eastAsia="黑体"/>
          <w:b/>
          <w:sz w:val="24"/>
          <w:szCs w:val="24"/>
        </w:rPr>
        <w:t>）产品样品（提供以下样品各1个）：</w:t>
      </w:r>
    </w:p>
    <w:p>
      <w:pPr>
        <w:pStyle w:val="11"/>
        <w:spacing w:line="360" w:lineRule="auto"/>
        <w:ind w:firstLine="482" w:firstLineChars="200"/>
        <w:rPr>
          <w:rFonts w:hint="eastAsia" w:ascii="黑体" w:hAnsi="宋体" w:eastAsia="黑体"/>
          <w:b/>
          <w:sz w:val="24"/>
          <w:szCs w:val="24"/>
          <w:lang w:eastAsia="zh-CN"/>
        </w:rPr>
      </w:pPr>
      <w:r>
        <w:rPr>
          <w:rFonts w:hint="eastAsia" w:ascii="黑体" w:hAnsi="宋体" w:eastAsia="黑体"/>
          <w:b/>
          <w:sz w:val="24"/>
          <w:szCs w:val="24"/>
        </w:rPr>
        <w:t>1）</w:t>
      </w:r>
      <w:r>
        <w:rPr>
          <w:rFonts w:hint="eastAsia" w:ascii="黑体" w:hAnsi="宋体" w:eastAsia="黑体"/>
          <w:b/>
          <w:sz w:val="24"/>
          <w:szCs w:val="24"/>
          <w:lang w:eastAsia="zh-CN"/>
        </w:rPr>
        <w:t>童话王国实木6人桌面；</w:t>
      </w:r>
    </w:p>
    <w:p>
      <w:pPr>
        <w:pStyle w:val="11"/>
        <w:spacing w:line="360" w:lineRule="auto"/>
        <w:ind w:firstLine="482" w:firstLineChars="200"/>
        <w:rPr>
          <w:rFonts w:hint="eastAsia" w:ascii="黑体" w:hAnsi="宋体" w:eastAsia="黑体"/>
          <w:b/>
          <w:sz w:val="24"/>
          <w:szCs w:val="24"/>
          <w:lang w:eastAsia="zh-CN"/>
        </w:rPr>
      </w:pPr>
      <w:r>
        <w:rPr>
          <w:rFonts w:hint="eastAsia" w:ascii="黑体" w:hAnsi="宋体" w:eastAsia="黑体"/>
          <w:b/>
          <w:sz w:val="24"/>
          <w:szCs w:val="24"/>
        </w:rPr>
        <w:t>2）</w:t>
      </w:r>
      <w:r>
        <w:rPr>
          <w:rFonts w:hint="eastAsia" w:ascii="黑体" w:hAnsi="宋体" w:eastAsia="黑体"/>
          <w:b/>
          <w:sz w:val="24"/>
          <w:szCs w:val="24"/>
          <w:lang w:eastAsia="zh-CN"/>
        </w:rPr>
        <w:t>童话王国幼教椅27CM；</w:t>
      </w:r>
    </w:p>
    <w:p>
      <w:pPr>
        <w:pStyle w:val="11"/>
        <w:spacing w:line="360" w:lineRule="auto"/>
        <w:ind w:firstLine="482" w:firstLineChars="200"/>
        <w:rPr>
          <w:rFonts w:hint="eastAsia" w:ascii="黑体" w:hAnsi="宋体" w:eastAsia="黑体"/>
          <w:b/>
          <w:sz w:val="24"/>
          <w:szCs w:val="24"/>
          <w:lang w:eastAsia="zh-CN"/>
        </w:rPr>
      </w:pPr>
      <w:r>
        <w:rPr>
          <w:rFonts w:hint="eastAsia" w:ascii="黑体" w:hAnsi="宋体" w:eastAsia="黑体"/>
          <w:b/>
          <w:sz w:val="24"/>
          <w:szCs w:val="24"/>
        </w:rPr>
        <w:t>3）</w:t>
      </w:r>
      <w:r>
        <w:rPr>
          <w:rFonts w:hint="eastAsia" w:ascii="黑体" w:hAnsi="宋体" w:eastAsia="黑体"/>
          <w:b/>
          <w:sz w:val="24"/>
          <w:szCs w:val="24"/>
          <w:lang w:eastAsia="zh-CN"/>
        </w:rPr>
        <w:t>雅典花园五格中空柜-枫木纹；</w:t>
      </w:r>
    </w:p>
    <w:p>
      <w:pPr>
        <w:pStyle w:val="11"/>
        <w:spacing w:line="360" w:lineRule="auto"/>
        <w:ind w:firstLine="482" w:firstLineChars="200"/>
        <w:rPr>
          <w:rFonts w:hint="eastAsia" w:ascii="黑体" w:hAnsi="宋体" w:eastAsia="黑体"/>
          <w:b/>
          <w:sz w:val="24"/>
          <w:szCs w:val="24"/>
          <w:lang w:eastAsia="zh-CN"/>
        </w:rPr>
      </w:pPr>
      <w:r>
        <w:rPr>
          <w:rFonts w:hint="eastAsia" w:ascii="黑体" w:hAnsi="宋体" w:eastAsia="黑体"/>
          <w:b/>
          <w:sz w:val="24"/>
          <w:szCs w:val="24"/>
          <w:lang w:val="en-US" w:eastAsia="zh-CN"/>
        </w:rPr>
        <w:t>4）</w:t>
      </w:r>
      <w:r>
        <w:rPr>
          <w:rFonts w:hint="eastAsia" w:ascii="黑体" w:hAnsi="宋体" w:eastAsia="黑体"/>
          <w:b/>
          <w:sz w:val="24"/>
          <w:szCs w:val="24"/>
          <w:lang w:eastAsia="zh-CN"/>
        </w:rPr>
        <w:t>户外碳化积木三块（随机）；</w:t>
      </w:r>
    </w:p>
    <w:p>
      <w:pPr>
        <w:snapToGrid w:val="0"/>
        <w:spacing w:line="360" w:lineRule="auto"/>
        <w:ind w:firstLine="482" w:firstLineChars="200"/>
        <w:rPr>
          <w:rFonts w:hint="eastAsia" w:ascii="Times New Roman" w:hAnsi="宋体" w:cs="Times New Roman"/>
          <w:sz w:val="24"/>
          <w:lang w:val="en-US" w:eastAsia="zh-CN"/>
        </w:rPr>
      </w:pPr>
      <w:r>
        <w:rPr>
          <w:rFonts w:hint="eastAsia" w:ascii="黑体" w:hAnsi="宋体" w:eastAsia="黑体"/>
          <w:b/>
          <w:sz w:val="24"/>
          <w:szCs w:val="24"/>
          <w:lang w:val="en-US" w:eastAsia="zh-CN"/>
        </w:rPr>
        <w:t>5）室外攀岩钢丝绳索1米（带铝扣）、户外组合幼教玩具镀锌钢</w:t>
      </w:r>
      <w:r>
        <w:rPr>
          <w:rFonts w:hint="eastAsia" w:ascii="Times New Roman" w:hAnsi="宋体" w:cs="Times New Roman"/>
          <w:sz w:val="24"/>
          <w:lang w:val="en-US" w:eastAsia="zh-CN"/>
        </w:rPr>
        <w:t>管直径6.0cm长度1m。</w:t>
      </w:r>
    </w:p>
    <w:p>
      <w:pPr>
        <w:snapToGrid w:val="0"/>
        <w:spacing w:line="360" w:lineRule="auto"/>
        <w:ind w:firstLine="480" w:firstLineChars="200"/>
        <w:rPr>
          <w:rFonts w:hint="eastAsia" w:ascii="Times New Roman" w:hAnsi="宋体" w:cs="Times New Roman"/>
          <w:b/>
          <w:bCs/>
          <w:sz w:val="24"/>
        </w:rPr>
      </w:pPr>
      <w:r>
        <w:rPr>
          <w:rFonts w:hint="eastAsia" w:ascii="Times New Roman" w:hAnsi="宋体" w:cs="Times New Roman"/>
          <w:sz w:val="24"/>
        </w:rPr>
        <w:t>注：1）投标产品样品单独提供，无需密封，</w:t>
      </w:r>
      <w:r>
        <w:rPr>
          <w:rFonts w:hint="eastAsia" w:ascii="Times New Roman" w:hAnsi="宋体" w:cs="Times New Roman"/>
          <w:b/>
          <w:bCs/>
          <w:sz w:val="24"/>
          <w:lang w:eastAsia="zh-CN"/>
        </w:rPr>
        <w:t>样品上</w:t>
      </w:r>
      <w:r>
        <w:rPr>
          <w:rFonts w:hint="eastAsia" w:ascii="Times New Roman" w:hAnsi="宋体" w:cs="Times New Roman"/>
          <w:b/>
          <w:bCs/>
          <w:sz w:val="24"/>
        </w:rPr>
        <w:t>不得出现能体现该投标单位的任何标识、标签（暗标），否则作无效标处理；</w:t>
      </w:r>
    </w:p>
    <w:p>
      <w:pPr>
        <w:snapToGrid w:val="0"/>
        <w:spacing w:line="360" w:lineRule="auto"/>
        <w:ind w:firstLine="480" w:firstLineChars="200"/>
        <w:rPr>
          <w:rFonts w:hint="eastAsia" w:hAnsi="宋体"/>
          <w:sz w:val="24"/>
        </w:rPr>
      </w:pPr>
      <w:r>
        <w:rPr>
          <w:rFonts w:hint="eastAsia" w:hAnsi="宋体"/>
          <w:sz w:val="24"/>
        </w:rPr>
        <w:t>2）投标人在投标时必须按上述要求提供投标产品样品，否则作无效标处理；</w:t>
      </w:r>
    </w:p>
    <w:p>
      <w:pPr>
        <w:snapToGrid w:val="0"/>
        <w:spacing w:line="360" w:lineRule="auto"/>
        <w:ind w:firstLine="480" w:firstLineChars="200"/>
        <w:rPr>
          <w:rFonts w:hint="eastAsia" w:hAnsi="宋体"/>
          <w:sz w:val="24"/>
        </w:rPr>
      </w:pPr>
      <w:r>
        <w:rPr>
          <w:rFonts w:hint="eastAsia" w:hAnsi="宋体"/>
          <w:sz w:val="24"/>
        </w:rPr>
        <w:t>3）样品随投标文件一起递交，中标供应商的样品不予退回，由采购人保管；</w:t>
      </w:r>
    </w:p>
    <w:p>
      <w:pPr>
        <w:snapToGrid w:val="0"/>
        <w:spacing w:line="360" w:lineRule="auto"/>
        <w:ind w:firstLine="480" w:firstLineChars="200"/>
        <w:rPr>
          <w:rFonts w:hint="eastAsia" w:ascii="宋体" w:hAnsi="宋体"/>
          <w:b/>
          <w:sz w:val="28"/>
          <w:lang w:val="zh-CN"/>
        </w:rPr>
      </w:pPr>
      <w:r>
        <w:rPr>
          <w:rFonts w:hint="eastAsia" w:hAnsi="宋体"/>
          <w:sz w:val="24"/>
        </w:rPr>
        <w:t>4）样品将作为今后货物验收的依据之一。</w:t>
      </w:r>
    </w:p>
    <w:p>
      <w:pPr>
        <w:spacing w:line="360" w:lineRule="auto"/>
        <w:ind w:firstLine="435"/>
        <w:rPr>
          <w:rFonts w:ascii="宋体" w:hAnsi="宋体"/>
          <w:b/>
          <w:sz w:val="28"/>
          <w:lang w:val="zh-CN"/>
        </w:rPr>
      </w:pPr>
      <w:r>
        <w:rPr>
          <w:rFonts w:hint="eastAsia" w:ascii="宋体" w:hAnsi="宋体"/>
          <w:b/>
          <w:sz w:val="28"/>
          <w:lang w:val="zh-CN"/>
        </w:rPr>
        <w:t>附件</w:t>
      </w:r>
      <w:r>
        <w:rPr>
          <w:rFonts w:hint="eastAsia" w:ascii="宋体" w:hAnsi="宋体"/>
          <w:b/>
          <w:sz w:val="28"/>
        </w:rPr>
        <w:t>5</w:t>
      </w:r>
      <w:r>
        <w:rPr>
          <w:rFonts w:hint="eastAsia" w:ascii="宋体" w:hAnsi="宋体"/>
          <w:b/>
          <w:sz w:val="28"/>
          <w:lang w:val="zh-CN"/>
        </w:rPr>
        <w:t>：</w:t>
      </w:r>
    </w:p>
    <w:p>
      <w:pPr>
        <w:pStyle w:val="11"/>
        <w:spacing w:line="360" w:lineRule="auto"/>
        <w:jc w:val="center"/>
        <w:rPr>
          <w:rFonts w:hAnsi="宋体"/>
          <w:b/>
          <w:bCs/>
          <w:sz w:val="24"/>
          <w:lang w:val="zh-CN"/>
        </w:rPr>
      </w:pPr>
      <w:r>
        <w:rPr>
          <w:rFonts w:hint="eastAsia" w:hAnsi="宋体"/>
          <w:b/>
          <w:sz w:val="36"/>
          <w:szCs w:val="36"/>
        </w:rPr>
        <w:t>类似项目业绩一览表</w:t>
      </w:r>
    </w:p>
    <w:tbl>
      <w:tblPr>
        <w:tblStyle w:val="20"/>
        <w:tblW w:w="96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1561"/>
        <w:gridCol w:w="1744"/>
        <w:gridCol w:w="1260"/>
        <w:gridCol w:w="1800"/>
        <w:gridCol w:w="2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763" w:type="dxa"/>
            <w:vAlign w:val="center"/>
          </w:tcPr>
          <w:p>
            <w:pPr>
              <w:pStyle w:val="11"/>
              <w:jc w:val="center"/>
              <w:rPr>
                <w:rFonts w:hAnsi="宋体"/>
                <w:sz w:val="24"/>
              </w:rPr>
            </w:pPr>
            <w:r>
              <w:rPr>
                <w:rFonts w:hAnsi="宋体"/>
                <w:sz w:val="24"/>
              </w:rPr>
              <w:t>序号</w:t>
            </w:r>
          </w:p>
        </w:tc>
        <w:tc>
          <w:tcPr>
            <w:tcW w:w="1561" w:type="dxa"/>
            <w:vAlign w:val="center"/>
          </w:tcPr>
          <w:p>
            <w:pPr>
              <w:pStyle w:val="11"/>
              <w:jc w:val="center"/>
              <w:rPr>
                <w:rFonts w:hAnsi="宋体"/>
                <w:sz w:val="24"/>
              </w:rPr>
            </w:pPr>
            <w:r>
              <w:rPr>
                <w:rFonts w:hAnsi="宋体"/>
                <w:sz w:val="24"/>
              </w:rPr>
              <w:t>项目名称</w:t>
            </w:r>
          </w:p>
        </w:tc>
        <w:tc>
          <w:tcPr>
            <w:tcW w:w="1744" w:type="dxa"/>
            <w:vAlign w:val="center"/>
          </w:tcPr>
          <w:p>
            <w:pPr>
              <w:pStyle w:val="11"/>
              <w:jc w:val="center"/>
              <w:rPr>
                <w:rFonts w:hAnsi="宋体"/>
                <w:sz w:val="24"/>
              </w:rPr>
            </w:pPr>
            <w:r>
              <w:rPr>
                <w:rFonts w:hAnsi="宋体"/>
                <w:sz w:val="24"/>
              </w:rPr>
              <w:t>业主单位</w:t>
            </w:r>
          </w:p>
        </w:tc>
        <w:tc>
          <w:tcPr>
            <w:tcW w:w="1260" w:type="dxa"/>
            <w:vAlign w:val="center"/>
          </w:tcPr>
          <w:p>
            <w:pPr>
              <w:pStyle w:val="11"/>
              <w:jc w:val="center"/>
              <w:rPr>
                <w:rFonts w:hAnsi="宋体"/>
                <w:sz w:val="24"/>
              </w:rPr>
            </w:pPr>
            <w:r>
              <w:rPr>
                <w:rFonts w:hAnsi="宋体"/>
                <w:sz w:val="24"/>
              </w:rPr>
              <w:t>合同金额</w:t>
            </w:r>
          </w:p>
        </w:tc>
        <w:tc>
          <w:tcPr>
            <w:tcW w:w="1800" w:type="dxa"/>
            <w:vAlign w:val="center"/>
          </w:tcPr>
          <w:p>
            <w:pPr>
              <w:pStyle w:val="11"/>
              <w:jc w:val="center"/>
              <w:rPr>
                <w:rFonts w:hAnsi="宋体"/>
                <w:sz w:val="24"/>
              </w:rPr>
            </w:pPr>
            <w:r>
              <w:rPr>
                <w:rFonts w:hAnsi="宋体"/>
                <w:sz w:val="24"/>
              </w:rPr>
              <w:t>合同签订时间</w:t>
            </w:r>
          </w:p>
        </w:tc>
        <w:tc>
          <w:tcPr>
            <w:tcW w:w="2520" w:type="dxa"/>
            <w:vAlign w:val="center"/>
          </w:tcPr>
          <w:p>
            <w:pPr>
              <w:pStyle w:val="11"/>
              <w:jc w:val="center"/>
              <w:rPr>
                <w:rFonts w:hAnsi="宋体"/>
                <w:sz w:val="24"/>
              </w:rPr>
            </w:pPr>
            <w:r>
              <w:rPr>
                <w:rFonts w:hAnsi="宋体"/>
                <w:sz w:val="24"/>
              </w:rPr>
              <w:t>联系人/电话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763" w:type="dxa"/>
            <w:vAlign w:val="center"/>
          </w:tcPr>
          <w:p>
            <w:pPr>
              <w:pStyle w:val="11"/>
              <w:rPr>
                <w:rFonts w:hAnsi="宋体"/>
                <w:sz w:val="24"/>
              </w:rPr>
            </w:pPr>
          </w:p>
        </w:tc>
        <w:tc>
          <w:tcPr>
            <w:tcW w:w="1561" w:type="dxa"/>
            <w:vAlign w:val="center"/>
          </w:tcPr>
          <w:p>
            <w:pPr>
              <w:pStyle w:val="11"/>
              <w:rPr>
                <w:rFonts w:hAnsi="宋体"/>
                <w:sz w:val="24"/>
              </w:rPr>
            </w:pPr>
          </w:p>
        </w:tc>
        <w:tc>
          <w:tcPr>
            <w:tcW w:w="1744" w:type="dxa"/>
            <w:vAlign w:val="center"/>
          </w:tcPr>
          <w:p>
            <w:pPr>
              <w:pStyle w:val="11"/>
              <w:rPr>
                <w:rFonts w:hAnsi="宋体"/>
                <w:sz w:val="24"/>
              </w:rPr>
            </w:pPr>
          </w:p>
        </w:tc>
        <w:tc>
          <w:tcPr>
            <w:tcW w:w="1260" w:type="dxa"/>
            <w:vAlign w:val="center"/>
          </w:tcPr>
          <w:p>
            <w:pPr>
              <w:pStyle w:val="11"/>
              <w:rPr>
                <w:rFonts w:hAnsi="宋体"/>
                <w:sz w:val="24"/>
              </w:rPr>
            </w:pPr>
          </w:p>
        </w:tc>
        <w:tc>
          <w:tcPr>
            <w:tcW w:w="1800" w:type="dxa"/>
            <w:vAlign w:val="center"/>
          </w:tcPr>
          <w:p>
            <w:pPr>
              <w:pStyle w:val="11"/>
              <w:rPr>
                <w:rFonts w:hAnsi="宋体"/>
                <w:sz w:val="24"/>
              </w:rPr>
            </w:pPr>
          </w:p>
        </w:tc>
        <w:tc>
          <w:tcPr>
            <w:tcW w:w="2520" w:type="dxa"/>
            <w:vAlign w:val="center"/>
          </w:tcPr>
          <w:p>
            <w:pPr>
              <w:pStyle w:val="11"/>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763" w:type="dxa"/>
            <w:vAlign w:val="center"/>
          </w:tcPr>
          <w:p>
            <w:pPr>
              <w:pStyle w:val="11"/>
              <w:rPr>
                <w:rFonts w:hAnsi="宋体"/>
                <w:sz w:val="24"/>
              </w:rPr>
            </w:pPr>
          </w:p>
        </w:tc>
        <w:tc>
          <w:tcPr>
            <w:tcW w:w="1561" w:type="dxa"/>
            <w:vAlign w:val="center"/>
          </w:tcPr>
          <w:p>
            <w:pPr>
              <w:pStyle w:val="11"/>
              <w:rPr>
                <w:rFonts w:hAnsi="宋体"/>
                <w:sz w:val="24"/>
              </w:rPr>
            </w:pPr>
          </w:p>
        </w:tc>
        <w:tc>
          <w:tcPr>
            <w:tcW w:w="1744" w:type="dxa"/>
            <w:vAlign w:val="center"/>
          </w:tcPr>
          <w:p>
            <w:pPr>
              <w:pStyle w:val="11"/>
              <w:rPr>
                <w:rFonts w:hAnsi="宋体"/>
                <w:sz w:val="24"/>
              </w:rPr>
            </w:pPr>
          </w:p>
        </w:tc>
        <w:tc>
          <w:tcPr>
            <w:tcW w:w="1260" w:type="dxa"/>
            <w:vAlign w:val="center"/>
          </w:tcPr>
          <w:p>
            <w:pPr>
              <w:pStyle w:val="11"/>
              <w:rPr>
                <w:rFonts w:hAnsi="宋体"/>
                <w:sz w:val="24"/>
              </w:rPr>
            </w:pPr>
          </w:p>
        </w:tc>
        <w:tc>
          <w:tcPr>
            <w:tcW w:w="1800" w:type="dxa"/>
            <w:vAlign w:val="center"/>
          </w:tcPr>
          <w:p>
            <w:pPr>
              <w:pStyle w:val="11"/>
              <w:rPr>
                <w:rFonts w:hAnsi="宋体"/>
                <w:sz w:val="24"/>
              </w:rPr>
            </w:pPr>
          </w:p>
        </w:tc>
        <w:tc>
          <w:tcPr>
            <w:tcW w:w="2520" w:type="dxa"/>
            <w:vAlign w:val="center"/>
          </w:tcPr>
          <w:p>
            <w:pPr>
              <w:pStyle w:val="11"/>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763" w:type="dxa"/>
            <w:vAlign w:val="center"/>
          </w:tcPr>
          <w:p>
            <w:pPr>
              <w:pStyle w:val="11"/>
              <w:rPr>
                <w:rFonts w:hAnsi="宋体"/>
                <w:sz w:val="24"/>
              </w:rPr>
            </w:pPr>
          </w:p>
        </w:tc>
        <w:tc>
          <w:tcPr>
            <w:tcW w:w="1561" w:type="dxa"/>
            <w:vAlign w:val="center"/>
          </w:tcPr>
          <w:p>
            <w:pPr>
              <w:pStyle w:val="11"/>
              <w:rPr>
                <w:rFonts w:hAnsi="宋体"/>
                <w:sz w:val="24"/>
              </w:rPr>
            </w:pPr>
          </w:p>
        </w:tc>
        <w:tc>
          <w:tcPr>
            <w:tcW w:w="1744" w:type="dxa"/>
            <w:vAlign w:val="center"/>
          </w:tcPr>
          <w:p>
            <w:pPr>
              <w:pStyle w:val="11"/>
              <w:rPr>
                <w:rFonts w:hAnsi="宋体"/>
                <w:sz w:val="24"/>
              </w:rPr>
            </w:pPr>
          </w:p>
        </w:tc>
        <w:tc>
          <w:tcPr>
            <w:tcW w:w="1260" w:type="dxa"/>
            <w:vAlign w:val="center"/>
          </w:tcPr>
          <w:p>
            <w:pPr>
              <w:pStyle w:val="11"/>
              <w:rPr>
                <w:rFonts w:hAnsi="宋体"/>
                <w:sz w:val="24"/>
              </w:rPr>
            </w:pPr>
          </w:p>
        </w:tc>
        <w:tc>
          <w:tcPr>
            <w:tcW w:w="1800" w:type="dxa"/>
            <w:vAlign w:val="center"/>
          </w:tcPr>
          <w:p>
            <w:pPr>
              <w:pStyle w:val="11"/>
              <w:rPr>
                <w:rFonts w:hAnsi="宋体"/>
                <w:sz w:val="24"/>
              </w:rPr>
            </w:pPr>
          </w:p>
        </w:tc>
        <w:tc>
          <w:tcPr>
            <w:tcW w:w="2520" w:type="dxa"/>
            <w:vAlign w:val="center"/>
          </w:tcPr>
          <w:p>
            <w:pPr>
              <w:pStyle w:val="11"/>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763" w:type="dxa"/>
            <w:vAlign w:val="center"/>
          </w:tcPr>
          <w:p>
            <w:pPr>
              <w:pStyle w:val="11"/>
              <w:rPr>
                <w:rFonts w:hAnsi="宋体"/>
                <w:sz w:val="24"/>
              </w:rPr>
            </w:pPr>
          </w:p>
        </w:tc>
        <w:tc>
          <w:tcPr>
            <w:tcW w:w="1561" w:type="dxa"/>
            <w:vAlign w:val="center"/>
          </w:tcPr>
          <w:p>
            <w:pPr>
              <w:pStyle w:val="11"/>
              <w:rPr>
                <w:rFonts w:hAnsi="宋体"/>
                <w:sz w:val="24"/>
              </w:rPr>
            </w:pPr>
          </w:p>
        </w:tc>
        <w:tc>
          <w:tcPr>
            <w:tcW w:w="1744" w:type="dxa"/>
            <w:vAlign w:val="center"/>
          </w:tcPr>
          <w:p>
            <w:pPr>
              <w:pStyle w:val="11"/>
              <w:rPr>
                <w:rFonts w:hAnsi="宋体"/>
                <w:sz w:val="24"/>
              </w:rPr>
            </w:pPr>
          </w:p>
        </w:tc>
        <w:tc>
          <w:tcPr>
            <w:tcW w:w="1260" w:type="dxa"/>
            <w:vAlign w:val="center"/>
          </w:tcPr>
          <w:p>
            <w:pPr>
              <w:pStyle w:val="11"/>
              <w:rPr>
                <w:rFonts w:hAnsi="宋体"/>
                <w:sz w:val="24"/>
              </w:rPr>
            </w:pPr>
          </w:p>
        </w:tc>
        <w:tc>
          <w:tcPr>
            <w:tcW w:w="1800" w:type="dxa"/>
            <w:vAlign w:val="center"/>
          </w:tcPr>
          <w:p>
            <w:pPr>
              <w:pStyle w:val="11"/>
              <w:rPr>
                <w:rFonts w:hAnsi="宋体"/>
                <w:sz w:val="24"/>
              </w:rPr>
            </w:pPr>
          </w:p>
        </w:tc>
        <w:tc>
          <w:tcPr>
            <w:tcW w:w="2520" w:type="dxa"/>
            <w:vAlign w:val="center"/>
          </w:tcPr>
          <w:p>
            <w:pPr>
              <w:pStyle w:val="11"/>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763" w:type="dxa"/>
            <w:vAlign w:val="center"/>
          </w:tcPr>
          <w:p>
            <w:pPr>
              <w:pStyle w:val="11"/>
              <w:rPr>
                <w:rFonts w:hAnsi="宋体"/>
                <w:sz w:val="24"/>
              </w:rPr>
            </w:pPr>
          </w:p>
        </w:tc>
        <w:tc>
          <w:tcPr>
            <w:tcW w:w="1561" w:type="dxa"/>
            <w:vAlign w:val="center"/>
          </w:tcPr>
          <w:p>
            <w:pPr>
              <w:pStyle w:val="11"/>
              <w:rPr>
                <w:rFonts w:hAnsi="宋体"/>
                <w:sz w:val="24"/>
              </w:rPr>
            </w:pPr>
          </w:p>
        </w:tc>
        <w:tc>
          <w:tcPr>
            <w:tcW w:w="1744" w:type="dxa"/>
            <w:vAlign w:val="center"/>
          </w:tcPr>
          <w:p>
            <w:pPr>
              <w:pStyle w:val="11"/>
              <w:rPr>
                <w:rFonts w:hAnsi="宋体"/>
                <w:sz w:val="24"/>
              </w:rPr>
            </w:pPr>
          </w:p>
        </w:tc>
        <w:tc>
          <w:tcPr>
            <w:tcW w:w="1260" w:type="dxa"/>
            <w:vAlign w:val="center"/>
          </w:tcPr>
          <w:p>
            <w:pPr>
              <w:pStyle w:val="11"/>
              <w:rPr>
                <w:rFonts w:hAnsi="宋体"/>
                <w:sz w:val="24"/>
              </w:rPr>
            </w:pPr>
          </w:p>
        </w:tc>
        <w:tc>
          <w:tcPr>
            <w:tcW w:w="1800" w:type="dxa"/>
            <w:vAlign w:val="center"/>
          </w:tcPr>
          <w:p>
            <w:pPr>
              <w:pStyle w:val="11"/>
              <w:rPr>
                <w:rFonts w:hAnsi="宋体"/>
                <w:sz w:val="24"/>
              </w:rPr>
            </w:pPr>
          </w:p>
        </w:tc>
        <w:tc>
          <w:tcPr>
            <w:tcW w:w="2520" w:type="dxa"/>
            <w:vAlign w:val="center"/>
          </w:tcPr>
          <w:p>
            <w:pPr>
              <w:pStyle w:val="11"/>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763" w:type="dxa"/>
            <w:vAlign w:val="center"/>
          </w:tcPr>
          <w:p>
            <w:pPr>
              <w:pStyle w:val="11"/>
              <w:rPr>
                <w:rFonts w:hAnsi="宋体"/>
                <w:sz w:val="24"/>
              </w:rPr>
            </w:pPr>
          </w:p>
        </w:tc>
        <w:tc>
          <w:tcPr>
            <w:tcW w:w="1561" w:type="dxa"/>
            <w:vAlign w:val="center"/>
          </w:tcPr>
          <w:p>
            <w:pPr>
              <w:pStyle w:val="11"/>
              <w:rPr>
                <w:rFonts w:hAnsi="宋体"/>
                <w:sz w:val="24"/>
              </w:rPr>
            </w:pPr>
          </w:p>
        </w:tc>
        <w:tc>
          <w:tcPr>
            <w:tcW w:w="1744" w:type="dxa"/>
            <w:vAlign w:val="center"/>
          </w:tcPr>
          <w:p>
            <w:pPr>
              <w:pStyle w:val="11"/>
              <w:rPr>
                <w:rFonts w:hAnsi="宋体"/>
                <w:sz w:val="24"/>
              </w:rPr>
            </w:pPr>
          </w:p>
        </w:tc>
        <w:tc>
          <w:tcPr>
            <w:tcW w:w="1260" w:type="dxa"/>
            <w:vAlign w:val="center"/>
          </w:tcPr>
          <w:p>
            <w:pPr>
              <w:pStyle w:val="11"/>
              <w:rPr>
                <w:rFonts w:hAnsi="宋体"/>
                <w:sz w:val="24"/>
              </w:rPr>
            </w:pPr>
          </w:p>
        </w:tc>
        <w:tc>
          <w:tcPr>
            <w:tcW w:w="1800" w:type="dxa"/>
            <w:vAlign w:val="center"/>
          </w:tcPr>
          <w:p>
            <w:pPr>
              <w:pStyle w:val="11"/>
              <w:rPr>
                <w:rFonts w:hAnsi="宋体"/>
                <w:sz w:val="24"/>
              </w:rPr>
            </w:pPr>
          </w:p>
        </w:tc>
        <w:tc>
          <w:tcPr>
            <w:tcW w:w="2520" w:type="dxa"/>
            <w:vAlign w:val="center"/>
          </w:tcPr>
          <w:p>
            <w:pPr>
              <w:pStyle w:val="11"/>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763" w:type="dxa"/>
            <w:vAlign w:val="center"/>
          </w:tcPr>
          <w:p>
            <w:pPr>
              <w:pStyle w:val="11"/>
              <w:rPr>
                <w:rFonts w:hAnsi="宋体"/>
                <w:sz w:val="24"/>
              </w:rPr>
            </w:pPr>
          </w:p>
        </w:tc>
        <w:tc>
          <w:tcPr>
            <w:tcW w:w="1561" w:type="dxa"/>
            <w:vAlign w:val="center"/>
          </w:tcPr>
          <w:p>
            <w:pPr>
              <w:pStyle w:val="11"/>
              <w:rPr>
                <w:rFonts w:hAnsi="宋体"/>
                <w:sz w:val="24"/>
              </w:rPr>
            </w:pPr>
          </w:p>
        </w:tc>
        <w:tc>
          <w:tcPr>
            <w:tcW w:w="1744" w:type="dxa"/>
            <w:vAlign w:val="center"/>
          </w:tcPr>
          <w:p>
            <w:pPr>
              <w:pStyle w:val="11"/>
              <w:rPr>
                <w:rFonts w:hAnsi="宋体"/>
                <w:sz w:val="24"/>
              </w:rPr>
            </w:pPr>
          </w:p>
        </w:tc>
        <w:tc>
          <w:tcPr>
            <w:tcW w:w="1260" w:type="dxa"/>
            <w:vAlign w:val="center"/>
          </w:tcPr>
          <w:p>
            <w:pPr>
              <w:pStyle w:val="11"/>
              <w:rPr>
                <w:rFonts w:hAnsi="宋体"/>
                <w:sz w:val="24"/>
              </w:rPr>
            </w:pPr>
          </w:p>
        </w:tc>
        <w:tc>
          <w:tcPr>
            <w:tcW w:w="1800" w:type="dxa"/>
            <w:vAlign w:val="center"/>
          </w:tcPr>
          <w:p>
            <w:pPr>
              <w:pStyle w:val="11"/>
              <w:rPr>
                <w:rFonts w:hAnsi="宋体"/>
                <w:sz w:val="24"/>
              </w:rPr>
            </w:pPr>
          </w:p>
        </w:tc>
        <w:tc>
          <w:tcPr>
            <w:tcW w:w="2520" w:type="dxa"/>
            <w:vAlign w:val="center"/>
          </w:tcPr>
          <w:p>
            <w:pPr>
              <w:pStyle w:val="11"/>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763" w:type="dxa"/>
            <w:vAlign w:val="center"/>
          </w:tcPr>
          <w:p>
            <w:pPr>
              <w:pStyle w:val="11"/>
              <w:rPr>
                <w:rFonts w:hAnsi="宋体"/>
                <w:sz w:val="24"/>
              </w:rPr>
            </w:pPr>
          </w:p>
        </w:tc>
        <w:tc>
          <w:tcPr>
            <w:tcW w:w="1561" w:type="dxa"/>
            <w:vAlign w:val="center"/>
          </w:tcPr>
          <w:p>
            <w:pPr>
              <w:pStyle w:val="11"/>
              <w:rPr>
                <w:rFonts w:hAnsi="宋体"/>
                <w:sz w:val="24"/>
              </w:rPr>
            </w:pPr>
          </w:p>
        </w:tc>
        <w:tc>
          <w:tcPr>
            <w:tcW w:w="1744" w:type="dxa"/>
            <w:vAlign w:val="center"/>
          </w:tcPr>
          <w:p>
            <w:pPr>
              <w:pStyle w:val="11"/>
              <w:rPr>
                <w:rFonts w:hAnsi="宋体"/>
                <w:sz w:val="24"/>
              </w:rPr>
            </w:pPr>
          </w:p>
        </w:tc>
        <w:tc>
          <w:tcPr>
            <w:tcW w:w="1260" w:type="dxa"/>
            <w:vAlign w:val="center"/>
          </w:tcPr>
          <w:p>
            <w:pPr>
              <w:pStyle w:val="11"/>
              <w:rPr>
                <w:rFonts w:hAnsi="宋体"/>
                <w:sz w:val="24"/>
              </w:rPr>
            </w:pPr>
          </w:p>
        </w:tc>
        <w:tc>
          <w:tcPr>
            <w:tcW w:w="1800" w:type="dxa"/>
            <w:vAlign w:val="center"/>
          </w:tcPr>
          <w:p>
            <w:pPr>
              <w:pStyle w:val="11"/>
              <w:rPr>
                <w:rFonts w:hAnsi="宋体"/>
                <w:sz w:val="24"/>
              </w:rPr>
            </w:pPr>
          </w:p>
        </w:tc>
        <w:tc>
          <w:tcPr>
            <w:tcW w:w="2520" w:type="dxa"/>
            <w:vAlign w:val="center"/>
          </w:tcPr>
          <w:p>
            <w:pPr>
              <w:pStyle w:val="11"/>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763" w:type="dxa"/>
            <w:vAlign w:val="center"/>
          </w:tcPr>
          <w:p>
            <w:pPr>
              <w:pStyle w:val="11"/>
              <w:rPr>
                <w:rFonts w:hAnsi="宋体"/>
                <w:sz w:val="24"/>
              </w:rPr>
            </w:pPr>
            <w:r>
              <w:rPr>
                <w:rFonts w:hint="eastAsia" w:hAnsi="宋体"/>
                <w:sz w:val="24"/>
              </w:rPr>
              <w:t>……</w:t>
            </w:r>
          </w:p>
        </w:tc>
        <w:tc>
          <w:tcPr>
            <w:tcW w:w="1561" w:type="dxa"/>
            <w:vAlign w:val="center"/>
          </w:tcPr>
          <w:p>
            <w:pPr>
              <w:pStyle w:val="11"/>
              <w:rPr>
                <w:rFonts w:hAnsi="宋体"/>
                <w:sz w:val="24"/>
              </w:rPr>
            </w:pPr>
          </w:p>
        </w:tc>
        <w:tc>
          <w:tcPr>
            <w:tcW w:w="1744" w:type="dxa"/>
            <w:vAlign w:val="center"/>
          </w:tcPr>
          <w:p>
            <w:pPr>
              <w:pStyle w:val="11"/>
              <w:rPr>
                <w:rFonts w:hAnsi="宋体"/>
                <w:sz w:val="24"/>
              </w:rPr>
            </w:pPr>
          </w:p>
        </w:tc>
        <w:tc>
          <w:tcPr>
            <w:tcW w:w="1260" w:type="dxa"/>
            <w:vAlign w:val="center"/>
          </w:tcPr>
          <w:p>
            <w:pPr>
              <w:pStyle w:val="11"/>
              <w:rPr>
                <w:rFonts w:hAnsi="宋体"/>
                <w:sz w:val="24"/>
              </w:rPr>
            </w:pPr>
          </w:p>
        </w:tc>
        <w:tc>
          <w:tcPr>
            <w:tcW w:w="1800" w:type="dxa"/>
            <w:vAlign w:val="center"/>
          </w:tcPr>
          <w:p>
            <w:pPr>
              <w:pStyle w:val="11"/>
              <w:rPr>
                <w:rFonts w:hAnsi="宋体"/>
                <w:sz w:val="24"/>
              </w:rPr>
            </w:pPr>
          </w:p>
        </w:tc>
        <w:tc>
          <w:tcPr>
            <w:tcW w:w="2520" w:type="dxa"/>
            <w:vAlign w:val="center"/>
          </w:tcPr>
          <w:p>
            <w:pPr>
              <w:pStyle w:val="11"/>
              <w:rPr>
                <w:rFonts w:hAnsi="宋体"/>
                <w:sz w:val="24"/>
              </w:rPr>
            </w:pPr>
          </w:p>
        </w:tc>
      </w:tr>
    </w:tbl>
    <w:p>
      <w:pPr>
        <w:pStyle w:val="11"/>
        <w:spacing w:line="360" w:lineRule="auto"/>
        <w:rPr>
          <w:rFonts w:hAnsi="宋体"/>
          <w:sz w:val="24"/>
        </w:rPr>
      </w:pPr>
      <w:r>
        <w:rPr>
          <w:rFonts w:hAnsi="宋体"/>
          <w:sz w:val="24"/>
        </w:rPr>
        <w:t>注：</w:t>
      </w:r>
    </w:p>
    <w:p>
      <w:pPr>
        <w:pStyle w:val="11"/>
        <w:spacing w:line="360" w:lineRule="auto"/>
        <w:ind w:firstLine="468" w:firstLineChars="195"/>
        <w:rPr>
          <w:rFonts w:hAnsi="宋体"/>
          <w:sz w:val="24"/>
        </w:rPr>
      </w:pPr>
      <w:r>
        <w:rPr>
          <w:rFonts w:hint="eastAsia" w:hAnsi="宋体"/>
          <w:sz w:val="24"/>
        </w:rPr>
        <w:t>1.</w:t>
      </w:r>
      <w:r>
        <w:rPr>
          <w:rFonts w:hAnsi="宋体"/>
          <w:sz w:val="24"/>
        </w:rPr>
        <w:t>附上每个业绩合同</w:t>
      </w:r>
      <w:r>
        <w:rPr>
          <w:rFonts w:hint="eastAsia" w:hAnsi="宋体"/>
          <w:sz w:val="24"/>
          <w:lang w:eastAsia="zh-CN"/>
        </w:rPr>
        <w:t>及验收报告</w:t>
      </w:r>
      <w:r>
        <w:rPr>
          <w:rFonts w:hAnsi="宋体"/>
          <w:sz w:val="24"/>
        </w:rPr>
        <w:t>，</w:t>
      </w:r>
      <w:r>
        <w:rPr>
          <w:rFonts w:hint="eastAsia" w:hAnsi="宋体"/>
          <w:sz w:val="24"/>
        </w:rPr>
        <w:t>并提供原件</w:t>
      </w:r>
      <w:r>
        <w:rPr>
          <w:rFonts w:hAnsi="宋体"/>
          <w:sz w:val="24"/>
        </w:rPr>
        <w:t>备查。</w:t>
      </w:r>
    </w:p>
    <w:p>
      <w:pPr>
        <w:autoSpaceDE w:val="0"/>
        <w:autoSpaceDN w:val="0"/>
        <w:adjustRightInd w:val="0"/>
        <w:spacing w:line="560" w:lineRule="exact"/>
        <w:ind w:firstLine="6000" w:firstLineChars="2500"/>
        <w:rPr>
          <w:rFonts w:ascii="宋体" w:hAnsi="宋体"/>
          <w:sz w:val="24"/>
        </w:rPr>
      </w:pPr>
    </w:p>
    <w:p>
      <w:pPr>
        <w:spacing w:line="360" w:lineRule="auto"/>
        <w:ind w:left="420"/>
        <w:rPr>
          <w:rFonts w:ascii="宋体" w:hAnsi="宋体"/>
          <w:sz w:val="24"/>
          <w:u w:val="single"/>
        </w:rPr>
      </w:pPr>
      <w:r>
        <w:rPr>
          <w:rFonts w:hint="eastAsia" w:ascii="宋体" w:hAnsi="宋体"/>
          <w:sz w:val="24"/>
        </w:rPr>
        <w:t>投标人名称（盖章）：</w:t>
      </w:r>
    </w:p>
    <w:p>
      <w:pPr>
        <w:spacing w:line="360" w:lineRule="auto"/>
        <w:ind w:firstLine="435"/>
        <w:rPr>
          <w:rFonts w:ascii="宋体" w:hAnsi="宋体"/>
          <w:sz w:val="24"/>
        </w:rPr>
      </w:pPr>
      <w:r>
        <w:rPr>
          <w:rFonts w:hint="eastAsia" w:ascii="宋体" w:hAnsi="宋体"/>
          <w:sz w:val="24"/>
        </w:rPr>
        <w:t>投标人代表签字或盖章：</w:t>
      </w:r>
    </w:p>
    <w:p>
      <w:pPr>
        <w:spacing w:line="360" w:lineRule="auto"/>
        <w:ind w:firstLine="435"/>
        <w:rPr>
          <w:rFonts w:ascii="宋体" w:hAnsi="宋体"/>
          <w:sz w:val="24"/>
        </w:rPr>
      </w:pPr>
      <w:r>
        <w:rPr>
          <w:rFonts w:hint="eastAsia" w:ascii="宋体" w:hAnsi="宋体"/>
          <w:sz w:val="24"/>
        </w:rPr>
        <w:t>职        务：</w:t>
      </w:r>
    </w:p>
    <w:p>
      <w:pPr>
        <w:spacing w:line="360" w:lineRule="auto"/>
        <w:ind w:firstLine="435"/>
        <w:rPr>
          <w:rFonts w:ascii="宋体" w:hAnsi="宋体"/>
          <w:sz w:val="24"/>
        </w:rPr>
      </w:pPr>
      <w:r>
        <w:rPr>
          <w:rFonts w:hint="eastAsia" w:ascii="宋体" w:hAnsi="宋体"/>
          <w:sz w:val="24"/>
        </w:rPr>
        <w:t>日        期：</w:t>
      </w:r>
    </w:p>
    <w:p>
      <w:pPr>
        <w:spacing w:line="360" w:lineRule="auto"/>
        <w:ind w:firstLine="435"/>
        <w:rPr>
          <w:rFonts w:ascii="宋体" w:hAnsi="宋体"/>
          <w:b/>
          <w:sz w:val="28"/>
        </w:rPr>
      </w:pPr>
    </w:p>
    <w:p>
      <w:pPr>
        <w:spacing w:line="360" w:lineRule="auto"/>
        <w:ind w:firstLine="435"/>
        <w:rPr>
          <w:rFonts w:ascii="宋体" w:hAnsi="宋体"/>
          <w:b/>
          <w:sz w:val="28"/>
        </w:rPr>
      </w:pPr>
    </w:p>
    <w:p>
      <w:pPr>
        <w:spacing w:line="360" w:lineRule="auto"/>
        <w:ind w:firstLine="435"/>
        <w:rPr>
          <w:rFonts w:ascii="宋体" w:hAnsi="宋体"/>
          <w:sz w:val="24"/>
        </w:rPr>
      </w:pPr>
      <w:r>
        <w:rPr>
          <w:rFonts w:hint="eastAsia" w:ascii="宋体" w:hAnsi="宋体"/>
          <w:b/>
          <w:sz w:val="28"/>
        </w:rPr>
        <w:t>附件6</w:t>
      </w:r>
    </w:p>
    <w:p>
      <w:pPr>
        <w:spacing w:after="240" w:afterLines="100" w:line="600" w:lineRule="exact"/>
        <w:jc w:val="center"/>
        <w:rPr>
          <w:rFonts w:ascii="仿宋_GB2312" w:eastAsia="仿宋_GB2312"/>
          <w:sz w:val="48"/>
          <w:szCs w:val="44"/>
        </w:rPr>
      </w:pPr>
      <w:r>
        <w:rPr>
          <w:rFonts w:hint="eastAsia" w:ascii="宋体" w:hAnsi="宋体"/>
          <w:b/>
          <w:sz w:val="36"/>
          <w:szCs w:val="56"/>
        </w:rPr>
        <w:t>商务响应表</w:t>
      </w:r>
    </w:p>
    <w:tbl>
      <w:tblPr>
        <w:tblStyle w:val="20"/>
        <w:tblW w:w="90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927"/>
        <w:gridCol w:w="2546"/>
        <w:gridCol w:w="2562"/>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38" w:type="dxa"/>
            <w:noWrap w:val="0"/>
            <w:vAlign w:val="center"/>
          </w:tcPr>
          <w:p>
            <w:pPr>
              <w:jc w:val="center"/>
              <w:rPr>
                <w:rFonts w:ascii="宋体" w:hAnsi="宋体"/>
                <w:sz w:val="24"/>
              </w:rPr>
            </w:pPr>
            <w:r>
              <w:rPr>
                <w:rFonts w:hint="eastAsia" w:ascii="宋体" w:hAnsi="宋体"/>
                <w:sz w:val="24"/>
              </w:rPr>
              <w:t>序号</w:t>
            </w:r>
          </w:p>
        </w:tc>
        <w:tc>
          <w:tcPr>
            <w:tcW w:w="1927" w:type="dxa"/>
            <w:noWrap w:val="0"/>
            <w:vAlign w:val="center"/>
          </w:tcPr>
          <w:p>
            <w:pPr>
              <w:jc w:val="center"/>
              <w:rPr>
                <w:rFonts w:ascii="宋体" w:hAnsi="宋体"/>
                <w:sz w:val="24"/>
              </w:rPr>
            </w:pPr>
            <w:r>
              <w:rPr>
                <w:rFonts w:hint="eastAsia" w:ascii="宋体" w:hAnsi="宋体"/>
                <w:sz w:val="24"/>
              </w:rPr>
              <w:t>类别</w:t>
            </w:r>
          </w:p>
        </w:tc>
        <w:tc>
          <w:tcPr>
            <w:tcW w:w="2546" w:type="dxa"/>
            <w:noWrap w:val="0"/>
            <w:vAlign w:val="center"/>
          </w:tcPr>
          <w:p>
            <w:pPr>
              <w:jc w:val="center"/>
              <w:rPr>
                <w:rFonts w:ascii="宋体" w:hAnsi="宋体"/>
                <w:sz w:val="24"/>
              </w:rPr>
            </w:pPr>
            <w:r>
              <w:rPr>
                <w:rFonts w:hint="eastAsia" w:ascii="宋体" w:hAnsi="宋体"/>
                <w:sz w:val="24"/>
              </w:rPr>
              <w:t>招标文件要求</w:t>
            </w:r>
          </w:p>
        </w:tc>
        <w:tc>
          <w:tcPr>
            <w:tcW w:w="2562" w:type="dxa"/>
            <w:noWrap w:val="0"/>
            <w:vAlign w:val="center"/>
          </w:tcPr>
          <w:p>
            <w:pPr>
              <w:jc w:val="center"/>
              <w:rPr>
                <w:rFonts w:ascii="宋体" w:hAnsi="宋体"/>
                <w:sz w:val="24"/>
              </w:rPr>
            </w:pPr>
            <w:r>
              <w:rPr>
                <w:rFonts w:hint="eastAsia" w:ascii="宋体" w:hAnsi="宋体"/>
                <w:sz w:val="24"/>
              </w:rPr>
              <w:t>投标人承诺</w:t>
            </w:r>
          </w:p>
        </w:tc>
        <w:tc>
          <w:tcPr>
            <w:tcW w:w="1260" w:type="dxa"/>
            <w:noWrap w:val="0"/>
            <w:vAlign w:val="center"/>
          </w:tcPr>
          <w:p>
            <w:pPr>
              <w:jc w:val="center"/>
              <w:rPr>
                <w:rFonts w:ascii="宋体" w:hAnsi="宋体"/>
                <w:sz w:val="24"/>
              </w:rPr>
            </w:pPr>
            <w:r>
              <w:rPr>
                <w:rFonts w:hint="eastAsia" w:ascii="宋体" w:hAnsi="宋体"/>
                <w:sz w:val="24"/>
              </w:rPr>
              <w:t>是否响应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38" w:type="dxa"/>
            <w:noWrap w:val="0"/>
            <w:vAlign w:val="center"/>
          </w:tcPr>
          <w:p>
            <w:pPr>
              <w:jc w:val="center"/>
              <w:rPr>
                <w:rFonts w:ascii="宋体" w:hAnsi="宋体"/>
                <w:sz w:val="24"/>
              </w:rPr>
            </w:pPr>
            <w:r>
              <w:rPr>
                <w:rFonts w:hint="eastAsia" w:ascii="宋体" w:hAnsi="宋体"/>
                <w:sz w:val="24"/>
              </w:rPr>
              <w:t>1</w:t>
            </w:r>
          </w:p>
        </w:tc>
        <w:tc>
          <w:tcPr>
            <w:tcW w:w="1927" w:type="dxa"/>
            <w:noWrap w:val="0"/>
            <w:vAlign w:val="center"/>
          </w:tcPr>
          <w:p>
            <w:pPr>
              <w:jc w:val="center"/>
              <w:rPr>
                <w:rFonts w:ascii="宋体" w:hAnsi="宋体"/>
                <w:sz w:val="24"/>
              </w:rPr>
            </w:pPr>
            <w:r>
              <w:rPr>
                <w:rFonts w:hint="eastAsia" w:ascii="宋体" w:hAnsi="宋体"/>
                <w:sz w:val="24"/>
              </w:rPr>
              <w:t>质保期</w:t>
            </w:r>
          </w:p>
        </w:tc>
        <w:tc>
          <w:tcPr>
            <w:tcW w:w="2546" w:type="dxa"/>
            <w:noWrap w:val="0"/>
            <w:vAlign w:val="center"/>
          </w:tcPr>
          <w:p>
            <w:pPr>
              <w:jc w:val="center"/>
              <w:rPr>
                <w:rFonts w:ascii="宋体" w:hAnsi="宋体"/>
                <w:sz w:val="24"/>
              </w:rPr>
            </w:pPr>
          </w:p>
        </w:tc>
        <w:tc>
          <w:tcPr>
            <w:tcW w:w="2562" w:type="dxa"/>
            <w:noWrap w:val="0"/>
            <w:vAlign w:val="center"/>
          </w:tcPr>
          <w:p>
            <w:pPr>
              <w:jc w:val="center"/>
              <w:rPr>
                <w:rFonts w:ascii="宋体" w:hAnsi="宋体"/>
                <w:sz w:val="24"/>
              </w:rPr>
            </w:pPr>
          </w:p>
        </w:tc>
        <w:tc>
          <w:tcPr>
            <w:tcW w:w="1260" w:type="dxa"/>
            <w:noWrap w:val="0"/>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38" w:type="dxa"/>
            <w:noWrap w:val="0"/>
            <w:vAlign w:val="center"/>
          </w:tcPr>
          <w:p>
            <w:pPr>
              <w:jc w:val="center"/>
              <w:rPr>
                <w:rFonts w:ascii="宋体" w:hAnsi="宋体"/>
                <w:sz w:val="24"/>
              </w:rPr>
            </w:pPr>
            <w:r>
              <w:rPr>
                <w:rFonts w:hint="eastAsia" w:ascii="宋体" w:hAnsi="宋体"/>
                <w:sz w:val="24"/>
              </w:rPr>
              <w:t>2</w:t>
            </w:r>
          </w:p>
        </w:tc>
        <w:tc>
          <w:tcPr>
            <w:tcW w:w="1927" w:type="dxa"/>
            <w:noWrap w:val="0"/>
            <w:vAlign w:val="center"/>
          </w:tcPr>
          <w:p>
            <w:pPr>
              <w:jc w:val="center"/>
              <w:rPr>
                <w:rFonts w:ascii="宋体" w:hAnsi="宋体"/>
                <w:sz w:val="24"/>
              </w:rPr>
            </w:pPr>
            <w:r>
              <w:rPr>
                <w:rFonts w:hint="eastAsia" w:ascii="宋体" w:hAnsi="宋体"/>
                <w:sz w:val="24"/>
              </w:rPr>
              <w:t>服务期</w:t>
            </w:r>
          </w:p>
        </w:tc>
        <w:tc>
          <w:tcPr>
            <w:tcW w:w="2546" w:type="dxa"/>
            <w:noWrap w:val="0"/>
            <w:vAlign w:val="center"/>
          </w:tcPr>
          <w:p>
            <w:pPr>
              <w:rPr>
                <w:rFonts w:ascii="宋体" w:hAnsi="宋体"/>
                <w:sz w:val="24"/>
              </w:rPr>
            </w:pPr>
          </w:p>
        </w:tc>
        <w:tc>
          <w:tcPr>
            <w:tcW w:w="2562" w:type="dxa"/>
            <w:noWrap w:val="0"/>
            <w:vAlign w:val="center"/>
          </w:tcPr>
          <w:p>
            <w:pPr>
              <w:jc w:val="center"/>
              <w:rPr>
                <w:rFonts w:ascii="宋体" w:hAnsi="宋体"/>
                <w:sz w:val="24"/>
              </w:rPr>
            </w:pPr>
          </w:p>
        </w:tc>
        <w:tc>
          <w:tcPr>
            <w:tcW w:w="1260" w:type="dxa"/>
            <w:noWrap w:val="0"/>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38" w:type="dxa"/>
            <w:noWrap w:val="0"/>
            <w:vAlign w:val="center"/>
          </w:tcPr>
          <w:p>
            <w:pPr>
              <w:jc w:val="center"/>
              <w:rPr>
                <w:rFonts w:ascii="宋体" w:hAnsi="宋体"/>
                <w:sz w:val="24"/>
              </w:rPr>
            </w:pPr>
            <w:r>
              <w:rPr>
                <w:rFonts w:hint="eastAsia" w:ascii="宋体" w:hAnsi="宋体"/>
                <w:sz w:val="24"/>
              </w:rPr>
              <w:t>3</w:t>
            </w:r>
          </w:p>
        </w:tc>
        <w:tc>
          <w:tcPr>
            <w:tcW w:w="1927" w:type="dxa"/>
            <w:noWrap w:val="0"/>
            <w:vAlign w:val="center"/>
          </w:tcPr>
          <w:p>
            <w:pPr>
              <w:jc w:val="center"/>
              <w:rPr>
                <w:rFonts w:ascii="宋体" w:hAnsi="宋体"/>
                <w:sz w:val="24"/>
              </w:rPr>
            </w:pPr>
            <w:r>
              <w:rPr>
                <w:rFonts w:hint="eastAsia" w:ascii="宋体" w:hAnsi="宋体"/>
                <w:sz w:val="24"/>
              </w:rPr>
              <w:t>付款方式</w:t>
            </w:r>
          </w:p>
        </w:tc>
        <w:tc>
          <w:tcPr>
            <w:tcW w:w="2546" w:type="dxa"/>
            <w:noWrap w:val="0"/>
            <w:vAlign w:val="center"/>
          </w:tcPr>
          <w:p>
            <w:pPr>
              <w:rPr>
                <w:rFonts w:ascii="宋体" w:hAnsi="宋体"/>
                <w:sz w:val="24"/>
              </w:rPr>
            </w:pPr>
          </w:p>
        </w:tc>
        <w:tc>
          <w:tcPr>
            <w:tcW w:w="2562" w:type="dxa"/>
            <w:noWrap w:val="0"/>
            <w:vAlign w:val="center"/>
          </w:tcPr>
          <w:p>
            <w:pPr>
              <w:jc w:val="center"/>
              <w:rPr>
                <w:rFonts w:ascii="宋体" w:hAnsi="宋体"/>
                <w:sz w:val="24"/>
              </w:rPr>
            </w:pPr>
          </w:p>
        </w:tc>
        <w:tc>
          <w:tcPr>
            <w:tcW w:w="1260" w:type="dxa"/>
            <w:noWrap w:val="0"/>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38" w:type="dxa"/>
            <w:noWrap w:val="0"/>
            <w:vAlign w:val="center"/>
          </w:tcPr>
          <w:p>
            <w:pPr>
              <w:jc w:val="center"/>
              <w:rPr>
                <w:rFonts w:ascii="宋体" w:hAnsi="宋体"/>
                <w:sz w:val="24"/>
              </w:rPr>
            </w:pPr>
            <w:r>
              <w:rPr>
                <w:rFonts w:hint="eastAsia" w:ascii="宋体" w:hAnsi="宋体"/>
                <w:sz w:val="24"/>
              </w:rPr>
              <w:t>4</w:t>
            </w:r>
          </w:p>
        </w:tc>
        <w:tc>
          <w:tcPr>
            <w:tcW w:w="1927" w:type="dxa"/>
            <w:noWrap w:val="0"/>
            <w:vAlign w:val="center"/>
          </w:tcPr>
          <w:p>
            <w:pPr>
              <w:jc w:val="center"/>
              <w:rPr>
                <w:rFonts w:ascii="宋体" w:hAnsi="宋体"/>
                <w:sz w:val="24"/>
              </w:rPr>
            </w:pPr>
            <w:r>
              <w:rPr>
                <w:rFonts w:hint="eastAsia" w:ascii="宋体" w:hAnsi="宋体"/>
                <w:sz w:val="24"/>
              </w:rPr>
              <w:t>备品备件及耗材要求（如有）</w:t>
            </w:r>
          </w:p>
        </w:tc>
        <w:tc>
          <w:tcPr>
            <w:tcW w:w="2546" w:type="dxa"/>
            <w:noWrap w:val="0"/>
            <w:vAlign w:val="center"/>
          </w:tcPr>
          <w:p>
            <w:pPr>
              <w:jc w:val="center"/>
              <w:rPr>
                <w:rFonts w:ascii="宋体" w:hAnsi="宋体"/>
                <w:sz w:val="24"/>
              </w:rPr>
            </w:pPr>
          </w:p>
        </w:tc>
        <w:tc>
          <w:tcPr>
            <w:tcW w:w="2562" w:type="dxa"/>
            <w:noWrap w:val="0"/>
            <w:vAlign w:val="center"/>
          </w:tcPr>
          <w:p>
            <w:pPr>
              <w:jc w:val="center"/>
              <w:rPr>
                <w:rFonts w:ascii="宋体" w:hAnsi="宋体"/>
                <w:sz w:val="24"/>
              </w:rPr>
            </w:pPr>
          </w:p>
        </w:tc>
        <w:tc>
          <w:tcPr>
            <w:tcW w:w="1260" w:type="dxa"/>
            <w:noWrap w:val="0"/>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38" w:type="dxa"/>
            <w:noWrap w:val="0"/>
            <w:vAlign w:val="center"/>
          </w:tcPr>
          <w:p>
            <w:pPr>
              <w:jc w:val="center"/>
              <w:rPr>
                <w:rFonts w:ascii="宋体" w:hAnsi="宋体"/>
                <w:sz w:val="24"/>
              </w:rPr>
            </w:pPr>
            <w:r>
              <w:rPr>
                <w:rFonts w:hint="eastAsia" w:ascii="宋体" w:hAnsi="宋体"/>
                <w:sz w:val="24"/>
              </w:rPr>
              <w:t>5</w:t>
            </w:r>
          </w:p>
        </w:tc>
        <w:tc>
          <w:tcPr>
            <w:tcW w:w="1927" w:type="dxa"/>
            <w:noWrap w:val="0"/>
            <w:vAlign w:val="center"/>
          </w:tcPr>
          <w:p>
            <w:pPr>
              <w:jc w:val="center"/>
              <w:rPr>
                <w:rFonts w:ascii="宋体" w:hAnsi="宋体"/>
                <w:sz w:val="24"/>
              </w:rPr>
            </w:pPr>
            <w:r>
              <w:rPr>
                <w:rFonts w:hint="eastAsia" w:ascii="宋体" w:hAnsi="宋体"/>
                <w:sz w:val="24"/>
              </w:rPr>
              <w:t>……</w:t>
            </w:r>
          </w:p>
        </w:tc>
        <w:tc>
          <w:tcPr>
            <w:tcW w:w="2546" w:type="dxa"/>
            <w:noWrap w:val="0"/>
            <w:vAlign w:val="center"/>
          </w:tcPr>
          <w:p>
            <w:pPr>
              <w:jc w:val="center"/>
              <w:rPr>
                <w:rFonts w:ascii="宋体" w:hAnsi="宋体"/>
                <w:sz w:val="24"/>
              </w:rPr>
            </w:pPr>
          </w:p>
        </w:tc>
        <w:tc>
          <w:tcPr>
            <w:tcW w:w="2562" w:type="dxa"/>
            <w:noWrap w:val="0"/>
            <w:vAlign w:val="center"/>
          </w:tcPr>
          <w:p>
            <w:pPr>
              <w:jc w:val="center"/>
              <w:rPr>
                <w:rFonts w:ascii="宋体" w:hAnsi="宋体"/>
                <w:sz w:val="24"/>
              </w:rPr>
            </w:pPr>
          </w:p>
        </w:tc>
        <w:tc>
          <w:tcPr>
            <w:tcW w:w="1260" w:type="dxa"/>
            <w:noWrap w:val="0"/>
            <w:vAlign w:val="center"/>
          </w:tcPr>
          <w:p>
            <w:pPr>
              <w:jc w:val="center"/>
              <w:rPr>
                <w:rFonts w:ascii="宋体" w:hAnsi="宋体"/>
                <w:sz w:val="24"/>
              </w:rPr>
            </w:pPr>
          </w:p>
        </w:tc>
      </w:tr>
    </w:tbl>
    <w:p>
      <w:pPr>
        <w:rPr>
          <w:rFonts w:ascii="宋体" w:hAnsi="宋体"/>
          <w:sz w:val="24"/>
        </w:rPr>
      </w:pPr>
    </w:p>
    <w:p>
      <w:pPr>
        <w:rPr>
          <w:rFonts w:ascii="宋体" w:hAnsi="宋体"/>
          <w:sz w:val="24"/>
        </w:rPr>
      </w:pPr>
    </w:p>
    <w:p>
      <w:pPr>
        <w:pStyle w:val="11"/>
        <w:spacing w:line="560" w:lineRule="exact"/>
        <w:ind w:firstLine="5520" w:firstLineChars="2300"/>
        <w:rPr>
          <w:rFonts w:hAnsi="宋体"/>
          <w:sz w:val="24"/>
          <w:lang w:val="zh-CN"/>
        </w:rPr>
      </w:pPr>
      <w:r>
        <w:rPr>
          <w:rFonts w:hAnsi="宋体"/>
          <w:sz w:val="24"/>
          <w:lang w:val="zh-CN"/>
        </w:rPr>
        <w:t>投标人（盖单位章）：</w:t>
      </w:r>
    </w:p>
    <w:p>
      <w:pPr>
        <w:pStyle w:val="11"/>
        <w:spacing w:line="560" w:lineRule="exact"/>
        <w:ind w:firstLine="3600" w:firstLineChars="1500"/>
        <w:rPr>
          <w:rFonts w:hAnsi="宋体"/>
          <w:sz w:val="24"/>
          <w:lang w:val="zh-CN"/>
        </w:rPr>
      </w:pPr>
      <w:r>
        <w:rPr>
          <w:rFonts w:hAnsi="宋体"/>
          <w:sz w:val="24"/>
          <w:lang w:val="zh-CN"/>
        </w:rPr>
        <w:t>法定代表人或</w:t>
      </w:r>
      <w:r>
        <w:rPr>
          <w:rFonts w:hint="eastAsia" w:hAnsi="宋体"/>
          <w:sz w:val="24"/>
          <w:lang w:val="zh-CN"/>
        </w:rPr>
        <w:t>全权代表</w:t>
      </w:r>
      <w:r>
        <w:rPr>
          <w:rFonts w:hAnsi="宋体"/>
          <w:sz w:val="24"/>
          <w:lang w:val="zh-CN"/>
        </w:rPr>
        <w:t>（盖章或签字）：</w:t>
      </w:r>
    </w:p>
    <w:p>
      <w:pPr>
        <w:pStyle w:val="11"/>
        <w:spacing w:line="560" w:lineRule="exact"/>
        <w:rPr>
          <w:rFonts w:hAnsi="宋体"/>
          <w:sz w:val="24"/>
          <w:lang w:val="zh-CN"/>
        </w:rPr>
      </w:pPr>
      <w:r>
        <w:rPr>
          <w:rFonts w:hAnsi="宋体"/>
          <w:sz w:val="24"/>
          <w:lang w:val="zh-CN"/>
        </w:rPr>
        <w:t xml:space="preserve">                                   </w:t>
      </w:r>
      <w:r>
        <w:rPr>
          <w:rFonts w:hint="eastAsia" w:hAnsi="宋体"/>
          <w:sz w:val="24"/>
          <w:lang w:val="zh-CN"/>
        </w:rPr>
        <w:t xml:space="preserve">                         </w:t>
      </w:r>
      <w:r>
        <w:rPr>
          <w:rFonts w:hAnsi="宋体"/>
          <w:sz w:val="24"/>
          <w:lang w:val="zh-CN"/>
        </w:rPr>
        <w:t>日</w:t>
      </w:r>
      <w:r>
        <w:rPr>
          <w:rFonts w:hint="eastAsia" w:hAnsi="宋体"/>
          <w:sz w:val="24"/>
          <w:lang w:val="zh-CN"/>
        </w:rPr>
        <w:t xml:space="preserve"> </w:t>
      </w:r>
      <w:r>
        <w:rPr>
          <w:rFonts w:hAnsi="宋体"/>
          <w:sz w:val="24"/>
          <w:lang w:val="zh-CN"/>
        </w:rPr>
        <w:t>期：</w:t>
      </w:r>
    </w:p>
    <w:p>
      <w:pPr>
        <w:snapToGrid w:val="0"/>
        <w:spacing w:before="50" w:after="50" w:line="360" w:lineRule="auto"/>
        <w:rPr>
          <w:rFonts w:ascii="宋体" w:hAnsi="宋体"/>
          <w:b/>
          <w:sz w:val="28"/>
        </w:rPr>
      </w:pPr>
    </w:p>
    <w:p>
      <w:pPr>
        <w:snapToGrid w:val="0"/>
        <w:spacing w:before="50" w:after="50" w:line="360" w:lineRule="auto"/>
        <w:rPr>
          <w:rFonts w:ascii="宋体" w:hAnsi="宋体"/>
          <w:b/>
          <w:sz w:val="28"/>
        </w:rPr>
      </w:pPr>
    </w:p>
    <w:p>
      <w:pPr>
        <w:rPr>
          <w:rFonts w:hint="eastAsia" w:ascii="宋体"/>
          <w:b/>
          <w:sz w:val="24"/>
          <w:lang w:val="zh-CN"/>
        </w:rPr>
      </w:pPr>
      <w:bookmarkStart w:id="29" w:name="_Toc293989545"/>
    </w:p>
    <w:p>
      <w:pPr>
        <w:rPr>
          <w:rFonts w:hint="eastAsia" w:ascii="宋体"/>
          <w:b/>
          <w:sz w:val="24"/>
          <w:lang w:val="zh-CN"/>
        </w:rPr>
      </w:pPr>
    </w:p>
    <w:p>
      <w:pPr>
        <w:rPr>
          <w:rFonts w:hint="eastAsia" w:ascii="宋体"/>
          <w:b/>
          <w:sz w:val="24"/>
          <w:lang w:val="zh-CN"/>
        </w:rPr>
      </w:pPr>
    </w:p>
    <w:p>
      <w:pPr>
        <w:rPr>
          <w:rFonts w:hint="eastAsia" w:ascii="宋体"/>
          <w:b/>
          <w:sz w:val="24"/>
          <w:lang w:val="zh-CN"/>
        </w:rPr>
      </w:pPr>
    </w:p>
    <w:p>
      <w:pPr>
        <w:rPr>
          <w:rFonts w:hint="eastAsia" w:ascii="宋体"/>
          <w:b/>
          <w:sz w:val="24"/>
          <w:lang w:val="zh-CN"/>
        </w:rPr>
      </w:pPr>
    </w:p>
    <w:p>
      <w:pPr>
        <w:rPr>
          <w:rFonts w:hint="eastAsia" w:ascii="宋体"/>
          <w:b/>
          <w:sz w:val="24"/>
          <w:lang w:val="zh-CN"/>
        </w:rPr>
      </w:pPr>
    </w:p>
    <w:p>
      <w:pPr>
        <w:rPr>
          <w:rFonts w:hint="eastAsia" w:ascii="宋体"/>
          <w:b/>
          <w:sz w:val="24"/>
          <w:lang w:val="zh-CN"/>
        </w:rPr>
      </w:pPr>
    </w:p>
    <w:p>
      <w:pPr>
        <w:rPr>
          <w:rFonts w:hint="eastAsia" w:ascii="宋体"/>
          <w:b/>
          <w:sz w:val="24"/>
          <w:lang w:val="zh-CN"/>
        </w:rPr>
      </w:pPr>
    </w:p>
    <w:p>
      <w:pPr>
        <w:rPr>
          <w:rFonts w:hint="eastAsia" w:ascii="宋体"/>
          <w:b/>
          <w:sz w:val="24"/>
          <w:lang w:val="zh-CN"/>
        </w:rPr>
      </w:pPr>
    </w:p>
    <w:p>
      <w:pPr>
        <w:rPr>
          <w:rFonts w:hint="eastAsia" w:ascii="宋体"/>
          <w:b/>
          <w:sz w:val="24"/>
          <w:lang w:val="zh-CN"/>
        </w:rPr>
      </w:pPr>
    </w:p>
    <w:p>
      <w:pPr>
        <w:rPr>
          <w:rFonts w:hint="eastAsia" w:ascii="宋体"/>
          <w:b/>
          <w:sz w:val="24"/>
          <w:lang w:val="zh-CN"/>
        </w:rPr>
      </w:pPr>
    </w:p>
    <w:p>
      <w:pPr>
        <w:rPr>
          <w:rFonts w:hint="eastAsia" w:ascii="宋体"/>
          <w:b/>
          <w:sz w:val="24"/>
          <w:lang w:val="zh-CN"/>
        </w:rPr>
      </w:pPr>
    </w:p>
    <w:p>
      <w:pPr>
        <w:rPr>
          <w:rFonts w:hint="eastAsia" w:ascii="宋体"/>
          <w:b/>
          <w:sz w:val="24"/>
          <w:lang w:val="zh-CN"/>
        </w:rPr>
      </w:pPr>
    </w:p>
    <w:p>
      <w:pPr>
        <w:rPr>
          <w:rFonts w:hint="eastAsia" w:ascii="宋体"/>
          <w:b/>
          <w:sz w:val="24"/>
          <w:lang w:val="zh-CN"/>
        </w:rPr>
      </w:pPr>
    </w:p>
    <w:p>
      <w:pPr>
        <w:rPr>
          <w:rFonts w:hint="eastAsia" w:ascii="宋体"/>
          <w:b/>
          <w:sz w:val="24"/>
          <w:lang w:val="zh-CN"/>
        </w:rPr>
      </w:pPr>
    </w:p>
    <w:p>
      <w:pPr>
        <w:rPr>
          <w:rFonts w:hint="eastAsia" w:ascii="宋体"/>
          <w:b/>
          <w:sz w:val="24"/>
          <w:lang w:val="zh-CN"/>
        </w:rPr>
      </w:pPr>
      <w:r>
        <w:rPr>
          <w:rFonts w:hint="eastAsia" w:ascii="宋体"/>
          <w:b/>
          <w:sz w:val="24"/>
          <w:lang w:val="zh-CN"/>
        </w:rPr>
        <w:t>附件</w:t>
      </w:r>
      <w:r>
        <w:rPr>
          <w:rFonts w:hint="eastAsia" w:ascii="宋体"/>
          <w:b/>
          <w:sz w:val="24"/>
          <w:lang w:val="en-US" w:eastAsia="zh-CN"/>
        </w:rPr>
        <w:t>7</w:t>
      </w:r>
      <w:r>
        <w:rPr>
          <w:rFonts w:hint="eastAsia" w:ascii="宋体"/>
          <w:b/>
          <w:sz w:val="24"/>
          <w:lang w:val="zh-CN"/>
        </w:rPr>
        <w:t>:</w:t>
      </w:r>
      <w:bookmarkEnd w:id="29"/>
      <w:r>
        <w:rPr>
          <w:rFonts w:hint="eastAsia" w:ascii="宋体"/>
          <w:b/>
          <w:sz w:val="24"/>
          <w:lang w:val="zh-CN"/>
        </w:rPr>
        <w:t xml:space="preserve"> </w:t>
      </w:r>
    </w:p>
    <w:p>
      <w:pPr>
        <w:spacing w:after="240" w:afterLines="100" w:line="600" w:lineRule="exact"/>
        <w:jc w:val="center"/>
        <w:rPr>
          <w:rFonts w:hint="eastAsia" w:ascii="宋体" w:hAnsi="宋体"/>
          <w:b/>
          <w:sz w:val="24"/>
          <w:szCs w:val="44"/>
        </w:rPr>
      </w:pPr>
      <w:r>
        <w:rPr>
          <w:rFonts w:hint="eastAsia" w:ascii="宋体" w:hAnsi="宋体"/>
          <w:b/>
          <w:sz w:val="24"/>
          <w:szCs w:val="44"/>
        </w:rPr>
        <w:t>项目实施人员一览表</w:t>
      </w:r>
    </w:p>
    <w:p>
      <w:pPr>
        <w:spacing w:line="360" w:lineRule="auto"/>
        <w:jc w:val="center"/>
        <w:rPr>
          <w:rFonts w:hint="eastAsia" w:ascii="仿宋_GB2312" w:eastAsia="仿宋_GB2312"/>
        </w:rPr>
      </w:pPr>
      <w:r>
        <w:rPr>
          <w:rFonts w:hint="eastAsia" w:ascii="仿宋_GB2312" w:eastAsia="仿宋_GB2312"/>
        </w:rPr>
        <w:t>（按此格式自制）</w:t>
      </w:r>
    </w:p>
    <w:tbl>
      <w:tblPr>
        <w:tblStyle w:val="20"/>
        <w:tblW w:w="95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1023"/>
        <w:gridCol w:w="1022"/>
        <w:gridCol w:w="1022"/>
        <w:gridCol w:w="1022"/>
        <w:gridCol w:w="1022"/>
        <w:gridCol w:w="1891"/>
        <w:gridCol w:w="1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54" w:hRule="atLeast"/>
        </w:trPr>
        <w:tc>
          <w:tcPr>
            <w:tcW w:w="679" w:type="dxa"/>
            <w:noWrap w:val="0"/>
            <w:vAlign w:val="center"/>
          </w:tcPr>
          <w:p>
            <w:pPr>
              <w:spacing w:line="360" w:lineRule="auto"/>
              <w:jc w:val="center"/>
              <w:rPr>
                <w:rFonts w:hint="eastAsia" w:ascii="宋体" w:hAnsi="宋体"/>
                <w:sz w:val="24"/>
              </w:rPr>
            </w:pPr>
            <w:r>
              <w:rPr>
                <w:rFonts w:hint="eastAsia" w:ascii="宋体" w:hAnsi="宋体"/>
                <w:sz w:val="24"/>
              </w:rPr>
              <w:t>序号</w:t>
            </w:r>
          </w:p>
        </w:tc>
        <w:tc>
          <w:tcPr>
            <w:tcW w:w="1023" w:type="dxa"/>
            <w:noWrap w:val="0"/>
            <w:vAlign w:val="center"/>
          </w:tcPr>
          <w:p>
            <w:pPr>
              <w:spacing w:line="360" w:lineRule="auto"/>
              <w:jc w:val="center"/>
              <w:rPr>
                <w:rFonts w:hint="eastAsia" w:ascii="宋体" w:hAnsi="宋体"/>
                <w:sz w:val="24"/>
              </w:rPr>
            </w:pPr>
            <w:r>
              <w:rPr>
                <w:rFonts w:hint="eastAsia" w:ascii="宋体" w:hAnsi="宋体"/>
                <w:sz w:val="24"/>
              </w:rPr>
              <w:t>姓名</w:t>
            </w:r>
          </w:p>
        </w:tc>
        <w:tc>
          <w:tcPr>
            <w:tcW w:w="1022" w:type="dxa"/>
            <w:noWrap w:val="0"/>
            <w:vAlign w:val="center"/>
          </w:tcPr>
          <w:p>
            <w:pPr>
              <w:spacing w:line="360" w:lineRule="auto"/>
              <w:jc w:val="center"/>
              <w:rPr>
                <w:rFonts w:hint="eastAsia" w:ascii="宋体" w:hAnsi="宋体"/>
                <w:sz w:val="24"/>
              </w:rPr>
            </w:pPr>
            <w:r>
              <w:rPr>
                <w:rFonts w:hint="eastAsia" w:ascii="宋体" w:hAnsi="宋体"/>
                <w:sz w:val="24"/>
              </w:rPr>
              <w:t>性别</w:t>
            </w:r>
          </w:p>
        </w:tc>
        <w:tc>
          <w:tcPr>
            <w:tcW w:w="1022" w:type="dxa"/>
            <w:noWrap w:val="0"/>
            <w:vAlign w:val="center"/>
          </w:tcPr>
          <w:p>
            <w:pPr>
              <w:spacing w:line="360" w:lineRule="auto"/>
              <w:jc w:val="center"/>
              <w:rPr>
                <w:rFonts w:hint="eastAsia" w:ascii="宋体" w:hAnsi="宋体"/>
                <w:sz w:val="24"/>
              </w:rPr>
            </w:pPr>
            <w:r>
              <w:rPr>
                <w:rFonts w:hint="eastAsia" w:ascii="宋体" w:hAnsi="宋体"/>
                <w:sz w:val="24"/>
              </w:rPr>
              <w:t>年龄</w:t>
            </w:r>
          </w:p>
        </w:tc>
        <w:tc>
          <w:tcPr>
            <w:tcW w:w="1022" w:type="dxa"/>
            <w:noWrap w:val="0"/>
            <w:vAlign w:val="center"/>
          </w:tcPr>
          <w:p>
            <w:pPr>
              <w:spacing w:line="360" w:lineRule="auto"/>
              <w:jc w:val="center"/>
              <w:rPr>
                <w:rFonts w:hint="eastAsia" w:ascii="宋体" w:hAnsi="宋体"/>
                <w:sz w:val="24"/>
              </w:rPr>
            </w:pPr>
            <w:r>
              <w:rPr>
                <w:rFonts w:hint="eastAsia" w:ascii="宋体" w:hAnsi="宋体"/>
                <w:sz w:val="24"/>
              </w:rPr>
              <w:t>专业</w:t>
            </w:r>
          </w:p>
        </w:tc>
        <w:tc>
          <w:tcPr>
            <w:tcW w:w="1022" w:type="dxa"/>
            <w:noWrap w:val="0"/>
            <w:vAlign w:val="center"/>
          </w:tcPr>
          <w:p>
            <w:pPr>
              <w:spacing w:line="360" w:lineRule="auto"/>
              <w:jc w:val="center"/>
              <w:rPr>
                <w:rFonts w:hint="eastAsia" w:ascii="宋体" w:hAnsi="宋体"/>
                <w:sz w:val="24"/>
              </w:rPr>
            </w:pPr>
            <w:r>
              <w:rPr>
                <w:rFonts w:hint="eastAsia" w:ascii="宋体" w:hAnsi="宋体"/>
                <w:sz w:val="24"/>
              </w:rPr>
              <w:t>职称</w:t>
            </w:r>
          </w:p>
        </w:tc>
        <w:tc>
          <w:tcPr>
            <w:tcW w:w="1891" w:type="dxa"/>
            <w:noWrap w:val="0"/>
            <w:vAlign w:val="center"/>
          </w:tcPr>
          <w:p>
            <w:pPr>
              <w:spacing w:line="360" w:lineRule="auto"/>
              <w:jc w:val="center"/>
              <w:rPr>
                <w:rFonts w:hint="eastAsia" w:ascii="宋体" w:hAnsi="宋体"/>
                <w:sz w:val="24"/>
              </w:rPr>
            </w:pPr>
            <w:r>
              <w:rPr>
                <w:rFonts w:hint="eastAsia" w:ascii="宋体" w:hAnsi="宋体"/>
                <w:sz w:val="24"/>
              </w:rPr>
              <w:t>本项目中的职责</w:t>
            </w:r>
          </w:p>
        </w:tc>
        <w:tc>
          <w:tcPr>
            <w:tcW w:w="1891" w:type="dxa"/>
            <w:noWrap w:val="0"/>
            <w:vAlign w:val="center"/>
          </w:tcPr>
          <w:p>
            <w:pPr>
              <w:spacing w:line="360" w:lineRule="auto"/>
              <w:jc w:val="center"/>
              <w:rPr>
                <w:rFonts w:hint="eastAsia" w:ascii="宋体" w:hAnsi="宋体"/>
                <w:sz w:val="24"/>
              </w:rPr>
            </w:pPr>
            <w:r>
              <w:rPr>
                <w:rFonts w:hint="eastAsia" w:ascii="宋体" w:hAnsi="宋体"/>
                <w:sz w:val="24"/>
              </w:rPr>
              <w:t>参与本项目的到位情况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77" w:hRule="atLeast"/>
        </w:trPr>
        <w:tc>
          <w:tcPr>
            <w:tcW w:w="679" w:type="dxa"/>
            <w:noWrap w:val="0"/>
            <w:vAlign w:val="top"/>
          </w:tcPr>
          <w:p>
            <w:pPr>
              <w:spacing w:line="360" w:lineRule="auto"/>
              <w:jc w:val="center"/>
              <w:rPr>
                <w:rFonts w:hint="eastAsia" w:ascii="宋体" w:hAnsi="宋体"/>
                <w:sz w:val="24"/>
              </w:rPr>
            </w:pPr>
          </w:p>
        </w:tc>
        <w:tc>
          <w:tcPr>
            <w:tcW w:w="1023" w:type="dxa"/>
            <w:noWrap w:val="0"/>
            <w:vAlign w:val="top"/>
          </w:tcPr>
          <w:p>
            <w:pPr>
              <w:spacing w:line="360" w:lineRule="auto"/>
              <w:rPr>
                <w:rFonts w:hint="eastAsia" w:ascii="宋体" w:hAnsi="宋体"/>
                <w:sz w:val="24"/>
              </w:rPr>
            </w:pPr>
          </w:p>
        </w:tc>
        <w:tc>
          <w:tcPr>
            <w:tcW w:w="1022" w:type="dxa"/>
            <w:noWrap w:val="0"/>
            <w:vAlign w:val="top"/>
          </w:tcPr>
          <w:p>
            <w:pPr>
              <w:spacing w:line="360" w:lineRule="auto"/>
              <w:rPr>
                <w:rFonts w:hint="eastAsia" w:ascii="宋体" w:hAnsi="宋体"/>
                <w:sz w:val="24"/>
              </w:rPr>
            </w:pPr>
          </w:p>
        </w:tc>
        <w:tc>
          <w:tcPr>
            <w:tcW w:w="1022" w:type="dxa"/>
            <w:noWrap w:val="0"/>
            <w:vAlign w:val="top"/>
          </w:tcPr>
          <w:p>
            <w:pPr>
              <w:spacing w:line="360" w:lineRule="auto"/>
              <w:rPr>
                <w:rFonts w:hint="eastAsia" w:ascii="宋体" w:hAnsi="宋体"/>
                <w:sz w:val="24"/>
              </w:rPr>
            </w:pPr>
          </w:p>
        </w:tc>
        <w:tc>
          <w:tcPr>
            <w:tcW w:w="1022" w:type="dxa"/>
            <w:noWrap w:val="0"/>
            <w:vAlign w:val="top"/>
          </w:tcPr>
          <w:p>
            <w:pPr>
              <w:spacing w:line="360" w:lineRule="auto"/>
              <w:rPr>
                <w:rFonts w:hint="eastAsia" w:ascii="宋体" w:hAnsi="宋体"/>
                <w:sz w:val="24"/>
              </w:rPr>
            </w:pPr>
          </w:p>
        </w:tc>
        <w:tc>
          <w:tcPr>
            <w:tcW w:w="1022" w:type="dxa"/>
            <w:noWrap w:val="0"/>
            <w:vAlign w:val="top"/>
          </w:tcPr>
          <w:p>
            <w:pPr>
              <w:spacing w:line="360" w:lineRule="auto"/>
              <w:rPr>
                <w:rFonts w:hint="eastAsia" w:ascii="宋体" w:hAnsi="宋体"/>
                <w:sz w:val="24"/>
              </w:rPr>
            </w:pPr>
          </w:p>
        </w:tc>
        <w:tc>
          <w:tcPr>
            <w:tcW w:w="1891" w:type="dxa"/>
            <w:noWrap w:val="0"/>
            <w:vAlign w:val="top"/>
          </w:tcPr>
          <w:p>
            <w:pPr>
              <w:spacing w:line="360" w:lineRule="auto"/>
              <w:rPr>
                <w:rFonts w:hint="eastAsia" w:ascii="宋体" w:hAnsi="宋体"/>
                <w:sz w:val="24"/>
              </w:rPr>
            </w:pPr>
          </w:p>
        </w:tc>
        <w:tc>
          <w:tcPr>
            <w:tcW w:w="1891" w:type="dxa"/>
            <w:noWrap w:val="0"/>
            <w:vAlign w:val="top"/>
          </w:tcPr>
          <w:p>
            <w:pPr>
              <w:spacing w:line="360" w:lineRule="auto"/>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77" w:hRule="atLeast"/>
        </w:trPr>
        <w:tc>
          <w:tcPr>
            <w:tcW w:w="679" w:type="dxa"/>
            <w:noWrap w:val="0"/>
            <w:vAlign w:val="top"/>
          </w:tcPr>
          <w:p>
            <w:pPr>
              <w:spacing w:line="360" w:lineRule="auto"/>
              <w:jc w:val="center"/>
              <w:rPr>
                <w:rFonts w:hint="eastAsia" w:ascii="宋体" w:hAnsi="宋体"/>
                <w:sz w:val="24"/>
              </w:rPr>
            </w:pPr>
          </w:p>
        </w:tc>
        <w:tc>
          <w:tcPr>
            <w:tcW w:w="1023" w:type="dxa"/>
            <w:noWrap w:val="0"/>
            <w:vAlign w:val="top"/>
          </w:tcPr>
          <w:p>
            <w:pPr>
              <w:spacing w:line="360" w:lineRule="auto"/>
              <w:rPr>
                <w:rFonts w:hint="eastAsia" w:ascii="宋体" w:hAnsi="宋体"/>
                <w:sz w:val="24"/>
              </w:rPr>
            </w:pPr>
          </w:p>
        </w:tc>
        <w:tc>
          <w:tcPr>
            <w:tcW w:w="1022" w:type="dxa"/>
            <w:noWrap w:val="0"/>
            <w:vAlign w:val="top"/>
          </w:tcPr>
          <w:p>
            <w:pPr>
              <w:spacing w:line="360" w:lineRule="auto"/>
              <w:rPr>
                <w:rFonts w:hint="eastAsia" w:ascii="宋体" w:hAnsi="宋体"/>
                <w:sz w:val="24"/>
              </w:rPr>
            </w:pPr>
          </w:p>
        </w:tc>
        <w:tc>
          <w:tcPr>
            <w:tcW w:w="1022" w:type="dxa"/>
            <w:noWrap w:val="0"/>
            <w:vAlign w:val="top"/>
          </w:tcPr>
          <w:p>
            <w:pPr>
              <w:spacing w:line="360" w:lineRule="auto"/>
              <w:rPr>
                <w:rFonts w:hint="eastAsia" w:ascii="宋体" w:hAnsi="宋体"/>
                <w:sz w:val="24"/>
              </w:rPr>
            </w:pPr>
          </w:p>
        </w:tc>
        <w:tc>
          <w:tcPr>
            <w:tcW w:w="1022" w:type="dxa"/>
            <w:noWrap w:val="0"/>
            <w:vAlign w:val="top"/>
          </w:tcPr>
          <w:p>
            <w:pPr>
              <w:spacing w:line="360" w:lineRule="auto"/>
              <w:rPr>
                <w:rFonts w:hint="eastAsia" w:ascii="宋体" w:hAnsi="宋体"/>
                <w:sz w:val="24"/>
              </w:rPr>
            </w:pPr>
          </w:p>
        </w:tc>
        <w:tc>
          <w:tcPr>
            <w:tcW w:w="1022" w:type="dxa"/>
            <w:noWrap w:val="0"/>
            <w:vAlign w:val="top"/>
          </w:tcPr>
          <w:p>
            <w:pPr>
              <w:spacing w:line="360" w:lineRule="auto"/>
              <w:rPr>
                <w:rFonts w:hint="eastAsia" w:ascii="宋体" w:hAnsi="宋体"/>
                <w:sz w:val="24"/>
              </w:rPr>
            </w:pPr>
          </w:p>
        </w:tc>
        <w:tc>
          <w:tcPr>
            <w:tcW w:w="1891" w:type="dxa"/>
            <w:noWrap w:val="0"/>
            <w:vAlign w:val="top"/>
          </w:tcPr>
          <w:p>
            <w:pPr>
              <w:spacing w:line="360" w:lineRule="auto"/>
              <w:rPr>
                <w:rFonts w:hint="eastAsia" w:ascii="宋体" w:hAnsi="宋体"/>
                <w:sz w:val="24"/>
              </w:rPr>
            </w:pPr>
          </w:p>
        </w:tc>
        <w:tc>
          <w:tcPr>
            <w:tcW w:w="1891" w:type="dxa"/>
            <w:noWrap w:val="0"/>
            <w:vAlign w:val="top"/>
          </w:tcPr>
          <w:p>
            <w:pPr>
              <w:spacing w:line="360" w:lineRule="auto"/>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77" w:hRule="atLeast"/>
        </w:trPr>
        <w:tc>
          <w:tcPr>
            <w:tcW w:w="679" w:type="dxa"/>
            <w:noWrap w:val="0"/>
            <w:vAlign w:val="top"/>
          </w:tcPr>
          <w:p>
            <w:pPr>
              <w:spacing w:line="360" w:lineRule="auto"/>
              <w:jc w:val="center"/>
              <w:rPr>
                <w:rFonts w:hint="eastAsia" w:ascii="宋体" w:hAnsi="宋体"/>
                <w:sz w:val="24"/>
              </w:rPr>
            </w:pPr>
          </w:p>
        </w:tc>
        <w:tc>
          <w:tcPr>
            <w:tcW w:w="1023" w:type="dxa"/>
            <w:noWrap w:val="0"/>
            <w:vAlign w:val="top"/>
          </w:tcPr>
          <w:p>
            <w:pPr>
              <w:spacing w:line="360" w:lineRule="auto"/>
              <w:rPr>
                <w:rFonts w:hint="eastAsia" w:ascii="宋体" w:hAnsi="宋体"/>
                <w:sz w:val="24"/>
              </w:rPr>
            </w:pPr>
          </w:p>
        </w:tc>
        <w:tc>
          <w:tcPr>
            <w:tcW w:w="1022" w:type="dxa"/>
            <w:noWrap w:val="0"/>
            <w:vAlign w:val="top"/>
          </w:tcPr>
          <w:p>
            <w:pPr>
              <w:spacing w:line="360" w:lineRule="auto"/>
              <w:rPr>
                <w:rFonts w:hint="eastAsia" w:ascii="宋体" w:hAnsi="宋体"/>
                <w:sz w:val="24"/>
              </w:rPr>
            </w:pPr>
          </w:p>
        </w:tc>
        <w:tc>
          <w:tcPr>
            <w:tcW w:w="1022" w:type="dxa"/>
            <w:noWrap w:val="0"/>
            <w:vAlign w:val="top"/>
          </w:tcPr>
          <w:p>
            <w:pPr>
              <w:spacing w:line="360" w:lineRule="auto"/>
              <w:rPr>
                <w:rFonts w:hint="eastAsia" w:ascii="宋体" w:hAnsi="宋体"/>
                <w:sz w:val="24"/>
              </w:rPr>
            </w:pPr>
          </w:p>
        </w:tc>
        <w:tc>
          <w:tcPr>
            <w:tcW w:w="1022" w:type="dxa"/>
            <w:noWrap w:val="0"/>
            <w:vAlign w:val="top"/>
          </w:tcPr>
          <w:p>
            <w:pPr>
              <w:spacing w:line="360" w:lineRule="auto"/>
              <w:rPr>
                <w:rFonts w:hint="eastAsia" w:ascii="宋体" w:hAnsi="宋体"/>
                <w:sz w:val="24"/>
              </w:rPr>
            </w:pPr>
          </w:p>
        </w:tc>
        <w:tc>
          <w:tcPr>
            <w:tcW w:w="1022" w:type="dxa"/>
            <w:noWrap w:val="0"/>
            <w:vAlign w:val="top"/>
          </w:tcPr>
          <w:p>
            <w:pPr>
              <w:spacing w:line="360" w:lineRule="auto"/>
              <w:rPr>
                <w:rFonts w:hint="eastAsia" w:ascii="宋体" w:hAnsi="宋体"/>
                <w:sz w:val="24"/>
              </w:rPr>
            </w:pPr>
          </w:p>
        </w:tc>
        <w:tc>
          <w:tcPr>
            <w:tcW w:w="1891" w:type="dxa"/>
            <w:noWrap w:val="0"/>
            <w:vAlign w:val="top"/>
          </w:tcPr>
          <w:p>
            <w:pPr>
              <w:spacing w:line="360" w:lineRule="auto"/>
              <w:rPr>
                <w:rFonts w:hint="eastAsia" w:ascii="宋体" w:hAnsi="宋体"/>
                <w:sz w:val="24"/>
              </w:rPr>
            </w:pPr>
          </w:p>
        </w:tc>
        <w:tc>
          <w:tcPr>
            <w:tcW w:w="1891" w:type="dxa"/>
            <w:noWrap w:val="0"/>
            <w:vAlign w:val="top"/>
          </w:tcPr>
          <w:p>
            <w:pPr>
              <w:spacing w:line="360" w:lineRule="auto"/>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679" w:type="dxa"/>
            <w:noWrap w:val="0"/>
            <w:vAlign w:val="top"/>
          </w:tcPr>
          <w:p>
            <w:pPr>
              <w:spacing w:line="360" w:lineRule="auto"/>
              <w:jc w:val="center"/>
              <w:rPr>
                <w:rFonts w:hint="eastAsia" w:ascii="宋体" w:hAnsi="宋体"/>
                <w:sz w:val="24"/>
              </w:rPr>
            </w:pPr>
          </w:p>
        </w:tc>
        <w:tc>
          <w:tcPr>
            <w:tcW w:w="1023" w:type="dxa"/>
            <w:noWrap w:val="0"/>
            <w:vAlign w:val="top"/>
          </w:tcPr>
          <w:p>
            <w:pPr>
              <w:spacing w:line="360" w:lineRule="auto"/>
              <w:rPr>
                <w:rFonts w:hint="eastAsia" w:ascii="宋体" w:hAnsi="宋体"/>
                <w:sz w:val="24"/>
              </w:rPr>
            </w:pPr>
          </w:p>
        </w:tc>
        <w:tc>
          <w:tcPr>
            <w:tcW w:w="1022" w:type="dxa"/>
            <w:noWrap w:val="0"/>
            <w:vAlign w:val="top"/>
          </w:tcPr>
          <w:p>
            <w:pPr>
              <w:spacing w:line="360" w:lineRule="auto"/>
              <w:rPr>
                <w:rFonts w:hint="eastAsia" w:ascii="宋体" w:hAnsi="宋体"/>
                <w:sz w:val="24"/>
              </w:rPr>
            </w:pPr>
          </w:p>
        </w:tc>
        <w:tc>
          <w:tcPr>
            <w:tcW w:w="1022" w:type="dxa"/>
            <w:noWrap w:val="0"/>
            <w:vAlign w:val="top"/>
          </w:tcPr>
          <w:p>
            <w:pPr>
              <w:spacing w:line="360" w:lineRule="auto"/>
              <w:rPr>
                <w:rFonts w:hint="eastAsia" w:ascii="宋体" w:hAnsi="宋体"/>
                <w:sz w:val="24"/>
              </w:rPr>
            </w:pPr>
          </w:p>
        </w:tc>
        <w:tc>
          <w:tcPr>
            <w:tcW w:w="1022" w:type="dxa"/>
            <w:noWrap w:val="0"/>
            <w:vAlign w:val="top"/>
          </w:tcPr>
          <w:p>
            <w:pPr>
              <w:spacing w:line="360" w:lineRule="auto"/>
              <w:rPr>
                <w:rFonts w:hint="eastAsia" w:ascii="宋体" w:hAnsi="宋体"/>
                <w:sz w:val="24"/>
              </w:rPr>
            </w:pPr>
          </w:p>
        </w:tc>
        <w:tc>
          <w:tcPr>
            <w:tcW w:w="1022" w:type="dxa"/>
            <w:noWrap w:val="0"/>
            <w:vAlign w:val="top"/>
          </w:tcPr>
          <w:p>
            <w:pPr>
              <w:spacing w:line="360" w:lineRule="auto"/>
              <w:rPr>
                <w:rFonts w:hint="eastAsia" w:ascii="宋体" w:hAnsi="宋体"/>
                <w:sz w:val="24"/>
              </w:rPr>
            </w:pPr>
          </w:p>
        </w:tc>
        <w:tc>
          <w:tcPr>
            <w:tcW w:w="1891" w:type="dxa"/>
            <w:noWrap w:val="0"/>
            <w:vAlign w:val="top"/>
          </w:tcPr>
          <w:p>
            <w:pPr>
              <w:spacing w:line="360" w:lineRule="auto"/>
              <w:rPr>
                <w:rFonts w:hint="eastAsia" w:ascii="宋体" w:hAnsi="宋体"/>
                <w:sz w:val="24"/>
              </w:rPr>
            </w:pPr>
          </w:p>
        </w:tc>
        <w:tc>
          <w:tcPr>
            <w:tcW w:w="1891" w:type="dxa"/>
            <w:noWrap w:val="0"/>
            <w:vAlign w:val="top"/>
          </w:tcPr>
          <w:p>
            <w:pPr>
              <w:spacing w:line="360" w:lineRule="auto"/>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77" w:hRule="atLeast"/>
        </w:trPr>
        <w:tc>
          <w:tcPr>
            <w:tcW w:w="679" w:type="dxa"/>
            <w:noWrap w:val="0"/>
            <w:vAlign w:val="top"/>
          </w:tcPr>
          <w:p>
            <w:pPr>
              <w:spacing w:line="360" w:lineRule="auto"/>
              <w:jc w:val="center"/>
              <w:rPr>
                <w:rFonts w:hint="eastAsia" w:ascii="宋体" w:hAnsi="宋体"/>
                <w:sz w:val="24"/>
              </w:rPr>
            </w:pPr>
          </w:p>
        </w:tc>
        <w:tc>
          <w:tcPr>
            <w:tcW w:w="1023" w:type="dxa"/>
            <w:noWrap w:val="0"/>
            <w:vAlign w:val="top"/>
          </w:tcPr>
          <w:p>
            <w:pPr>
              <w:spacing w:line="360" w:lineRule="auto"/>
              <w:rPr>
                <w:rFonts w:hint="eastAsia" w:ascii="宋体" w:hAnsi="宋体"/>
                <w:sz w:val="24"/>
              </w:rPr>
            </w:pPr>
          </w:p>
        </w:tc>
        <w:tc>
          <w:tcPr>
            <w:tcW w:w="1022" w:type="dxa"/>
            <w:noWrap w:val="0"/>
            <w:vAlign w:val="top"/>
          </w:tcPr>
          <w:p>
            <w:pPr>
              <w:spacing w:line="360" w:lineRule="auto"/>
              <w:rPr>
                <w:rFonts w:hint="eastAsia" w:ascii="宋体" w:hAnsi="宋体"/>
                <w:sz w:val="24"/>
              </w:rPr>
            </w:pPr>
          </w:p>
        </w:tc>
        <w:tc>
          <w:tcPr>
            <w:tcW w:w="1022" w:type="dxa"/>
            <w:noWrap w:val="0"/>
            <w:vAlign w:val="top"/>
          </w:tcPr>
          <w:p>
            <w:pPr>
              <w:spacing w:line="360" w:lineRule="auto"/>
              <w:rPr>
                <w:rFonts w:hint="eastAsia" w:ascii="宋体" w:hAnsi="宋体"/>
                <w:sz w:val="24"/>
              </w:rPr>
            </w:pPr>
          </w:p>
        </w:tc>
        <w:tc>
          <w:tcPr>
            <w:tcW w:w="1022" w:type="dxa"/>
            <w:noWrap w:val="0"/>
            <w:vAlign w:val="top"/>
          </w:tcPr>
          <w:p>
            <w:pPr>
              <w:spacing w:line="360" w:lineRule="auto"/>
              <w:rPr>
                <w:rFonts w:hint="eastAsia" w:ascii="宋体" w:hAnsi="宋体"/>
                <w:sz w:val="24"/>
              </w:rPr>
            </w:pPr>
          </w:p>
        </w:tc>
        <w:tc>
          <w:tcPr>
            <w:tcW w:w="1022" w:type="dxa"/>
            <w:noWrap w:val="0"/>
            <w:vAlign w:val="top"/>
          </w:tcPr>
          <w:p>
            <w:pPr>
              <w:spacing w:line="360" w:lineRule="auto"/>
              <w:rPr>
                <w:rFonts w:hint="eastAsia" w:ascii="宋体" w:hAnsi="宋体"/>
                <w:sz w:val="24"/>
              </w:rPr>
            </w:pPr>
          </w:p>
        </w:tc>
        <w:tc>
          <w:tcPr>
            <w:tcW w:w="1891" w:type="dxa"/>
            <w:noWrap w:val="0"/>
            <w:vAlign w:val="top"/>
          </w:tcPr>
          <w:p>
            <w:pPr>
              <w:spacing w:line="360" w:lineRule="auto"/>
              <w:rPr>
                <w:rFonts w:hint="eastAsia" w:ascii="宋体" w:hAnsi="宋体"/>
                <w:sz w:val="24"/>
              </w:rPr>
            </w:pPr>
          </w:p>
        </w:tc>
        <w:tc>
          <w:tcPr>
            <w:tcW w:w="1891" w:type="dxa"/>
            <w:noWrap w:val="0"/>
            <w:vAlign w:val="top"/>
          </w:tcPr>
          <w:p>
            <w:pPr>
              <w:spacing w:line="360" w:lineRule="auto"/>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77" w:hRule="atLeast"/>
        </w:trPr>
        <w:tc>
          <w:tcPr>
            <w:tcW w:w="679" w:type="dxa"/>
            <w:noWrap w:val="0"/>
            <w:vAlign w:val="top"/>
          </w:tcPr>
          <w:p>
            <w:pPr>
              <w:spacing w:line="360" w:lineRule="auto"/>
              <w:jc w:val="center"/>
              <w:rPr>
                <w:rFonts w:hint="eastAsia" w:ascii="宋体" w:hAnsi="宋体"/>
                <w:sz w:val="24"/>
              </w:rPr>
            </w:pPr>
          </w:p>
        </w:tc>
        <w:tc>
          <w:tcPr>
            <w:tcW w:w="1023" w:type="dxa"/>
            <w:noWrap w:val="0"/>
            <w:vAlign w:val="top"/>
          </w:tcPr>
          <w:p>
            <w:pPr>
              <w:spacing w:line="360" w:lineRule="auto"/>
              <w:rPr>
                <w:rFonts w:hint="eastAsia" w:ascii="宋体" w:hAnsi="宋体"/>
                <w:sz w:val="24"/>
              </w:rPr>
            </w:pPr>
          </w:p>
        </w:tc>
        <w:tc>
          <w:tcPr>
            <w:tcW w:w="1022" w:type="dxa"/>
            <w:noWrap w:val="0"/>
            <w:vAlign w:val="top"/>
          </w:tcPr>
          <w:p>
            <w:pPr>
              <w:spacing w:line="360" w:lineRule="auto"/>
              <w:rPr>
                <w:rFonts w:hint="eastAsia" w:ascii="宋体" w:hAnsi="宋体"/>
                <w:sz w:val="24"/>
              </w:rPr>
            </w:pPr>
          </w:p>
        </w:tc>
        <w:tc>
          <w:tcPr>
            <w:tcW w:w="1022" w:type="dxa"/>
            <w:noWrap w:val="0"/>
            <w:vAlign w:val="top"/>
          </w:tcPr>
          <w:p>
            <w:pPr>
              <w:spacing w:line="360" w:lineRule="auto"/>
              <w:rPr>
                <w:rFonts w:hint="eastAsia" w:ascii="宋体" w:hAnsi="宋体"/>
                <w:sz w:val="24"/>
              </w:rPr>
            </w:pPr>
          </w:p>
        </w:tc>
        <w:tc>
          <w:tcPr>
            <w:tcW w:w="1022" w:type="dxa"/>
            <w:noWrap w:val="0"/>
            <w:vAlign w:val="top"/>
          </w:tcPr>
          <w:p>
            <w:pPr>
              <w:spacing w:line="360" w:lineRule="auto"/>
              <w:rPr>
                <w:rFonts w:hint="eastAsia" w:ascii="宋体" w:hAnsi="宋体"/>
                <w:sz w:val="24"/>
              </w:rPr>
            </w:pPr>
          </w:p>
        </w:tc>
        <w:tc>
          <w:tcPr>
            <w:tcW w:w="1022" w:type="dxa"/>
            <w:noWrap w:val="0"/>
            <w:vAlign w:val="top"/>
          </w:tcPr>
          <w:p>
            <w:pPr>
              <w:spacing w:line="360" w:lineRule="auto"/>
              <w:rPr>
                <w:rFonts w:hint="eastAsia" w:ascii="宋体" w:hAnsi="宋体"/>
                <w:sz w:val="24"/>
              </w:rPr>
            </w:pPr>
          </w:p>
        </w:tc>
        <w:tc>
          <w:tcPr>
            <w:tcW w:w="1891" w:type="dxa"/>
            <w:noWrap w:val="0"/>
            <w:vAlign w:val="top"/>
          </w:tcPr>
          <w:p>
            <w:pPr>
              <w:spacing w:line="360" w:lineRule="auto"/>
              <w:rPr>
                <w:rFonts w:hint="eastAsia" w:ascii="宋体" w:hAnsi="宋体"/>
                <w:sz w:val="24"/>
              </w:rPr>
            </w:pPr>
          </w:p>
        </w:tc>
        <w:tc>
          <w:tcPr>
            <w:tcW w:w="1891" w:type="dxa"/>
            <w:noWrap w:val="0"/>
            <w:vAlign w:val="top"/>
          </w:tcPr>
          <w:p>
            <w:pPr>
              <w:spacing w:line="360" w:lineRule="auto"/>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77" w:hRule="atLeast"/>
        </w:trPr>
        <w:tc>
          <w:tcPr>
            <w:tcW w:w="679" w:type="dxa"/>
            <w:noWrap w:val="0"/>
            <w:vAlign w:val="top"/>
          </w:tcPr>
          <w:p>
            <w:pPr>
              <w:spacing w:line="360" w:lineRule="auto"/>
              <w:jc w:val="center"/>
              <w:rPr>
                <w:rFonts w:hint="eastAsia" w:ascii="宋体" w:hAnsi="宋体"/>
                <w:sz w:val="24"/>
              </w:rPr>
            </w:pPr>
          </w:p>
        </w:tc>
        <w:tc>
          <w:tcPr>
            <w:tcW w:w="1023" w:type="dxa"/>
            <w:noWrap w:val="0"/>
            <w:vAlign w:val="top"/>
          </w:tcPr>
          <w:p>
            <w:pPr>
              <w:spacing w:line="360" w:lineRule="auto"/>
              <w:rPr>
                <w:rFonts w:hint="eastAsia" w:ascii="宋体" w:hAnsi="宋体"/>
                <w:sz w:val="24"/>
              </w:rPr>
            </w:pPr>
          </w:p>
        </w:tc>
        <w:tc>
          <w:tcPr>
            <w:tcW w:w="1022" w:type="dxa"/>
            <w:noWrap w:val="0"/>
            <w:vAlign w:val="top"/>
          </w:tcPr>
          <w:p>
            <w:pPr>
              <w:spacing w:line="360" w:lineRule="auto"/>
              <w:rPr>
                <w:rFonts w:hint="eastAsia" w:ascii="宋体" w:hAnsi="宋体"/>
                <w:sz w:val="24"/>
              </w:rPr>
            </w:pPr>
          </w:p>
        </w:tc>
        <w:tc>
          <w:tcPr>
            <w:tcW w:w="1022" w:type="dxa"/>
            <w:noWrap w:val="0"/>
            <w:vAlign w:val="top"/>
          </w:tcPr>
          <w:p>
            <w:pPr>
              <w:spacing w:line="360" w:lineRule="auto"/>
              <w:rPr>
                <w:rFonts w:hint="eastAsia" w:ascii="宋体" w:hAnsi="宋体"/>
                <w:sz w:val="24"/>
              </w:rPr>
            </w:pPr>
          </w:p>
        </w:tc>
        <w:tc>
          <w:tcPr>
            <w:tcW w:w="1022" w:type="dxa"/>
            <w:noWrap w:val="0"/>
            <w:vAlign w:val="top"/>
          </w:tcPr>
          <w:p>
            <w:pPr>
              <w:spacing w:line="360" w:lineRule="auto"/>
              <w:rPr>
                <w:rFonts w:hint="eastAsia" w:ascii="宋体" w:hAnsi="宋体"/>
                <w:sz w:val="24"/>
              </w:rPr>
            </w:pPr>
          </w:p>
        </w:tc>
        <w:tc>
          <w:tcPr>
            <w:tcW w:w="1022" w:type="dxa"/>
            <w:noWrap w:val="0"/>
            <w:vAlign w:val="top"/>
          </w:tcPr>
          <w:p>
            <w:pPr>
              <w:spacing w:line="360" w:lineRule="auto"/>
              <w:rPr>
                <w:rFonts w:hint="eastAsia" w:ascii="宋体" w:hAnsi="宋体"/>
                <w:sz w:val="24"/>
              </w:rPr>
            </w:pPr>
          </w:p>
        </w:tc>
        <w:tc>
          <w:tcPr>
            <w:tcW w:w="1891" w:type="dxa"/>
            <w:noWrap w:val="0"/>
            <w:vAlign w:val="top"/>
          </w:tcPr>
          <w:p>
            <w:pPr>
              <w:spacing w:line="360" w:lineRule="auto"/>
              <w:rPr>
                <w:rFonts w:hint="eastAsia" w:ascii="宋体" w:hAnsi="宋体"/>
                <w:sz w:val="24"/>
              </w:rPr>
            </w:pPr>
          </w:p>
        </w:tc>
        <w:tc>
          <w:tcPr>
            <w:tcW w:w="1891" w:type="dxa"/>
            <w:noWrap w:val="0"/>
            <w:vAlign w:val="top"/>
          </w:tcPr>
          <w:p>
            <w:pPr>
              <w:spacing w:line="360" w:lineRule="auto"/>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77" w:hRule="atLeast"/>
        </w:trPr>
        <w:tc>
          <w:tcPr>
            <w:tcW w:w="679" w:type="dxa"/>
            <w:noWrap w:val="0"/>
            <w:vAlign w:val="top"/>
          </w:tcPr>
          <w:p>
            <w:pPr>
              <w:spacing w:line="360" w:lineRule="auto"/>
              <w:jc w:val="center"/>
              <w:rPr>
                <w:rFonts w:hint="eastAsia" w:ascii="宋体" w:hAnsi="宋体"/>
                <w:sz w:val="24"/>
              </w:rPr>
            </w:pPr>
          </w:p>
        </w:tc>
        <w:tc>
          <w:tcPr>
            <w:tcW w:w="1023" w:type="dxa"/>
            <w:noWrap w:val="0"/>
            <w:vAlign w:val="top"/>
          </w:tcPr>
          <w:p>
            <w:pPr>
              <w:spacing w:line="360" w:lineRule="auto"/>
              <w:rPr>
                <w:rFonts w:hint="eastAsia" w:ascii="宋体" w:hAnsi="宋体"/>
                <w:sz w:val="24"/>
              </w:rPr>
            </w:pPr>
          </w:p>
        </w:tc>
        <w:tc>
          <w:tcPr>
            <w:tcW w:w="1022" w:type="dxa"/>
            <w:noWrap w:val="0"/>
            <w:vAlign w:val="top"/>
          </w:tcPr>
          <w:p>
            <w:pPr>
              <w:spacing w:line="360" w:lineRule="auto"/>
              <w:rPr>
                <w:rFonts w:hint="eastAsia" w:ascii="宋体" w:hAnsi="宋体"/>
                <w:sz w:val="24"/>
              </w:rPr>
            </w:pPr>
          </w:p>
        </w:tc>
        <w:tc>
          <w:tcPr>
            <w:tcW w:w="1022" w:type="dxa"/>
            <w:noWrap w:val="0"/>
            <w:vAlign w:val="top"/>
          </w:tcPr>
          <w:p>
            <w:pPr>
              <w:spacing w:line="360" w:lineRule="auto"/>
              <w:rPr>
                <w:rFonts w:hint="eastAsia" w:ascii="宋体" w:hAnsi="宋体"/>
                <w:sz w:val="24"/>
              </w:rPr>
            </w:pPr>
          </w:p>
        </w:tc>
        <w:tc>
          <w:tcPr>
            <w:tcW w:w="1022" w:type="dxa"/>
            <w:noWrap w:val="0"/>
            <w:vAlign w:val="top"/>
          </w:tcPr>
          <w:p>
            <w:pPr>
              <w:spacing w:line="360" w:lineRule="auto"/>
              <w:rPr>
                <w:rFonts w:hint="eastAsia" w:ascii="宋体" w:hAnsi="宋体"/>
                <w:sz w:val="24"/>
              </w:rPr>
            </w:pPr>
          </w:p>
        </w:tc>
        <w:tc>
          <w:tcPr>
            <w:tcW w:w="1022" w:type="dxa"/>
            <w:noWrap w:val="0"/>
            <w:vAlign w:val="top"/>
          </w:tcPr>
          <w:p>
            <w:pPr>
              <w:spacing w:line="360" w:lineRule="auto"/>
              <w:rPr>
                <w:rFonts w:hint="eastAsia" w:ascii="宋体" w:hAnsi="宋体"/>
                <w:sz w:val="24"/>
              </w:rPr>
            </w:pPr>
          </w:p>
        </w:tc>
        <w:tc>
          <w:tcPr>
            <w:tcW w:w="1891" w:type="dxa"/>
            <w:noWrap w:val="0"/>
            <w:vAlign w:val="top"/>
          </w:tcPr>
          <w:p>
            <w:pPr>
              <w:spacing w:line="360" w:lineRule="auto"/>
              <w:rPr>
                <w:rFonts w:hint="eastAsia" w:ascii="宋体" w:hAnsi="宋体"/>
                <w:sz w:val="24"/>
              </w:rPr>
            </w:pPr>
          </w:p>
        </w:tc>
        <w:tc>
          <w:tcPr>
            <w:tcW w:w="1891" w:type="dxa"/>
            <w:noWrap w:val="0"/>
            <w:vAlign w:val="top"/>
          </w:tcPr>
          <w:p>
            <w:pPr>
              <w:spacing w:line="360" w:lineRule="auto"/>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77" w:hRule="atLeast"/>
        </w:trPr>
        <w:tc>
          <w:tcPr>
            <w:tcW w:w="679" w:type="dxa"/>
            <w:noWrap w:val="0"/>
            <w:vAlign w:val="top"/>
          </w:tcPr>
          <w:p>
            <w:pPr>
              <w:spacing w:line="360" w:lineRule="auto"/>
              <w:jc w:val="center"/>
              <w:rPr>
                <w:rFonts w:hint="eastAsia" w:ascii="宋体" w:hAnsi="宋体"/>
                <w:sz w:val="24"/>
              </w:rPr>
            </w:pPr>
          </w:p>
        </w:tc>
        <w:tc>
          <w:tcPr>
            <w:tcW w:w="1023" w:type="dxa"/>
            <w:noWrap w:val="0"/>
            <w:vAlign w:val="top"/>
          </w:tcPr>
          <w:p>
            <w:pPr>
              <w:spacing w:line="360" w:lineRule="auto"/>
              <w:rPr>
                <w:rFonts w:hint="eastAsia" w:ascii="宋体" w:hAnsi="宋体"/>
                <w:sz w:val="24"/>
              </w:rPr>
            </w:pPr>
          </w:p>
        </w:tc>
        <w:tc>
          <w:tcPr>
            <w:tcW w:w="1022" w:type="dxa"/>
            <w:noWrap w:val="0"/>
            <w:vAlign w:val="top"/>
          </w:tcPr>
          <w:p>
            <w:pPr>
              <w:spacing w:line="360" w:lineRule="auto"/>
              <w:rPr>
                <w:rFonts w:hint="eastAsia" w:ascii="宋体" w:hAnsi="宋体"/>
                <w:sz w:val="24"/>
              </w:rPr>
            </w:pPr>
          </w:p>
        </w:tc>
        <w:tc>
          <w:tcPr>
            <w:tcW w:w="1022" w:type="dxa"/>
            <w:noWrap w:val="0"/>
            <w:vAlign w:val="top"/>
          </w:tcPr>
          <w:p>
            <w:pPr>
              <w:spacing w:line="360" w:lineRule="auto"/>
              <w:rPr>
                <w:rFonts w:hint="eastAsia" w:ascii="宋体" w:hAnsi="宋体"/>
                <w:sz w:val="24"/>
              </w:rPr>
            </w:pPr>
          </w:p>
        </w:tc>
        <w:tc>
          <w:tcPr>
            <w:tcW w:w="1022" w:type="dxa"/>
            <w:noWrap w:val="0"/>
            <w:vAlign w:val="top"/>
          </w:tcPr>
          <w:p>
            <w:pPr>
              <w:spacing w:line="360" w:lineRule="auto"/>
              <w:rPr>
                <w:rFonts w:hint="eastAsia" w:ascii="宋体" w:hAnsi="宋体"/>
                <w:sz w:val="24"/>
              </w:rPr>
            </w:pPr>
          </w:p>
        </w:tc>
        <w:tc>
          <w:tcPr>
            <w:tcW w:w="1022" w:type="dxa"/>
            <w:noWrap w:val="0"/>
            <w:vAlign w:val="top"/>
          </w:tcPr>
          <w:p>
            <w:pPr>
              <w:spacing w:line="360" w:lineRule="auto"/>
              <w:rPr>
                <w:rFonts w:hint="eastAsia" w:ascii="宋体" w:hAnsi="宋体"/>
                <w:sz w:val="24"/>
              </w:rPr>
            </w:pPr>
          </w:p>
        </w:tc>
        <w:tc>
          <w:tcPr>
            <w:tcW w:w="1891" w:type="dxa"/>
            <w:noWrap w:val="0"/>
            <w:vAlign w:val="top"/>
          </w:tcPr>
          <w:p>
            <w:pPr>
              <w:spacing w:line="360" w:lineRule="auto"/>
              <w:rPr>
                <w:rFonts w:hint="eastAsia" w:ascii="宋体" w:hAnsi="宋体"/>
                <w:sz w:val="24"/>
              </w:rPr>
            </w:pPr>
          </w:p>
        </w:tc>
        <w:tc>
          <w:tcPr>
            <w:tcW w:w="1891" w:type="dxa"/>
            <w:noWrap w:val="0"/>
            <w:vAlign w:val="top"/>
          </w:tcPr>
          <w:p>
            <w:pPr>
              <w:spacing w:line="360" w:lineRule="auto"/>
              <w:rPr>
                <w:rFonts w:hint="eastAsia" w:ascii="宋体" w:hAnsi="宋体"/>
                <w:sz w:val="24"/>
              </w:rPr>
            </w:pPr>
          </w:p>
        </w:tc>
      </w:tr>
    </w:tbl>
    <w:p>
      <w:pPr>
        <w:spacing w:line="360" w:lineRule="auto"/>
        <w:ind w:firstLine="4560" w:firstLineChars="1900"/>
        <w:rPr>
          <w:rFonts w:hint="eastAsia" w:ascii="仿宋_GB2312" w:eastAsia="仿宋_GB2312"/>
          <w:sz w:val="24"/>
        </w:rPr>
      </w:pPr>
    </w:p>
    <w:p>
      <w:pPr>
        <w:rPr>
          <w:rFonts w:ascii="宋体" w:hAnsi="宋体"/>
          <w:sz w:val="24"/>
        </w:rPr>
      </w:pPr>
    </w:p>
    <w:p>
      <w:pPr>
        <w:pStyle w:val="11"/>
        <w:spacing w:line="560" w:lineRule="exact"/>
        <w:ind w:firstLine="5520" w:firstLineChars="2300"/>
        <w:rPr>
          <w:rFonts w:hAnsi="宋体"/>
          <w:sz w:val="24"/>
          <w:lang w:val="zh-CN"/>
        </w:rPr>
      </w:pPr>
      <w:r>
        <w:rPr>
          <w:rFonts w:hAnsi="宋体"/>
          <w:sz w:val="24"/>
          <w:lang w:val="zh-CN"/>
        </w:rPr>
        <w:t>投标人（盖单位章）：</w:t>
      </w:r>
    </w:p>
    <w:p>
      <w:pPr>
        <w:pStyle w:val="11"/>
        <w:spacing w:line="560" w:lineRule="exact"/>
        <w:ind w:firstLine="3600" w:firstLineChars="1500"/>
        <w:rPr>
          <w:rFonts w:hAnsi="宋体"/>
          <w:sz w:val="24"/>
          <w:lang w:val="zh-CN"/>
        </w:rPr>
      </w:pPr>
      <w:r>
        <w:rPr>
          <w:rFonts w:hAnsi="宋体"/>
          <w:sz w:val="24"/>
          <w:lang w:val="zh-CN"/>
        </w:rPr>
        <w:t>法定代表人或</w:t>
      </w:r>
      <w:r>
        <w:rPr>
          <w:rFonts w:hint="eastAsia" w:hAnsi="宋体"/>
          <w:sz w:val="24"/>
          <w:lang w:val="zh-CN"/>
        </w:rPr>
        <w:t>全权代表</w:t>
      </w:r>
      <w:r>
        <w:rPr>
          <w:rFonts w:hAnsi="宋体"/>
          <w:sz w:val="24"/>
          <w:lang w:val="zh-CN"/>
        </w:rPr>
        <w:t>（盖章或签字）：</w:t>
      </w:r>
    </w:p>
    <w:p>
      <w:pPr>
        <w:pStyle w:val="11"/>
        <w:spacing w:line="560" w:lineRule="exact"/>
        <w:rPr>
          <w:rFonts w:hAnsi="宋体"/>
          <w:sz w:val="24"/>
          <w:lang w:val="zh-CN"/>
        </w:rPr>
      </w:pPr>
      <w:r>
        <w:rPr>
          <w:rFonts w:hAnsi="宋体"/>
          <w:sz w:val="24"/>
          <w:lang w:val="zh-CN"/>
        </w:rPr>
        <w:t xml:space="preserve">                                   </w:t>
      </w:r>
      <w:r>
        <w:rPr>
          <w:rFonts w:hint="eastAsia" w:hAnsi="宋体"/>
          <w:sz w:val="24"/>
          <w:lang w:val="zh-CN"/>
        </w:rPr>
        <w:t xml:space="preserve">                        </w:t>
      </w:r>
      <w:r>
        <w:rPr>
          <w:rFonts w:hAnsi="宋体"/>
          <w:sz w:val="24"/>
          <w:lang w:val="zh-CN"/>
        </w:rPr>
        <w:t>日</w:t>
      </w:r>
      <w:r>
        <w:rPr>
          <w:rFonts w:hint="eastAsia" w:hAnsi="宋体"/>
          <w:sz w:val="24"/>
          <w:lang w:val="zh-CN"/>
        </w:rPr>
        <w:t xml:space="preserve"> </w:t>
      </w:r>
      <w:r>
        <w:rPr>
          <w:rFonts w:hAnsi="宋体"/>
          <w:sz w:val="24"/>
          <w:lang w:val="zh-CN"/>
        </w:rPr>
        <w:t>期：</w:t>
      </w:r>
    </w:p>
    <w:p>
      <w:pPr>
        <w:rPr>
          <w:rFonts w:hint="eastAsia" w:ascii="宋体" w:hAnsi="宋体"/>
          <w:sz w:val="24"/>
        </w:rPr>
        <w:sectPr>
          <w:footerReference r:id="rId8" w:type="first"/>
          <w:footerReference r:id="rId6" w:type="default"/>
          <w:footerReference r:id="rId7" w:type="even"/>
          <w:pgSz w:w="11906" w:h="16838"/>
          <w:pgMar w:top="1440" w:right="1440" w:bottom="1440" w:left="1440" w:header="851" w:footer="992" w:gutter="0"/>
          <w:pgNumType w:fmt="decimal" w:start="1"/>
          <w:cols w:space="720" w:num="1"/>
          <w:docGrid w:linePitch="312" w:charSpace="0"/>
        </w:sectPr>
      </w:pPr>
    </w:p>
    <w:p>
      <w:pPr>
        <w:jc w:val="both"/>
        <w:rPr>
          <w:rFonts w:hint="default" w:ascii="宋体" w:hAnsi="宋体" w:eastAsia="宋体"/>
          <w:b/>
          <w:sz w:val="24"/>
          <w:szCs w:val="44"/>
          <w:lang w:val="en-US" w:eastAsia="zh-CN"/>
        </w:rPr>
      </w:pPr>
      <w:r>
        <w:rPr>
          <w:rFonts w:hint="eastAsia" w:ascii="宋体" w:hAnsi="宋体"/>
          <w:b/>
          <w:sz w:val="24"/>
          <w:szCs w:val="44"/>
          <w:lang w:eastAsia="zh-CN"/>
        </w:rPr>
        <w:t>附件</w:t>
      </w:r>
      <w:r>
        <w:rPr>
          <w:rFonts w:hint="eastAsia" w:ascii="宋体" w:hAnsi="宋体"/>
          <w:b/>
          <w:sz w:val="24"/>
          <w:szCs w:val="44"/>
          <w:lang w:val="en-US" w:eastAsia="zh-CN"/>
        </w:rPr>
        <w:t>8：</w:t>
      </w:r>
    </w:p>
    <w:p>
      <w:pPr>
        <w:jc w:val="center"/>
        <w:rPr>
          <w:rFonts w:ascii="宋体"/>
          <w:b/>
          <w:sz w:val="32"/>
          <w:szCs w:val="32"/>
          <w:lang w:val="zh-CN"/>
        </w:rPr>
      </w:pPr>
      <w:r>
        <w:rPr>
          <w:rFonts w:hint="eastAsia" w:ascii="宋体" w:hAnsi="宋体"/>
          <w:b/>
          <w:sz w:val="24"/>
          <w:szCs w:val="44"/>
        </w:rPr>
        <w:t>技术响应表</w:t>
      </w:r>
    </w:p>
    <w:p>
      <w:pPr>
        <w:pStyle w:val="11"/>
        <w:spacing w:line="320" w:lineRule="exact"/>
        <w:rPr>
          <w:rFonts w:hAnsi="宋体"/>
          <w:b/>
          <w:sz w:val="24"/>
        </w:rPr>
      </w:pPr>
    </w:p>
    <w:tbl>
      <w:tblPr>
        <w:tblStyle w:val="20"/>
        <w:tblW w:w="9303" w:type="dxa"/>
        <w:tblInd w:w="0" w:type="dxa"/>
        <w:tblLayout w:type="fixed"/>
        <w:tblCellMar>
          <w:top w:w="0" w:type="dxa"/>
          <w:left w:w="108" w:type="dxa"/>
          <w:bottom w:w="0" w:type="dxa"/>
          <w:right w:w="108" w:type="dxa"/>
        </w:tblCellMar>
      </w:tblPr>
      <w:tblGrid>
        <w:gridCol w:w="949"/>
        <w:gridCol w:w="936"/>
        <w:gridCol w:w="2382"/>
        <w:gridCol w:w="2711"/>
        <w:gridCol w:w="1550"/>
        <w:gridCol w:w="775"/>
      </w:tblGrid>
      <w:tr>
        <w:tblPrEx>
          <w:tblLayout w:type="fixed"/>
          <w:tblCellMar>
            <w:top w:w="0" w:type="dxa"/>
            <w:left w:w="108" w:type="dxa"/>
            <w:bottom w:w="0" w:type="dxa"/>
            <w:right w:w="108" w:type="dxa"/>
          </w:tblCellMar>
        </w:tblPrEx>
        <w:trPr>
          <w:trHeight w:val="596" w:hRule="atLeast"/>
        </w:trPr>
        <w:tc>
          <w:tcPr>
            <w:tcW w:w="949" w:type="dxa"/>
            <w:tcBorders>
              <w:top w:val="single" w:color="auto" w:sz="6" w:space="0"/>
              <w:left w:val="single" w:color="auto" w:sz="6" w:space="0"/>
              <w:bottom w:val="single" w:color="auto" w:sz="6" w:space="0"/>
              <w:right w:val="single" w:color="auto" w:sz="6" w:space="0"/>
            </w:tcBorders>
            <w:noWrap w:val="0"/>
            <w:vAlign w:val="center"/>
          </w:tcPr>
          <w:p>
            <w:pPr>
              <w:pStyle w:val="11"/>
              <w:spacing w:line="400" w:lineRule="atLeast"/>
              <w:jc w:val="center"/>
              <w:rPr>
                <w:rFonts w:hAnsi="宋体"/>
                <w:kern w:val="2"/>
                <w:sz w:val="24"/>
                <w:szCs w:val="22"/>
                <w:lang w:val="en-US" w:eastAsia="zh-CN"/>
              </w:rPr>
            </w:pPr>
            <w:r>
              <w:rPr>
                <w:rFonts w:hAnsi="宋体"/>
                <w:kern w:val="2"/>
                <w:sz w:val="24"/>
                <w:szCs w:val="22"/>
                <w:lang w:val="en-US" w:eastAsia="zh-CN"/>
              </w:rPr>
              <w:t>序号</w:t>
            </w:r>
          </w:p>
        </w:tc>
        <w:tc>
          <w:tcPr>
            <w:tcW w:w="936" w:type="dxa"/>
            <w:tcBorders>
              <w:top w:val="single" w:color="auto" w:sz="6" w:space="0"/>
              <w:left w:val="single" w:color="auto" w:sz="6" w:space="0"/>
              <w:bottom w:val="single" w:color="auto" w:sz="6" w:space="0"/>
              <w:right w:val="single" w:color="auto" w:sz="4" w:space="0"/>
            </w:tcBorders>
            <w:noWrap w:val="0"/>
            <w:vAlign w:val="center"/>
          </w:tcPr>
          <w:p>
            <w:pPr>
              <w:pStyle w:val="11"/>
              <w:spacing w:line="400" w:lineRule="atLeast"/>
              <w:jc w:val="center"/>
              <w:rPr>
                <w:rFonts w:hAnsi="宋体"/>
                <w:kern w:val="2"/>
                <w:sz w:val="24"/>
                <w:szCs w:val="22"/>
                <w:lang w:val="en-US" w:eastAsia="zh-CN"/>
              </w:rPr>
            </w:pPr>
            <w:r>
              <w:rPr>
                <w:rFonts w:hint="eastAsia" w:hAnsi="宋体"/>
                <w:kern w:val="2"/>
                <w:sz w:val="24"/>
                <w:szCs w:val="22"/>
                <w:lang w:val="en-US" w:eastAsia="zh-CN"/>
              </w:rPr>
              <w:t>项目名称</w:t>
            </w:r>
          </w:p>
        </w:tc>
        <w:tc>
          <w:tcPr>
            <w:tcW w:w="2382" w:type="dxa"/>
            <w:tcBorders>
              <w:top w:val="single" w:color="auto" w:sz="6" w:space="0"/>
              <w:left w:val="single" w:color="auto" w:sz="4" w:space="0"/>
              <w:bottom w:val="single" w:color="auto" w:sz="6" w:space="0"/>
              <w:right w:val="single" w:color="auto" w:sz="6" w:space="0"/>
            </w:tcBorders>
            <w:noWrap w:val="0"/>
            <w:vAlign w:val="center"/>
          </w:tcPr>
          <w:p>
            <w:pPr>
              <w:pStyle w:val="11"/>
              <w:spacing w:line="400" w:lineRule="atLeast"/>
              <w:jc w:val="center"/>
              <w:rPr>
                <w:rFonts w:hAnsi="宋体"/>
                <w:kern w:val="2"/>
                <w:sz w:val="24"/>
                <w:szCs w:val="22"/>
                <w:lang w:val="en-US" w:eastAsia="zh-CN"/>
              </w:rPr>
            </w:pPr>
            <w:r>
              <w:rPr>
                <w:rFonts w:hAnsi="宋体"/>
                <w:kern w:val="2"/>
                <w:sz w:val="24"/>
                <w:szCs w:val="22"/>
                <w:lang w:val="en-US" w:eastAsia="zh-CN"/>
              </w:rPr>
              <w:t>招标文件要求</w:t>
            </w:r>
          </w:p>
        </w:tc>
        <w:tc>
          <w:tcPr>
            <w:tcW w:w="2711" w:type="dxa"/>
            <w:tcBorders>
              <w:top w:val="single" w:color="auto" w:sz="6" w:space="0"/>
              <w:left w:val="single" w:color="auto" w:sz="6" w:space="0"/>
              <w:bottom w:val="single" w:color="auto" w:sz="6" w:space="0"/>
              <w:right w:val="single" w:color="auto" w:sz="6" w:space="0"/>
            </w:tcBorders>
            <w:noWrap w:val="0"/>
            <w:vAlign w:val="center"/>
          </w:tcPr>
          <w:p>
            <w:pPr>
              <w:pStyle w:val="11"/>
              <w:spacing w:line="400" w:lineRule="atLeast"/>
              <w:jc w:val="center"/>
              <w:rPr>
                <w:rFonts w:hAnsi="宋体"/>
                <w:kern w:val="2"/>
                <w:sz w:val="24"/>
                <w:szCs w:val="22"/>
                <w:lang w:val="en-US" w:eastAsia="zh-CN"/>
              </w:rPr>
            </w:pPr>
            <w:r>
              <w:rPr>
                <w:rFonts w:hAnsi="宋体"/>
                <w:kern w:val="2"/>
                <w:sz w:val="24"/>
                <w:szCs w:val="22"/>
                <w:lang w:val="en-US" w:eastAsia="zh-CN"/>
              </w:rPr>
              <w:t>投标文件响应</w:t>
            </w:r>
          </w:p>
        </w:tc>
        <w:tc>
          <w:tcPr>
            <w:tcW w:w="1550" w:type="dxa"/>
            <w:tcBorders>
              <w:top w:val="single" w:color="auto" w:sz="6" w:space="0"/>
              <w:left w:val="single" w:color="auto" w:sz="6" w:space="0"/>
              <w:bottom w:val="single" w:color="auto" w:sz="6" w:space="0"/>
              <w:right w:val="single" w:color="auto" w:sz="4" w:space="0"/>
            </w:tcBorders>
            <w:noWrap w:val="0"/>
            <w:vAlign w:val="center"/>
          </w:tcPr>
          <w:p>
            <w:pPr>
              <w:pStyle w:val="11"/>
              <w:spacing w:line="400" w:lineRule="atLeast"/>
              <w:jc w:val="center"/>
              <w:rPr>
                <w:rFonts w:hAnsi="宋体"/>
                <w:kern w:val="2"/>
                <w:sz w:val="24"/>
                <w:szCs w:val="22"/>
                <w:lang w:val="en-US" w:eastAsia="zh-CN"/>
              </w:rPr>
            </w:pPr>
            <w:r>
              <w:rPr>
                <w:rFonts w:hint="eastAsia" w:hAnsi="宋体"/>
                <w:kern w:val="2"/>
                <w:sz w:val="24"/>
                <w:szCs w:val="22"/>
                <w:lang w:val="en-US" w:eastAsia="zh-CN"/>
              </w:rPr>
              <w:t>对应页码</w:t>
            </w:r>
          </w:p>
        </w:tc>
        <w:tc>
          <w:tcPr>
            <w:tcW w:w="775" w:type="dxa"/>
            <w:tcBorders>
              <w:top w:val="single" w:color="auto" w:sz="6" w:space="0"/>
              <w:left w:val="single" w:color="auto" w:sz="4" w:space="0"/>
              <w:bottom w:val="single" w:color="auto" w:sz="6" w:space="0"/>
              <w:right w:val="single" w:color="auto" w:sz="6" w:space="0"/>
            </w:tcBorders>
            <w:noWrap w:val="0"/>
            <w:vAlign w:val="center"/>
          </w:tcPr>
          <w:p>
            <w:pPr>
              <w:pStyle w:val="11"/>
              <w:spacing w:line="400" w:lineRule="atLeast"/>
              <w:jc w:val="center"/>
              <w:rPr>
                <w:rFonts w:hAnsi="宋体"/>
                <w:kern w:val="2"/>
                <w:sz w:val="24"/>
                <w:szCs w:val="22"/>
                <w:lang w:val="en-US" w:eastAsia="zh-CN"/>
              </w:rPr>
            </w:pPr>
            <w:r>
              <w:rPr>
                <w:rFonts w:hAnsi="宋体"/>
                <w:kern w:val="2"/>
                <w:sz w:val="24"/>
                <w:szCs w:val="22"/>
                <w:lang w:val="en-US" w:eastAsia="zh-CN"/>
              </w:rPr>
              <w:t>偏离情况</w:t>
            </w:r>
          </w:p>
        </w:tc>
      </w:tr>
      <w:tr>
        <w:tblPrEx>
          <w:tblLayout w:type="fixed"/>
          <w:tblCellMar>
            <w:top w:w="0" w:type="dxa"/>
            <w:left w:w="108" w:type="dxa"/>
            <w:bottom w:w="0" w:type="dxa"/>
            <w:right w:w="108" w:type="dxa"/>
          </w:tblCellMar>
        </w:tblPrEx>
        <w:trPr>
          <w:trHeight w:val="557" w:hRule="atLeast"/>
        </w:trPr>
        <w:tc>
          <w:tcPr>
            <w:tcW w:w="949" w:type="dxa"/>
            <w:tcBorders>
              <w:top w:val="single" w:color="auto" w:sz="6" w:space="0"/>
              <w:left w:val="single" w:color="auto" w:sz="6" w:space="0"/>
              <w:bottom w:val="single" w:color="auto" w:sz="6" w:space="0"/>
              <w:right w:val="single" w:color="auto" w:sz="6" w:space="0"/>
            </w:tcBorders>
            <w:noWrap w:val="0"/>
            <w:vAlign w:val="top"/>
          </w:tcPr>
          <w:p>
            <w:pPr>
              <w:pStyle w:val="11"/>
              <w:spacing w:line="400" w:lineRule="atLeast"/>
              <w:rPr>
                <w:rFonts w:hAnsi="宋体"/>
                <w:kern w:val="2"/>
                <w:sz w:val="24"/>
                <w:szCs w:val="22"/>
                <w:lang w:val="en-US" w:eastAsia="zh-CN"/>
              </w:rPr>
            </w:pPr>
          </w:p>
        </w:tc>
        <w:tc>
          <w:tcPr>
            <w:tcW w:w="936" w:type="dxa"/>
            <w:tcBorders>
              <w:top w:val="single" w:color="auto" w:sz="6" w:space="0"/>
              <w:left w:val="single" w:color="auto" w:sz="6" w:space="0"/>
              <w:bottom w:val="single" w:color="auto" w:sz="6" w:space="0"/>
              <w:right w:val="single" w:color="auto" w:sz="4" w:space="0"/>
            </w:tcBorders>
            <w:noWrap w:val="0"/>
            <w:vAlign w:val="center"/>
          </w:tcPr>
          <w:p>
            <w:pPr>
              <w:pStyle w:val="11"/>
              <w:spacing w:line="400" w:lineRule="atLeast"/>
              <w:jc w:val="center"/>
              <w:rPr>
                <w:rFonts w:hAnsi="宋体"/>
                <w:kern w:val="2"/>
                <w:sz w:val="24"/>
                <w:szCs w:val="22"/>
                <w:lang w:val="en-US" w:eastAsia="zh-CN"/>
              </w:rPr>
            </w:pPr>
          </w:p>
        </w:tc>
        <w:tc>
          <w:tcPr>
            <w:tcW w:w="2382" w:type="dxa"/>
            <w:tcBorders>
              <w:top w:val="single" w:color="auto" w:sz="6" w:space="0"/>
              <w:left w:val="single" w:color="auto" w:sz="4" w:space="0"/>
              <w:bottom w:val="single" w:color="auto" w:sz="6" w:space="0"/>
              <w:right w:val="single" w:color="auto" w:sz="6" w:space="0"/>
            </w:tcBorders>
            <w:noWrap w:val="0"/>
            <w:vAlign w:val="center"/>
          </w:tcPr>
          <w:p>
            <w:pPr>
              <w:pStyle w:val="11"/>
              <w:spacing w:line="400" w:lineRule="atLeast"/>
              <w:jc w:val="center"/>
              <w:rPr>
                <w:rFonts w:hAnsi="宋体"/>
                <w:kern w:val="2"/>
                <w:sz w:val="24"/>
                <w:szCs w:val="22"/>
                <w:lang w:val="en-US" w:eastAsia="zh-CN"/>
              </w:rPr>
            </w:pPr>
          </w:p>
        </w:tc>
        <w:tc>
          <w:tcPr>
            <w:tcW w:w="2711" w:type="dxa"/>
            <w:tcBorders>
              <w:top w:val="single" w:color="auto" w:sz="6" w:space="0"/>
              <w:left w:val="single" w:color="auto" w:sz="6" w:space="0"/>
              <w:bottom w:val="single" w:color="auto" w:sz="6" w:space="0"/>
              <w:right w:val="single" w:color="auto" w:sz="6" w:space="0"/>
            </w:tcBorders>
            <w:noWrap w:val="0"/>
            <w:vAlign w:val="top"/>
          </w:tcPr>
          <w:p>
            <w:pPr>
              <w:pStyle w:val="11"/>
              <w:spacing w:line="400" w:lineRule="atLeast"/>
              <w:jc w:val="center"/>
              <w:rPr>
                <w:rFonts w:hAnsi="宋体"/>
                <w:kern w:val="2"/>
                <w:sz w:val="24"/>
                <w:szCs w:val="22"/>
                <w:lang w:val="en-US" w:eastAsia="zh-CN"/>
              </w:rPr>
            </w:pPr>
          </w:p>
        </w:tc>
        <w:tc>
          <w:tcPr>
            <w:tcW w:w="1550" w:type="dxa"/>
            <w:tcBorders>
              <w:top w:val="single" w:color="auto" w:sz="6" w:space="0"/>
              <w:left w:val="single" w:color="auto" w:sz="6" w:space="0"/>
              <w:bottom w:val="single" w:color="auto" w:sz="6" w:space="0"/>
              <w:right w:val="single" w:color="auto" w:sz="4" w:space="0"/>
            </w:tcBorders>
            <w:noWrap w:val="0"/>
            <w:vAlign w:val="top"/>
          </w:tcPr>
          <w:p>
            <w:pPr>
              <w:pStyle w:val="11"/>
              <w:spacing w:line="400" w:lineRule="atLeast"/>
              <w:jc w:val="center"/>
              <w:rPr>
                <w:rFonts w:hAnsi="宋体"/>
                <w:kern w:val="2"/>
                <w:sz w:val="24"/>
                <w:szCs w:val="22"/>
                <w:lang w:val="en-US" w:eastAsia="zh-CN"/>
              </w:rPr>
            </w:pPr>
          </w:p>
        </w:tc>
        <w:tc>
          <w:tcPr>
            <w:tcW w:w="775" w:type="dxa"/>
            <w:tcBorders>
              <w:top w:val="single" w:color="auto" w:sz="6" w:space="0"/>
              <w:left w:val="single" w:color="auto" w:sz="4" w:space="0"/>
              <w:bottom w:val="single" w:color="auto" w:sz="6" w:space="0"/>
              <w:right w:val="single" w:color="auto" w:sz="6" w:space="0"/>
            </w:tcBorders>
            <w:noWrap w:val="0"/>
            <w:vAlign w:val="top"/>
          </w:tcPr>
          <w:p>
            <w:pPr>
              <w:pStyle w:val="11"/>
              <w:spacing w:line="400" w:lineRule="atLeast"/>
              <w:jc w:val="center"/>
              <w:rPr>
                <w:rFonts w:hAnsi="宋体"/>
                <w:kern w:val="2"/>
                <w:sz w:val="24"/>
                <w:szCs w:val="22"/>
                <w:lang w:val="en-US" w:eastAsia="zh-CN"/>
              </w:rPr>
            </w:pPr>
          </w:p>
        </w:tc>
      </w:tr>
      <w:tr>
        <w:tblPrEx>
          <w:tblLayout w:type="fixed"/>
          <w:tblCellMar>
            <w:top w:w="0" w:type="dxa"/>
            <w:left w:w="108" w:type="dxa"/>
            <w:bottom w:w="0" w:type="dxa"/>
            <w:right w:w="108" w:type="dxa"/>
          </w:tblCellMar>
        </w:tblPrEx>
        <w:trPr>
          <w:trHeight w:val="608" w:hRule="atLeast"/>
        </w:trPr>
        <w:tc>
          <w:tcPr>
            <w:tcW w:w="949" w:type="dxa"/>
            <w:tcBorders>
              <w:top w:val="single" w:color="auto" w:sz="6" w:space="0"/>
              <w:left w:val="single" w:color="auto" w:sz="6" w:space="0"/>
              <w:bottom w:val="single" w:color="auto" w:sz="6" w:space="0"/>
              <w:right w:val="single" w:color="auto" w:sz="6" w:space="0"/>
            </w:tcBorders>
            <w:noWrap w:val="0"/>
            <w:vAlign w:val="top"/>
          </w:tcPr>
          <w:p>
            <w:pPr>
              <w:pStyle w:val="11"/>
              <w:spacing w:line="400" w:lineRule="atLeast"/>
              <w:rPr>
                <w:rFonts w:hAnsi="宋体"/>
                <w:kern w:val="2"/>
                <w:sz w:val="24"/>
                <w:szCs w:val="22"/>
                <w:lang w:val="en-US" w:eastAsia="zh-CN"/>
              </w:rPr>
            </w:pPr>
          </w:p>
        </w:tc>
        <w:tc>
          <w:tcPr>
            <w:tcW w:w="936" w:type="dxa"/>
            <w:tcBorders>
              <w:top w:val="single" w:color="auto" w:sz="6" w:space="0"/>
              <w:left w:val="single" w:color="auto" w:sz="6" w:space="0"/>
              <w:bottom w:val="single" w:color="auto" w:sz="6" w:space="0"/>
              <w:right w:val="single" w:color="auto" w:sz="4" w:space="0"/>
            </w:tcBorders>
            <w:noWrap w:val="0"/>
            <w:vAlign w:val="center"/>
          </w:tcPr>
          <w:p>
            <w:pPr>
              <w:pStyle w:val="11"/>
              <w:spacing w:line="400" w:lineRule="atLeast"/>
              <w:jc w:val="center"/>
              <w:rPr>
                <w:rFonts w:hAnsi="宋体"/>
                <w:kern w:val="2"/>
                <w:sz w:val="24"/>
                <w:szCs w:val="22"/>
                <w:lang w:val="en-US" w:eastAsia="zh-CN"/>
              </w:rPr>
            </w:pPr>
          </w:p>
        </w:tc>
        <w:tc>
          <w:tcPr>
            <w:tcW w:w="2382" w:type="dxa"/>
            <w:tcBorders>
              <w:top w:val="single" w:color="auto" w:sz="6" w:space="0"/>
              <w:left w:val="single" w:color="auto" w:sz="4" w:space="0"/>
              <w:bottom w:val="single" w:color="auto" w:sz="6" w:space="0"/>
              <w:right w:val="single" w:color="auto" w:sz="6" w:space="0"/>
            </w:tcBorders>
            <w:noWrap w:val="0"/>
            <w:vAlign w:val="center"/>
          </w:tcPr>
          <w:p>
            <w:pPr>
              <w:pStyle w:val="11"/>
              <w:spacing w:line="400" w:lineRule="atLeast"/>
              <w:jc w:val="center"/>
              <w:rPr>
                <w:rFonts w:hAnsi="宋体"/>
                <w:kern w:val="2"/>
                <w:sz w:val="24"/>
                <w:szCs w:val="22"/>
                <w:lang w:val="en-US" w:eastAsia="zh-CN"/>
              </w:rPr>
            </w:pPr>
          </w:p>
        </w:tc>
        <w:tc>
          <w:tcPr>
            <w:tcW w:w="2711" w:type="dxa"/>
            <w:tcBorders>
              <w:top w:val="single" w:color="auto" w:sz="6" w:space="0"/>
              <w:left w:val="single" w:color="auto" w:sz="6" w:space="0"/>
              <w:bottom w:val="single" w:color="auto" w:sz="6" w:space="0"/>
              <w:right w:val="single" w:color="auto" w:sz="6" w:space="0"/>
            </w:tcBorders>
            <w:noWrap w:val="0"/>
            <w:vAlign w:val="top"/>
          </w:tcPr>
          <w:p>
            <w:pPr>
              <w:pStyle w:val="11"/>
              <w:spacing w:line="400" w:lineRule="atLeast"/>
              <w:rPr>
                <w:rFonts w:hAnsi="宋体"/>
                <w:kern w:val="2"/>
                <w:sz w:val="24"/>
                <w:szCs w:val="22"/>
                <w:lang w:val="en-US" w:eastAsia="zh-CN"/>
              </w:rPr>
            </w:pPr>
          </w:p>
        </w:tc>
        <w:tc>
          <w:tcPr>
            <w:tcW w:w="1550" w:type="dxa"/>
            <w:tcBorders>
              <w:top w:val="single" w:color="auto" w:sz="6" w:space="0"/>
              <w:left w:val="single" w:color="auto" w:sz="6" w:space="0"/>
              <w:bottom w:val="single" w:color="auto" w:sz="6" w:space="0"/>
              <w:right w:val="single" w:color="auto" w:sz="4" w:space="0"/>
            </w:tcBorders>
            <w:noWrap w:val="0"/>
            <w:vAlign w:val="top"/>
          </w:tcPr>
          <w:p>
            <w:pPr>
              <w:pStyle w:val="11"/>
              <w:spacing w:line="400" w:lineRule="atLeast"/>
              <w:rPr>
                <w:rFonts w:hAnsi="宋体"/>
                <w:kern w:val="2"/>
                <w:sz w:val="24"/>
                <w:szCs w:val="22"/>
                <w:lang w:val="en-US" w:eastAsia="zh-CN"/>
              </w:rPr>
            </w:pPr>
          </w:p>
        </w:tc>
        <w:tc>
          <w:tcPr>
            <w:tcW w:w="775" w:type="dxa"/>
            <w:tcBorders>
              <w:top w:val="single" w:color="auto" w:sz="6" w:space="0"/>
              <w:left w:val="single" w:color="auto" w:sz="4" w:space="0"/>
              <w:bottom w:val="single" w:color="auto" w:sz="6" w:space="0"/>
              <w:right w:val="single" w:color="auto" w:sz="6" w:space="0"/>
            </w:tcBorders>
            <w:noWrap w:val="0"/>
            <w:vAlign w:val="top"/>
          </w:tcPr>
          <w:p>
            <w:pPr>
              <w:pStyle w:val="11"/>
              <w:spacing w:line="400" w:lineRule="atLeast"/>
              <w:rPr>
                <w:rFonts w:hAnsi="宋体"/>
                <w:kern w:val="2"/>
                <w:sz w:val="24"/>
                <w:szCs w:val="22"/>
                <w:lang w:val="en-US" w:eastAsia="zh-CN"/>
              </w:rPr>
            </w:pPr>
          </w:p>
        </w:tc>
      </w:tr>
      <w:tr>
        <w:tblPrEx>
          <w:tblLayout w:type="fixed"/>
          <w:tblCellMar>
            <w:top w:w="0" w:type="dxa"/>
            <w:left w:w="108" w:type="dxa"/>
            <w:bottom w:w="0" w:type="dxa"/>
            <w:right w:w="108" w:type="dxa"/>
          </w:tblCellMar>
        </w:tblPrEx>
        <w:trPr>
          <w:trHeight w:val="608" w:hRule="atLeast"/>
        </w:trPr>
        <w:tc>
          <w:tcPr>
            <w:tcW w:w="949" w:type="dxa"/>
            <w:tcBorders>
              <w:top w:val="single" w:color="auto" w:sz="6" w:space="0"/>
              <w:left w:val="single" w:color="auto" w:sz="6" w:space="0"/>
              <w:bottom w:val="single" w:color="auto" w:sz="6" w:space="0"/>
              <w:right w:val="single" w:color="auto" w:sz="6" w:space="0"/>
            </w:tcBorders>
            <w:noWrap w:val="0"/>
            <w:vAlign w:val="top"/>
          </w:tcPr>
          <w:p>
            <w:pPr>
              <w:pStyle w:val="11"/>
              <w:spacing w:line="400" w:lineRule="atLeast"/>
              <w:rPr>
                <w:rFonts w:hAnsi="宋体"/>
                <w:kern w:val="2"/>
                <w:sz w:val="24"/>
                <w:szCs w:val="22"/>
                <w:lang w:val="en-US" w:eastAsia="zh-CN"/>
              </w:rPr>
            </w:pPr>
          </w:p>
        </w:tc>
        <w:tc>
          <w:tcPr>
            <w:tcW w:w="936" w:type="dxa"/>
            <w:tcBorders>
              <w:top w:val="single" w:color="auto" w:sz="6" w:space="0"/>
              <w:left w:val="single" w:color="auto" w:sz="6" w:space="0"/>
              <w:bottom w:val="single" w:color="auto" w:sz="6" w:space="0"/>
              <w:right w:val="single" w:color="auto" w:sz="4" w:space="0"/>
            </w:tcBorders>
            <w:noWrap w:val="0"/>
            <w:vAlign w:val="center"/>
          </w:tcPr>
          <w:p>
            <w:pPr>
              <w:pStyle w:val="11"/>
              <w:spacing w:line="400" w:lineRule="atLeast"/>
              <w:jc w:val="center"/>
              <w:rPr>
                <w:rFonts w:hAnsi="宋体"/>
                <w:kern w:val="2"/>
                <w:sz w:val="24"/>
                <w:szCs w:val="22"/>
                <w:lang w:val="en-US" w:eastAsia="zh-CN"/>
              </w:rPr>
            </w:pPr>
          </w:p>
        </w:tc>
        <w:tc>
          <w:tcPr>
            <w:tcW w:w="2382" w:type="dxa"/>
            <w:tcBorders>
              <w:top w:val="single" w:color="auto" w:sz="6" w:space="0"/>
              <w:left w:val="single" w:color="auto" w:sz="4" w:space="0"/>
              <w:bottom w:val="single" w:color="auto" w:sz="6" w:space="0"/>
              <w:right w:val="single" w:color="auto" w:sz="6" w:space="0"/>
            </w:tcBorders>
            <w:noWrap w:val="0"/>
            <w:vAlign w:val="center"/>
          </w:tcPr>
          <w:p>
            <w:pPr>
              <w:pStyle w:val="11"/>
              <w:spacing w:line="400" w:lineRule="atLeast"/>
              <w:jc w:val="center"/>
              <w:rPr>
                <w:rFonts w:hAnsi="宋体"/>
                <w:kern w:val="2"/>
                <w:sz w:val="24"/>
                <w:szCs w:val="22"/>
                <w:lang w:val="en-US" w:eastAsia="zh-CN"/>
              </w:rPr>
            </w:pPr>
          </w:p>
        </w:tc>
        <w:tc>
          <w:tcPr>
            <w:tcW w:w="2711" w:type="dxa"/>
            <w:tcBorders>
              <w:top w:val="single" w:color="auto" w:sz="6" w:space="0"/>
              <w:left w:val="single" w:color="auto" w:sz="6" w:space="0"/>
              <w:bottom w:val="single" w:color="auto" w:sz="6" w:space="0"/>
              <w:right w:val="single" w:color="auto" w:sz="6" w:space="0"/>
            </w:tcBorders>
            <w:noWrap w:val="0"/>
            <w:vAlign w:val="top"/>
          </w:tcPr>
          <w:p>
            <w:pPr>
              <w:pStyle w:val="11"/>
              <w:spacing w:line="400" w:lineRule="atLeast"/>
              <w:rPr>
                <w:rFonts w:hAnsi="宋体"/>
                <w:kern w:val="2"/>
                <w:sz w:val="24"/>
                <w:szCs w:val="22"/>
                <w:lang w:val="en-US" w:eastAsia="zh-CN"/>
              </w:rPr>
            </w:pPr>
          </w:p>
        </w:tc>
        <w:tc>
          <w:tcPr>
            <w:tcW w:w="1550" w:type="dxa"/>
            <w:tcBorders>
              <w:top w:val="single" w:color="auto" w:sz="6" w:space="0"/>
              <w:left w:val="single" w:color="auto" w:sz="6" w:space="0"/>
              <w:bottom w:val="single" w:color="auto" w:sz="6" w:space="0"/>
              <w:right w:val="single" w:color="auto" w:sz="4" w:space="0"/>
            </w:tcBorders>
            <w:noWrap w:val="0"/>
            <w:vAlign w:val="top"/>
          </w:tcPr>
          <w:p>
            <w:pPr>
              <w:pStyle w:val="11"/>
              <w:spacing w:line="400" w:lineRule="atLeast"/>
              <w:rPr>
                <w:rFonts w:hAnsi="宋体"/>
                <w:kern w:val="2"/>
                <w:sz w:val="24"/>
                <w:szCs w:val="22"/>
                <w:lang w:val="en-US" w:eastAsia="zh-CN"/>
              </w:rPr>
            </w:pPr>
          </w:p>
        </w:tc>
        <w:tc>
          <w:tcPr>
            <w:tcW w:w="775" w:type="dxa"/>
            <w:tcBorders>
              <w:top w:val="single" w:color="auto" w:sz="6" w:space="0"/>
              <w:left w:val="single" w:color="auto" w:sz="4" w:space="0"/>
              <w:bottom w:val="single" w:color="auto" w:sz="6" w:space="0"/>
              <w:right w:val="single" w:color="auto" w:sz="6" w:space="0"/>
            </w:tcBorders>
            <w:noWrap w:val="0"/>
            <w:vAlign w:val="top"/>
          </w:tcPr>
          <w:p>
            <w:pPr>
              <w:pStyle w:val="11"/>
              <w:spacing w:line="400" w:lineRule="atLeast"/>
              <w:rPr>
                <w:rFonts w:hAnsi="宋体"/>
                <w:kern w:val="2"/>
                <w:sz w:val="24"/>
                <w:szCs w:val="22"/>
                <w:lang w:val="en-US" w:eastAsia="zh-CN"/>
              </w:rPr>
            </w:pPr>
          </w:p>
        </w:tc>
      </w:tr>
      <w:tr>
        <w:tblPrEx>
          <w:tblLayout w:type="fixed"/>
          <w:tblCellMar>
            <w:top w:w="0" w:type="dxa"/>
            <w:left w:w="108" w:type="dxa"/>
            <w:bottom w:w="0" w:type="dxa"/>
            <w:right w:w="108" w:type="dxa"/>
          </w:tblCellMar>
        </w:tblPrEx>
        <w:trPr>
          <w:trHeight w:val="608" w:hRule="atLeast"/>
        </w:trPr>
        <w:tc>
          <w:tcPr>
            <w:tcW w:w="949" w:type="dxa"/>
            <w:tcBorders>
              <w:top w:val="single" w:color="auto" w:sz="6" w:space="0"/>
              <w:left w:val="single" w:color="auto" w:sz="6" w:space="0"/>
              <w:bottom w:val="single" w:color="auto" w:sz="6" w:space="0"/>
              <w:right w:val="single" w:color="auto" w:sz="6" w:space="0"/>
            </w:tcBorders>
            <w:noWrap w:val="0"/>
            <w:vAlign w:val="top"/>
          </w:tcPr>
          <w:p>
            <w:pPr>
              <w:pStyle w:val="11"/>
              <w:spacing w:line="400" w:lineRule="atLeast"/>
              <w:rPr>
                <w:rFonts w:hAnsi="宋体"/>
                <w:kern w:val="2"/>
                <w:sz w:val="24"/>
                <w:szCs w:val="22"/>
                <w:lang w:val="en-US" w:eastAsia="zh-CN"/>
              </w:rPr>
            </w:pPr>
          </w:p>
        </w:tc>
        <w:tc>
          <w:tcPr>
            <w:tcW w:w="936" w:type="dxa"/>
            <w:tcBorders>
              <w:top w:val="single" w:color="auto" w:sz="6" w:space="0"/>
              <w:left w:val="single" w:color="auto" w:sz="6" w:space="0"/>
              <w:bottom w:val="single" w:color="auto" w:sz="6" w:space="0"/>
              <w:right w:val="single" w:color="auto" w:sz="4" w:space="0"/>
            </w:tcBorders>
            <w:noWrap w:val="0"/>
            <w:vAlign w:val="center"/>
          </w:tcPr>
          <w:p>
            <w:pPr>
              <w:pStyle w:val="11"/>
              <w:spacing w:line="400" w:lineRule="atLeast"/>
              <w:jc w:val="center"/>
              <w:rPr>
                <w:rFonts w:hAnsi="宋体"/>
                <w:kern w:val="2"/>
                <w:sz w:val="24"/>
                <w:szCs w:val="22"/>
                <w:lang w:val="en-US" w:eastAsia="zh-CN"/>
              </w:rPr>
            </w:pPr>
          </w:p>
        </w:tc>
        <w:tc>
          <w:tcPr>
            <w:tcW w:w="2382" w:type="dxa"/>
            <w:tcBorders>
              <w:top w:val="single" w:color="auto" w:sz="6" w:space="0"/>
              <w:left w:val="single" w:color="auto" w:sz="4" w:space="0"/>
              <w:bottom w:val="single" w:color="auto" w:sz="6" w:space="0"/>
              <w:right w:val="single" w:color="auto" w:sz="6" w:space="0"/>
            </w:tcBorders>
            <w:noWrap w:val="0"/>
            <w:vAlign w:val="center"/>
          </w:tcPr>
          <w:p>
            <w:pPr>
              <w:pStyle w:val="11"/>
              <w:spacing w:line="400" w:lineRule="atLeast"/>
              <w:jc w:val="center"/>
              <w:rPr>
                <w:rFonts w:hAnsi="宋体"/>
                <w:kern w:val="2"/>
                <w:sz w:val="24"/>
                <w:szCs w:val="22"/>
                <w:lang w:val="en-US" w:eastAsia="zh-CN"/>
              </w:rPr>
            </w:pPr>
          </w:p>
        </w:tc>
        <w:tc>
          <w:tcPr>
            <w:tcW w:w="2711" w:type="dxa"/>
            <w:tcBorders>
              <w:top w:val="single" w:color="auto" w:sz="6" w:space="0"/>
              <w:left w:val="single" w:color="auto" w:sz="6" w:space="0"/>
              <w:bottom w:val="single" w:color="auto" w:sz="6" w:space="0"/>
              <w:right w:val="single" w:color="auto" w:sz="6" w:space="0"/>
            </w:tcBorders>
            <w:noWrap w:val="0"/>
            <w:vAlign w:val="top"/>
          </w:tcPr>
          <w:p>
            <w:pPr>
              <w:pStyle w:val="11"/>
              <w:spacing w:line="400" w:lineRule="atLeast"/>
              <w:rPr>
                <w:rFonts w:hAnsi="宋体"/>
                <w:kern w:val="2"/>
                <w:sz w:val="24"/>
                <w:szCs w:val="22"/>
                <w:lang w:val="en-US" w:eastAsia="zh-CN"/>
              </w:rPr>
            </w:pPr>
          </w:p>
        </w:tc>
        <w:tc>
          <w:tcPr>
            <w:tcW w:w="1550" w:type="dxa"/>
            <w:tcBorders>
              <w:top w:val="single" w:color="auto" w:sz="6" w:space="0"/>
              <w:left w:val="single" w:color="auto" w:sz="6" w:space="0"/>
              <w:bottom w:val="single" w:color="auto" w:sz="6" w:space="0"/>
              <w:right w:val="single" w:color="auto" w:sz="4" w:space="0"/>
            </w:tcBorders>
            <w:noWrap w:val="0"/>
            <w:vAlign w:val="top"/>
          </w:tcPr>
          <w:p>
            <w:pPr>
              <w:pStyle w:val="11"/>
              <w:spacing w:line="400" w:lineRule="atLeast"/>
              <w:rPr>
                <w:rFonts w:hAnsi="宋体"/>
                <w:kern w:val="2"/>
                <w:sz w:val="24"/>
                <w:szCs w:val="22"/>
                <w:lang w:val="en-US" w:eastAsia="zh-CN"/>
              </w:rPr>
            </w:pPr>
          </w:p>
        </w:tc>
        <w:tc>
          <w:tcPr>
            <w:tcW w:w="775" w:type="dxa"/>
            <w:tcBorders>
              <w:top w:val="single" w:color="auto" w:sz="6" w:space="0"/>
              <w:left w:val="single" w:color="auto" w:sz="4" w:space="0"/>
              <w:bottom w:val="single" w:color="auto" w:sz="6" w:space="0"/>
              <w:right w:val="single" w:color="auto" w:sz="6" w:space="0"/>
            </w:tcBorders>
            <w:noWrap w:val="0"/>
            <w:vAlign w:val="top"/>
          </w:tcPr>
          <w:p>
            <w:pPr>
              <w:pStyle w:val="11"/>
              <w:spacing w:line="400" w:lineRule="atLeast"/>
              <w:rPr>
                <w:rFonts w:hAnsi="宋体"/>
                <w:kern w:val="2"/>
                <w:sz w:val="24"/>
                <w:szCs w:val="22"/>
                <w:lang w:val="en-US" w:eastAsia="zh-CN"/>
              </w:rPr>
            </w:pPr>
          </w:p>
        </w:tc>
      </w:tr>
      <w:tr>
        <w:tblPrEx>
          <w:tblLayout w:type="fixed"/>
          <w:tblCellMar>
            <w:top w:w="0" w:type="dxa"/>
            <w:left w:w="108" w:type="dxa"/>
            <w:bottom w:w="0" w:type="dxa"/>
            <w:right w:w="108" w:type="dxa"/>
          </w:tblCellMar>
        </w:tblPrEx>
        <w:trPr>
          <w:trHeight w:val="608" w:hRule="atLeast"/>
        </w:trPr>
        <w:tc>
          <w:tcPr>
            <w:tcW w:w="949" w:type="dxa"/>
            <w:tcBorders>
              <w:top w:val="single" w:color="auto" w:sz="6" w:space="0"/>
              <w:left w:val="single" w:color="auto" w:sz="6" w:space="0"/>
              <w:bottom w:val="single" w:color="auto" w:sz="6" w:space="0"/>
              <w:right w:val="single" w:color="auto" w:sz="6" w:space="0"/>
            </w:tcBorders>
            <w:noWrap w:val="0"/>
            <w:vAlign w:val="top"/>
          </w:tcPr>
          <w:p>
            <w:pPr>
              <w:pStyle w:val="11"/>
              <w:spacing w:line="400" w:lineRule="atLeast"/>
              <w:rPr>
                <w:rFonts w:hAnsi="宋体"/>
                <w:kern w:val="2"/>
                <w:sz w:val="24"/>
                <w:szCs w:val="22"/>
                <w:lang w:val="en-US" w:eastAsia="zh-CN"/>
              </w:rPr>
            </w:pPr>
          </w:p>
        </w:tc>
        <w:tc>
          <w:tcPr>
            <w:tcW w:w="936" w:type="dxa"/>
            <w:tcBorders>
              <w:top w:val="single" w:color="auto" w:sz="6" w:space="0"/>
              <w:left w:val="single" w:color="auto" w:sz="6" w:space="0"/>
              <w:bottom w:val="single" w:color="auto" w:sz="6" w:space="0"/>
              <w:right w:val="single" w:color="auto" w:sz="4" w:space="0"/>
            </w:tcBorders>
            <w:noWrap w:val="0"/>
            <w:vAlign w:val="center"/>
          </w:tcPr>
          <w:p>
            <w:pPr>
              <w:pStyle w:val="11"/>
              <w:spacing w:line="400" w:lineRule="atLeast"/>
              <w:jc w:val="center"/>
              <w:rPr>
                <w:rFonts w:hAnsi="宋体"/>
                <w:kern w:val="2"/>
                <w:sz w:val="24"/>
                <w:szCs w:val="22"/>
                <w:lang w:val="en-US" w:eastAsia="zh-CN"/>
              </w:rPr>
            </w:pPr>
          </w:p>
        </w:tc>
        <w:tc>
          <w:tcPr>
            <w:tcW w:w="2382" w:type="dxa"/>
            <w:tcBorders>
              <w:top w:val="single" w:color="auto" w:sz="6" w:space="0"/>
              <w:left w:val="single" w:color="auto" w:sz="4" w:space="0"/>
              <w:bottom w:val="single" w:color="auto" w:sz="6" w:space="0"/>
              <w:right w:val="single" w:color="auto" w:sz="6" w:space="0"/>
            </w:tcBorders>
            <w:noWrap w:val="0"/>
            <w:vAlign w:val="center"/>
          </w:tcPr>
          <w:p>
            <w:pPr>
              <w:pStyle w:val="11"/>
              <w:spacing w:line="400" w:lineRule="atLeast"/>
              <w:jc w:val="center"/>
              <w:rPr>
                <w:rFonts w:hAnsi="宋体"/>
                <w:kern w:val="2"/>
                <w:sz w:val="24"/>
                <w:szCs w:val="22"/>
                <w:lang w:val="en-US" w:eastAsia="zh-CN"/>
              </w:rPr>
            </w:pPr>
          </w:p>
        </w:tc>
        <w:tc>
          <w:tcPr>
            <w:tcW w:w="2711" w:type="dxa"/>
            <w:tcBorders>
              <w:top w:val="single" w:color="auto" w:sz="6" w:space="0"/>
              <w:left w:val="single" w:color="auto" w:sz="6" w:space="0"/>
              <w:bottom w:val="single" w:color="auto" w:sz="6" w:space="0"/>
              <w:right w:val="single" w:color="auto" w:sz="6" w:space="0"/>
            </w:tcBorders>
            <w:noWrap w:val="0"/>
            <w:vAlign w:val="top"/>
          </w:tcPr>
          <w:p>
            <w:pPr>
              <w:pStyle w:val="11"/>
              <w:spacing w:line="400" w:lineRule="atLeast"/>
              <w:rPr>
                <w:rFonts w:hAnsi="宋体"/>
                <w:kern w:val="2"/>
                <w:sz w:val="24"/>
                <w:szCs w:val="22"/>
                <w:lang w:val="en-US" w:eastAsia="zh-CN"/>
              </w:rPr>
            </w:pPr>
          </w:p>
        </w:tc>
        <w:tc>
          <w:tcPr>
            <w:tcW w:w="1550" w:type="dxa"/>
            <w:tcBorders>
              <w:top w:val="single" w:color="auto" w:sz="6" w:space="0"/>
              <w:left w:val="single" w:color="auto" w:sz="6" w:space="0"/>
              <w:bottom w:val="single" w:color="auto" w:sz="6" w:space="0"/>
              <w:right w:val="single" w:color="auto" w:sz="4" w:space="0"/>
            </w:tcBorders>
            <w:noWrap w:val="0"/>
            <w:vAlign w:val="top"/>
          </w:tcPr>
          <w:p>
            <w:pPr>
              <w:pStyle w:val="11"/>
              <w:spacing w:line="400" w:lineRule="atLeast"/>
              <w:rPr>
                <w:rFonts w:hAnsi="宋体"/>
                <w:kern w:val="2"/>
                <w:sz w:val="24"/>
                <w:szCs w:val="22"/>
                <w:lang w:val="en-US" w:eastAsia="zh-CN"/>
              </w:rPr>
            </w:pPr>
          </w:p>
        </w:tc>
        <w:tc>
          <w:tcPr>
            <w:tcW w:w="775" w:type="dxa"/>
            <w:tcBorders>
              <w:top w:val="single" w:color="auto" w:sz="6" w:space="0"/>
              <w:left w:val="single" w:color="auto" w:sz="4" w:space="0"/>
              <w:bottom w:val="single" w:color="auto" w:sz="6" w:space="0"/>
              <w:right w:val="single" w:color="auto" w:sz="6" w:space="0"/>
            </w:tcBorders>
            <w:noWrap w:val="0"/>
            <w:vAlign w:val="top"/>
          </w:tcPr>
          <w:p>
            <w:pPr>
              <w:pStyle w:val="11"/>
              <w:spacing w:line="400" w:lineRule="atLeast"/>
              <w:rPr>
                <w:rFonts w:hAnsi="宋体"/>
                <w:kern w:val="2"/>
                <w:sz w:val="24"/>
                <w:szCs w:val="22"/>
                <w:lang w:val="en-US" w:eastAsia="zh-CN"/>
              </w:rPr>
            </w:pPr>
          </w:p>
        </w:tc>
      </w:tr>
      <w:tr>
        <w:tblPrEx>
          <w:tblLayout w:type="fixed"/>
          <w:tblCellMar>
            <w:top w:w="0" w:type="dxa"/>
            <w:left w:w="108" w:type="dxa"/>
            <w:bottom w:w="0" w:type="dxa"/>
            <w:right w:w="108" w:type="dxa"/>
          </w:tblCellMar>
        </w:tblPrEx>
        <w:trPr>
          <w:trHeight w:val="608" w:hRule="atLeast"/>
        </w:trPr>
        <w:tc>
          <w:tcPr>
            <w:tcW w:w="949" w:type="dxa"/>
            <w:tcBorders>
              <w:top w:val="single" w:color="auto" w:sz="6" w:space="0"/>
              <w:left w:val="single" w:color="auto" w:sz="6" w:space="0"/>
              <w:bottom w:val="single" w:color="auto" w:sz="6" w:space="0"/>
              <w:right w:val="single" w:color="auto" w:sz="6" w:space="0"/>
            </w:tcBorders>
            <w:noWrap w:val="0"/>
            <w:vAlign w:val="top"/>
          </w:tcPr>
          <w:p>
            <w:pPr>
              <w:pStyle w:val="11"/>
              <w:spacing w:line="400" w:lineRule="atLeast"/>
              <w:rPr>
                <w:rFonts w:hAnsi="宋体"/>
                <w:kern w:val="2"/>
                <w:sz w:val="24"/>
                <w:szCs w:val="22"/>
                <w:lang w:val="en-US" w:eastAsia="zh-CN"/>
              </w:rPr>
            </w:pPr>
          </w:p>
        </w:tc>
        <w:tc>
          <w:tcPr>
            <w:tcW w:w="936" w:type="dxa"/>
            <w:tcBorders>
              <w:top w:val="single" w:color="auto" w:sz="6" w:space="0"/>
              <w:left w:val="single" w:color="auto" w:sz="6" w:space="0"/>
              <w:bottom w:val="single" w:color="auto" w:sz="6" w:space="0"/>
              <w:right w:val="single" w:color="auto" w:sz="4" w:space="0"/>
            </w:tcBorders>
            <w:noWrap w:val="0"/>
            <w:vAlign w:val="center"/>
          </w:tcPr>
          <w:p>
            <w:pPr>
              <w:pStyle w:val="11"/>
              <w:spacing w:line="400" w:lineRule="atLeast"/>
              <w:jc w:val="center"/>
              <w:rPr>
                <w:rFonts w:hAnsi="宋体"/>
                <w:kern w:val="2"/>
                <w:sz w:val="24"/>
                <w:szCs w:val="22"/>
                <w:lang w:val="en-US" w:eastAsia="zh-CN"/>
              </w:rPr>
            </w:pPr>
          </w:p>
        </w:tc>
        <w:tc>
          <w:tcPr>
            <w:tcW w:w="2382" w:type="dxa"/>
            <w:tcBorders>
              <w:top w:val="single" w:color="auto" w:sz="6" w:space="0"/>
              <w:left w:val="single" w:color="auto" w:sz="4" w:space="0"/>
              <w:bottom w:val="single" w:color="auto" w:sz="6" w:space="0"/>
              <w:right w:val="single" w:color="auto" w:sz="6" w:space="0"/>
            </w:tcBorders>
            <w:noWrap w:val="0"/>
            <w:vAlign w:val="center"/>
          </w:tcPr>
          <w:p>
            <w:pPr>
              <w:pStyle w:val="11"/>
              <w:spacing w:line="400" w:lineRule="atLeast"/>
              <w:jc w:val="center"/>
              <w:rPr>
                <w:rFonts w:hAnsi="宋体"/>
                <w:kern w:val="2"/>
                <w:sz w:val="24"/>
                <w:szCs w:val="22"/>
                <w:lang w:val="en-US" w:eastAsia="zh-CN"/>
              </w:rPr>
            </w:pPr>
          </w:p>
        </w:tc>
        <w:tc>
          <w:tcPr>
            <w:tcW w:w="2711" w:type="dxa"/>
            <w:tcBorders>
              <w:top w:val="single" w:color="auto" w:sz="6" w:space="0"/>
              <w:left w:val="single" w:color="auto" w:sz="6" w:space="0"/>
              <w:bottom w:val="single" w:color="auto" w:sz="6" w:space="0"/>
              <w:right w:val="single" w:color="auto" w:sz="6" w:space="0"/>
            </w:tcBorders>
            <w:noWrap w:val="0"/>
            <w:vAlign w:val="top"/>
          </w:tcPr>
          <w:p>
            <w:pPr>
              <w:pStyle w:val="11"/>
              <w:spacing w:line="400" w:lineRule="atLeast"/>
              <w:rPr>
                <w:rFonts w:hAnsi="宋体"/>
                <w:kern w:val="2"/>
                <w:sz w:val="24"/>
                <w:szCs w:val="22"/>
                <w:lang w:val="en-US" w:eastAsia="zh-CN"/>
              </w:rPr>
            </w:pPr>
          </w:p>
        </w:tc>
        <w:tc>
          <w:tcPr>
            <w:tcW w:w="1550" w:type="dxa"/>
            <w:tcBorders>
              <w:top w:val="single" w:color="auto" w:sz="6" w:space="0"/>
              <w:left w:val="single" w:color="auto" w:sz="6" w:space="0"/>
              <w:bottom w:val="single" w:color="auto" w:sz="6" w:space="0"/>
              <w:right w:val="single" w:color="auto" w:sz="4" w:space="0"/>
            </w:tcBorders>
            <w:noWrap w:val="0"/>
            <w:vAlign w:val="top"/>
          </w:tcPr>
          <w:p>
            <w:pPr>
              <w:pStyle w:val="11"/>
              <w:spacing w:line="400" w:lineRule="atLeast"/>
              <w:rPr>
                <w:rFonts w:hAnsi="宋体"/>
                <w:kern w:val="2"/>
                <w:sz w:val="24"/>
                <w:szCs w:val="22"/>
                <w:lang w:val="en-US" w:eastAsia="zh-CN"/>
              </w:rPr>
            </w:pPr>
          </w:p>
        </w:tc>
        <w:tc>
          <w:tcPr>
            <w:tcW w:w="775" w:type="dxa"/>
            <w:tcBorders>
              <w:top w:val="single" w:color="auto" w:sz="6" w:space="0"/>
              <w:left w:val="single" w:color="auto" w:sz="4" w:space="0"/>
              <w:bottom w:val="single" w:color="auto" w:sz="6" w:space="0"/>
              <w:right w:val="single" w:color="auto" w:sz="6" w:space="0"/>
            </w:tcBorders>
            <w:noWrap w:val="0"/>
            <w:vAlign w:val="top"/>
          </w:tcPr>
          <w:p>
            <w:pPr>
              <w:pStyle w:val="11"/>
              <w:spacing w:line="400" w:lineRule="atLeast"/>
              <w:rPr>
                <w:rFonts w:hAnsi="宋体"/>
                <w:kern w:val="2"/>
                <w:sz w:val="24"/>
                <w:szCs w:val="22"/>
                <w:lang w:val="en-US" w:eastAsia="zh-CN"/>
              </w:rPr>
            </w:pPr>
          </w:p>
        </w:tc>
      </w:tr>
      <w:tr>
        <w:tblPrEx>
          <w:tblLayout w:type="fixed"/>
          <w:tblCellMar>
            <w:top w:w="0" w:type="dxa"/>
            <w:left w:w="108" w:type="dxa"/>
            <w:bottom w:w="0" w:type="dxa"/>
            <w:right w:w="108" w:type="dxa"/>
          </w:tblCellMar>
        </w:tblPrEx>
        <w:trPr>
          <w:trHeight w:val="608" w:hRule="atLeast"/>
        </w:trPr>
        <w:tc>
          <w:tcPr>
            <w:tcW w:w="949" w:type="dxa"/>
            <w:tcBorders>
              <w:top w:val="single" w:color="auto" w:sz="6" w:space="0"/>
              <w:left w:val="single" w:color="auto" w:sz="6" w:space="0"/>
              <w:bottom w:val="single" w:color="auto" w:sz="6" w:space="0"/>
              <w:right w:val="single" w:color="auto" w:sz="6" w:space="0"/>
            </w:tcBorders>
            <w:noWrap w:val="0"/>
            <w:vAlign w:val="top"/>
          </w:tcPr>
          <w:p>
            <w:pPr>
              <w:pStyle w:val="11"/>
              <w:spacing w:line="400" w:lineRule="atLeast"/>
              <w:rPr>
                <w:rFonts w:hAnsi="宋体"/>
                <w:kern w:val="2"/>
                <w:sz w:val="24"/>
                <w:szCs w:val="22"/>
                <w:lang w:val="en-US" w:eastAsia="zh-CN"/>
              </w:rPr>
            </w:pPr>
          </w:p>
        </w:tc>
        <w:tc>
          <w:tcPr>
            <w:tcW w:w="936" w:type="dxa"/>
            <w:tcBorders>
              <w:top w:val="single" w:color="auto" w:sz="6" w:space="0"/>
              <w:left w:val="single" w:color="auto" w:sz="6" w:space="0"/>
              <w:bottom w:val="single" w:color="auto" w:sz="6" w:space="0"/>
              <w:right w:val="single" w:color="auto" w:sz="4" w:space="0"/>
            </w:tcBorders>
            <w:noWrap w:val="0"/>
            <w:vAlign w:val="center"/>
          </w:tcPr>
          <w:p>
            <w:pPr>
              <w:pStyle w:val="11"/>
              <w:spacing w:line="400" w:lineRule="atLeast"/>
              <w:jc w:val="center"/>
              <w:rPr>
                <w:rFonts w:hAnsi="宋体"/>
                <w:kern w:val="2"/>
                <w:sz w:val="24"/>
                <w:szCs w:val="22"/>
                <w:lang w:val="en-US" w:eastAsia="zh-CN"/>
              </w:rPr>
            </w:pPr>
          </w:p>
        </w:tc>
        <w:tc>
          <w:tcPr>
            <w:tcW w:w="2382" w:type="dxa"/>
            <w:tcBorders>
              <w:top w:val="single" w:color="auto" w:sz="6" w:space="0"/>
              <w:left w:val="single" w:color="auto" w:sz="4" w:space="0"/>
              <w:bottom w:val="single" w:color="auto" w:sz="6" w:space="0"/>
              <w:right w:val="single" w:color="auto" w:sz="6" w:space="0"/>
            </w:tcBorders>
            <w:noWrap w:val="0"/>
            <w:vAlign w:val="center"/>
          </w:tcPr>
          <w:p>
            <w:pPr>
              <w:pStyle w:val="11"/>
              <w:spacing w:line="400" w:lineRule="atLeast"/>
              <w:jc w:val="center"/>
              <w:rPr>
                <w:rFonts w:hAnsi="宋体"/>
                <w:kern w:val="2"/>
                <w:sz w:val="24"/>
                <w:szCs w:val="22"/>
                <w:lang w:val="en-US" w:eastAsia="zh-CN"/>
              </w:rPr>
            </w:pPr>
          </w:p>
        </w:tc>
        <w:tc>
          <w:tcPr>
            <w:tcW w:w="2711" w:type="dxa"/>
            <w:tcBorders>
              <w:top w:val="single" w:color="auto" w:sz="6" w:space="0"/>
              <w:left w:val="single" w:color="auto" w:sz="6" w:space="0"/>
              <w:bottom w:val="single" w:color="auto" w:sz="6" w:space="0"/>
              <w:right w:val="single" w:color="auto" w:sz="6" w:space="0"/>
            </w:tcBorders>
            <w:noWrap w:val="0"/>
            <w:vAlign w:val="top"/>
          </w:tcPr>
          <w:p>
            <w:pPr>
              <w:pStyle w:val="11"/>
              <w:spacing w:line="400" w:lineRule="atLeast"/>
              <w:rPr>
                <w:rFonts w:hAnsi="宋体"/>
                <w:kern w:val="2"/>
                <w:sz w:val="24"/>
                <w:szCs w:val="22"/>
                <w:lang w:val="en-US" w:eastAsia="zh-CN"/>
              </w:rPr>
            </w:pPr>
          </w:p>
        </w:tc>
        <w:tc>
          <w:tcPr>
            <w:tcW w:w="1550" w:type="dxa"/>
            <w:tcBorders>
              <w:top w:val="single" w:color="auto" w:sz="6" w:space="0"/>
              <w:left w:val="single" w:color="auto" w:sz="6" w:space="0"/>
              <w:bottom w:val="single" w:color="auto" w:sz="6" w:space="0"/>
              <w:right w:val="single" w:color="auto" w:sz="4" w:space="0"/>
            </w:tcBorders>
            <w:noWrap w:val="0"/>
            <w:vAlign w:val="top"/>
          </w:tcPr>
          <w:p>
            <w:pPr>
              <w:pStyle w:val="11"/>
              <w:spacing w:line="400" w:lineRule="atLeast"/>
              <w:rPr>
                <w:rFonts w:hAnsi="宋体"/>
                <w:kern w:val="2"/>
                <w:sz w:val="24"/>
                <w:szCs w:val="22"/>
                <w:lang w:val="en-US" w:eastAsia="zh-CN"/>
              </w:rPr>
            </w:pPr>
          </w:p>
        </w:tc>
        <w:tc>
          <w:tcPr>
            <w:tcW w:w="775" w:type="dxa"/>
            <w:tcBorders>
              <w:top w:val="single" w:color="auto" w:sz="6" w:space="0"/>
              <w:left w:val="single" w:color="auto" w:sz="4" w:space="0"/>
              <w:bottom w:val="single" w:color="auto" w:sz="6" w:space="0"/>
              <w:right w:val="single" w:color="auto" w:sz="6" w:space="0"/>
            </w:tcBorders>
            <w:noWrap w:val="0"/>
            <w:vAlign w:val="top"/>
          </w:tcPr>
          <w:p>
            <w:pPr>
              <w:pStyle w:val="11"/>
              <w:spacing w:line="400" w:lineRule="atLeast"/>
              <w:rPr>
                <w:rFonts w:hAnsi="宋体"/>
                <w:kern w:val="2"/>
                <w:sz w:val="24"/>
                <w:szCs w:val="22"/>
                <w:lang w:val="en-US" w:eastAsia="zh-CN"/>
              </w:rPr>
            </w:pPr>
          </w:p>
        </w:tc>
      </w:tr>
      <w:tr>
        <w:tblPrEx>
          <w:tblLayout w:type="fixed"/>
          <w:tblCellMar>
            <w:top w:w="0" w:type="dxa"/>
            <w:left w:w="108" w:type="dxa"/>
            <w:bottom w:w="0" w:type="dxa"/>
            <w:right w:w="108" w:type="dxa"/>
          </w:tblCellMar>
        </w:tblPrEx>
        <w:trPr>
          <w:trHeight w:val="608" w:hRule="atLeast"/>
        </w:trPr>
        <w:tc>
          <w:tcPr>
            <w:tcW w:w="949" w:type="dxa"/>
            <w:tcBorders>
              <w:top w:val="single" w:color="auto" w:sz="6" w:space="0"/>
              <w:left w:val="single" w:color="auto" w:sz="6" w:space="0"/>
              <w:bottom w:val="single" w:color="auto" w:sz="6" w:space="0"/>
              <w:right w:val="single" w:color="auto" w:sz="6" w:space="0"/>
            </w:tcBorders>
            <w:noWrap w:val="0"/>
            <w:vAlign w:val="top"/>
          </w:tcPr>
          <w:p>
            <w:pPr>
              <w:pStyle w:val="11"/>
              <w:spacing w:line="400" w:lineRule="atLeast"/>
              <w:rPr>
                <w:rFonts w:hAnsi="宋体"/>
                <w:kern w:val="2"/>
                <w:sz w:val="24"/>
                <w:szCs w:val="22"/>
                <w:lang w:val="en-US" w:eastAsia="zh-CN"/>
              </w:rPr>
            </w:pPr>
          </w:p>
        </w:tc>
        <w:tc>
          <w:tcPr>
            <w:tcW w:w="936" w:type="dxa"/>
            <w:tcBorders>
              <w:top w:val="single" w:color="auto" w:sz="6" w:space="0"/>
              <w:left w:val="single" w:color="auto" w:sz="6" w:space="0"/>
              <w:bottom w:val="single" w:color="auto" w:sz="6" w:space="0"/>
              <w:right w:val="single" w:color="auto" w:sz="4" w:space="0"/>
            </w:tcBorders>
            <w:noWrap w:val="0"/>
            <w:vAlign w:val="center"/>
          </w:tcPr>
          <w:p>
            <w:pPr>
              <w:pStyle w:val="11"/>
              <w:spacing w:line="400" w:lineRule="atLeast"/>
              <w:jc w:val="center"/>
              <w:rPr>
                <w:rFonts w:hAnsi="宋体"/>
                <w:kern w:val="2"/>
                <w:sz w:val="24"/>
                <w:szCs w:val="22"/>
                <w:lang w:val="en-US" w:eastAsia="zh-CN"/>
              </w:rPr>
            </w:pPr>
          </w:p>
        </w:tc>
        <w:tc>
          <w:tcPr>
            <w:tcW w:w="2382" w:type="dxa"/>
            <w:tcBorders>
              <w:top w:val="single" w:color="auto" w:sz="6" w:space="0"/>
              <w:left w:val="single" w:color="auto" w:sz="4" w:space="0"/>
              <w:bottom w:val="single" w:color="auto" w:sz="6" w:space="0"/>
              <w:right w:val="single" w:color="auto" w:sz="6" w:space="0"/>
            </w:tcBorders>
            <w:noWrap w:val="0"/>
            <w:vAlign w:val="center"/>
          </w:tcPr>
          <w:p>
            <w:pPr>
              <w:pStyle w:val="11"/>
              <w:spacing w:line="400" w:lineRule="atLeast"/>
              <w:jc w:val="center"/>
              <w:rPr>
                <w:rFonts w:hAnsi="宋体"/>
                <w:kern w:val="2"/>
                <w:sz w:val="24"/>
                <w:szCs w:val="22"/>
                <w:lang w:val="en-US" w:eastAsia="zh-CN"/>
              </w:rPr>
            </w:pPr>
          </w:p>
        </w:tc>
        <w:tc>
          <w:tcPr>
            <w:tcW w:w="2711" w:type="dxa"/>
            <w:tcBorders>
              <w:top w:val="single" w:color="auto" w:sz="6" w:space="0"/>
              <w:left w:val="single" w:color="auto" w:sz="6" w:space="0"/>
              <w:bottom w:val="single" w:color="auto" w:sz="6" w:space="0"/>
              <w:right w:val="single" w:color="auto" w:sz="6" w:space="0"/>
            </w:tcBorders>
            <w:noWrap w:val="0"/>
            <w:vAlign w:val="top"/>
          </w:tcPr>
          <w:p>
            <w:pPr>
              <w:pStyle w:val="11"/>
              <w:spacing w:line="400" w:lineRule="atLeast"/>
              <w:rPr>
                <w:rFonts w:hAnsi="宋体"/>
                <w:kern w:val="2"/>
                <w:sz w:val="24"/>
                <w:szCs w:val="22"/>
                <w:lang w:val="en-US" w:eastAsia="zh-CN"/>
              </w:rPr>
            </w:pPr>
          </w:p>
        </w:tc>
        <w:tc>
          <w:tcPr>
            <w:tcW w:w="1550" w:type="dxa"/>
            <w:tcBorders>
              <w:top w:val="single" w:color="auto" w:sz="6" w:space="0"/>
              <w:left w:val="single" w:color="auto" w:sz="6" w:space="0"/>
              <w:bottom w:val="single" w:color="auto" w:sz="6" w:space="0"/>
              <w:right w:val="single" w:color="auto" w:sz="4" w:space="0"/>
            </w:tcBorders>
            <w:noWrap w:val="0"/>
            <w:vAlign w:val="top"/>
          </w:tcPr>
          <w:p>
            <w:pPr>
              <w:pStyle w:val="11"/>
              <w:spacing w:line="400" w:lineRule="atLeast"/>
              <w:rPr>
                <w:rFonts w:hAnsi="宋体"/>
                <w:kern w:val="2"/>
                <w:sz w:val="24"/>
                <w:szCs w:val="22"/>
                <w:lang w:val="en-US" w:eastAsia="zh-CN"/>
              </w:rPr>
            </w:pPr>
          </w:p>
        </w:tc>
        <w:tc>
          <w:tcPr>
            <w:tcW w:w="775" w:type="dxa"/>
            <w:tcBorders>
              <w:top w:val="single" w:color="auto" w:sz="6" w:space="0"/>
              <w:left w:val="single" w:color="auto" w:sz="4" w:space="0"/>
              <w:bottom w:val="single" w:color="auto" w:sz="6" w:space="0"/>
              <w:right w:val="single" w:color="auto" w:sz="6" w:space="0"/>
            </w:tcBorders>
            <w:noWrap w:val="0"/>
            <w:vAlign w:val="top"/>
          </w:tcPr>
          <w:p>
            <w:pPr>
              <w:pStyle w:val="11"/>
              <w:spacing w:line="400" w:lineRule="atLeast"/>
              <w:rPr>
                <w:rFonts w:hAnsi="宋体"/>
                <w:kern w:val="2"/>
                <w:sz w:val="24"/>
                <w:szCs w:val="22"/>
                <w:lang w:val="en-US" w:eastAsia="zh-CN"/>
              </w:rPr>
            </w:pPr>
          </w:p>
        </w:tc>
      </w:tr>
      <w:tr>
        <w:tblPrEx>
          <w:tblLayout w:type="fixed"/>
          <w:tblCellMar>
            <w:top w:w="0" w:type="dxa"/>
            <w:left w:w="108" w:type="dxa"/>
            <w:bottom w:w="0" w:type="dxa"/>
            <w:right w:w="108" w:type="dxa"/>
          </w:tblCellMar>
        </w:tblPrEx>
        <w:trPr>
          <w:trHeight w:val="608" w:hRule="atLeast"/>
        </w:trPr>
        <w:tc>
          <w:tcPr>
            <w:tcW w:w="949" w:type="dxa"/>
            <w:tcBorders>
              <w:top w:val="single" w:color="auto" w:sz="6" w:space="0"/>
              <w:left w:val="single" w:color="auto" w:sz="6" w:space="0"/>
              <w:bottom w:val="single" w:color="auto" w:sz="6" w:space="0"/>
              <w:right w:val="single" w:color="auto" w:sz="6" w:space="0"/>
            </w:tcBorders>
            <w:noWrap w:val="0"/>
            <w:vAlign w:val="top"/>
          </w:tcPr>
          <w:p>
            <w:pPr>
              <w:pStyle w:val="11"/>
              <w:spacing w:line="400" w:lineRule="atLeast"/>
              <w:rPr>
                <w:rFonts w:hAnsi="宋体"/>
                <w:kern w:val="2"/>
                <w:sz w:val="24"/>
                <w:szCs w:val="22"/>
                <w:lang w:val="en-US" w:eastAsia="zh-CN"/>
              </w:rPr>
            </w:pPr>
          </w:p>
        </w:tc>
        <w:tc>
          <w:tcPr>
            <w:tcW w:w="936" w:type="dxa"/>
            <w:tcBorders>
              <w:top w:val="single" w:color="auto" w:sz="6" w:space="0"/>
              <w:left w:val="single" w:color="auto" w:sz="6" w:space="0"/>
              <w:bottom w:val="single" w:color="auto" w:sz="6" w:space="0"/>
              <w:right w:val="single" w:color="auto" w:sz="4" w:space="0"/>
            </w:tcBorders>
            <w:noWrap w:val="0"/>
            <w:vAlign w:val="center"/>
          </w:tcPr>
          <w:p>
            <w:pPr>
              <w:pStyle w:val="11"/>
              <w:spacing w:line="400" w:lineRule="atLeast"/>
              <w:jc w:val="center"/>
              <w:rPr>
                <w:rFonts w:hAnsi="宋体"/>
                <w:kern w:val="2"/>
                <w:sz w:val="24"/>
                <w:szCs w:val="22"/>
                <w:lang w:val="en-US" w:eastAsia="zh-CN"/>
              </w:rPr>
            </w:pPr>
          </w:p>
        </w:tc>
        <w:tc>
          <w:tcPr>
            <w:tcW w:w="2382" w:type="dxa"/>
            <w:tcBorders>
              <w:top w:val="single" w:color="auto" w:sz="6" w:space="0"/>
              <w:left w:val="single" w:color="auto" w:sz="4" w:space="0"/>
              <w:bottom w:val="single" w:color="auto" w:sz="6" w:space="0"/>
              <w:right w:val="single" w:color="auto" w:sz="6" w:space="0"/>
            </w:tcBorders>
            <w:noWrap w:val="0"/>
            <w:vAlign w:val="center"/>
          </w:tcPr>
          <w:p>
            <w:pPr>
              <w:pStyle w:val="11"/>
              <w:spacing w:line="400" w:lineRule="atLeast"/>
              <w:jc w:val="center"/>
              <w:rPr>
                <w:rFonts w:hAnsi="宋体"/>
                <w:kern w:val="2"/>
                <w:sz w:val="24"/>
                <w:szCs w:val="22"/>
                <w:lang w:val="en-US" w:eastAsia="zh-CN"/>
              </w:rPr>
            </w:pPr>
          </w:p>
        </w:tc>
        <w:tc>
          <w:tcPr>
            <w:tcW w:w="2711" w:type="dxa"/>
            <w:tcBorders>
              <w:top w:val="single" w:color="auto" w:sz="6" w:space="0"/>
              <w:left w:val="single" w:color="auto" w:sz="6" w:space="0"/>
              <w:bottom w:val="single" w:color="auto" w:sz="6" w:space="0"/>
              <w:right w:val="single" w:color="auto" w:sz="6" w:space="0"/>
            </w:tcBorders>
            <w:noWrap w:val="0"/>
            <w:vAlign w:val="top"/>
          </w:tcPr>
          <w:p>
            <w:pPr>
              <w:pStyle w:val="11"/>
              <w:spacing w:line="400" w:lineRule="atLeast"/>
              <w:rPr>
                <w:rFonts w:hAnsi="宋体"/>
                <w:kern w:val="2"/>
                <w:sz w:val="24"/>
                <w:szCs w:val="22"/>
                <w:lang w:val="en-US" w:eastAsia="zh-CN"/>
              </w:rPr>
            </w:pPr>
          </w:p>
        </w:tc>
        <w:tc>
          <w:tcPr>
            <w:tcW w:w="1550" w:type="dxa"/>
            <w:tcBorders>
              <w:top w:val="single" w:color="auto" w:sz="6" w:space="0"/>
              <w:left w:val="single" w:color="auto" w:sz="6" w:space="0"/>
              <w:bottom w:val="single" w:color="auto" w:sz="6" w:space="0"/>
              <w:right w:val="single" w:color="auto" w:sz="4" w:space="0"/>
            </w:tcBorders>
            <w:noWrap w:val="0"/>
            <w:vAlign w:val="top"/>
          </w:tcPr>
          <w:p>
            <w:pPr>
              <w:pStyle w:val="11"/>
              <w:spacing w:line="400" w:lineRule="atLeast"/>
              <w:rPr>
                <w:rFonts w:hAnsi="宋体"/>
                <w:kern w:val="2"/>
                <w:sz w:val="24"/>
                <w:szCs w:val="22"/>
                <w:lang w:val="en-US" w:eastAsia="zh-CN"/>
              </w:rPr>
            </w:pPr>
          </w:p>
        </w:tc>
        <w:tc>
          <w:tcPr>
            <w:tcW w:w="775" w:type="dxa"/>
            <w:tcBorders>
              <w:top w:val="single" w:color="auto" w:sz="6" w:space="0"/>
              <w:left w:val="single" w:color="auto" w:sz="4" w:space="0"/>
              <w:bottom w:val="single" w:color="auto" w:sz="6" w:space="0"/>
              <w:right w:val="single" w:color="auto" w:sz="6" w:space="0"/>
            </w:tcBorders>
            <w:noWrap w:val="0"/>
            <w:vAlign w:val="top"/>
          </w:tcPr>
          <w:p>
            <w:pPr>
              <w:pStyle w:val="11"/>
              <w:spacing w:line="400" w:lineRule="atLeast"/>
              <w:rPr>
                <w:rFonts w:hAnsi="宋体"/>
                <w:kern w:val="2"/>
                <w:sz w:val="24"/>
                <w:szCs w:val="22"/>
                <w:lang w:val="en-US" w:eastAsia="zh-CN"/>
              </w:rPr>
            </w:pPr>
          </w:p>
        </w:tc>
      </w:tr>
      <w:tr>
        <w:tblPrEx>
          <w:tblLayout w:type="fixed"/>
          <w:tblCellMar>
            <w:top w:w="0" w:type="dxa"/>
            <w:left w:w="108" w:type="dxa"/>
            <w:bottom w:w="0" w:type="dxa"/>
            <w:right w:w="108" w:type="dxa"/>
          </w:tblCellMar>
        </w:tblPrEx>
        <w:trPr>
          <w:trHeight w:val="608" w:hRule="atLeast"/>
        </w:trPr>
        <w:tc>
          <w:tcPr>
            <w:tcW w:w="949" w:type="dxa"/>
            <w:tcBorders>
              <w:top w:val="single" w:color="auto" w:sz="6" w:space="0"/>
              <w:left w:val="single" w:color="auto" w:sz="6" w:space="0"/>
              <w:bottom w:val="single" w:color="auto" w:sz="6" w:space="0"/>
              <w:right w:val="single" w:color="auto" w:sz="6" w:space="0"/>
            </w:tcBorders>
            <w:noWrap w:val="0"/>
            <w:vAlign w:val="top"/>
          </w:tcPr>
          <w:p>
            <w:pPr>
              <w:pStyle w:val="11"/>
              <w:spacing w:line="400" w:lineRule="atLeast"/>
              <w:rPr>
                <w:rFonts w:hAnsi="宋体"/>
                <w:kern w:val="2"/>
                <w:sz w:val="24"/>
                <w:szCs w:val="22"/>
                <w:lang w:val="en-US" w:eastAsia="zh-CN"/>
              </w:rPr>
            </w:pPr>
            <w:r>
              <w:rPr>
                <w:rFonts w:hint="eastAsia" w:hAnsi="宋体"/>
                <w:kern w:val="2"/>
                <w:sz w:val="24"/>
                <w:szCs w:val="22"/>
                <w:lang w:val="en-US" w:eastAsia="zh-CN"/>
              </w:rPr>
              <w:t>……</w:t>
            </w:r>
          </w:p>
        </w:tc>
        <w:tc>
          <w:tcPr>
            <w:tcW w:w="936" w:type="dxa"/>
            <w:tcBorders>
              <w:top w:val="single" w:color="auto" w:sz="6" w:space="0"/>
              <w:left w:val="single" w:color="auto" w:sz="6" w:space="0"/>
              <w:bottom w:val="single" w:color="auto" w:sz="6" w:space="0"/>
              <w:right w:val="single" w:color="auto" w:sz="4" w:space="0"/>
            </w:tcBorders>
            <w:noWrap w:val="0"/>
            <w:vAlign w:val="center"/>
          </w:tcPr>
          <w:p>
            <w:pPr>
              <w:pStyle w:val="11"/>
              <w:spacing w:line="400" w:lineRule="atLeast"/>
              <w:jc w:val="center"/>
              <w:rPr>
                <w:rFonts w:hAnsi="宋体"/>
                <w:kern w:val="2"/>
                <w:sz w:val="24"/>
                <w:szCs w:val="22"/>
                <w:lang w:val="en-US" w:eastAsia="zh-CN"/>
              </w:rPr>
            </w:pPr>
          </w:p>
        </w:tc>
        <w:tc>
          <w:tcPr>
            <w:tcW w:w="2382" w:type="dxa"/>
            <w:tcBorders>
              <w:top w:val="single" w:color="auto" w:sz="6" w:space="0"/>
              <w:left w:val="single" w:color="auto" w:sz="4" w:space="0"/>
              <w:bottom w:val="single" w:color="auto" w:sz="6" w:space="0"/>
              <w:right w:val="single" w:color="auto" w:sz="6" w:space="0"/>
            </w:tcBorders>
            <w:noWrap w:val="0"/>
            <w:vAlign w:val="center"/>
          </w:tcPr>
          <w:p>
            <w:pPr>
              <w:pStyle w:val="11"/>
              <w:spacing w:line="400" w:lineRule="atLeast"/>
              <w:jc w:val="center"/>
              <w:rPr>
                <w:rFonts w:hAnsi="宋体"/>
                <w:kern w:val="2"/>
                <w:sz w:val="24"/>
                <w:szCs w:val="22"/>
                <w:lang w:val="en-US" w:eastAsia="zh-CN"/>
              </w:rPr>
            </w:pPr>
          </w:p>
        </w:tc>
        <w:tc>
          <w:tcPr>
            <w:tcW w:w="2711" w:type="dxa"/>
            <w:tcBorders>
              <w:top w:val="single" w:color="auto" w:sz="6" w:space="0"/>
              <w:left w:val="single" w:color="auto" w:sz="6" w:space="0"/>
              <w:bottom w:val="single" w:color="auto" w:sz="6" w:space="0"/>
              <w:right w:val="single" w:color="auto" w:sz="6" w:space="0"/>
            </w:tcBorders>
            <w:noWrap w:val="0"/>
            <w:vAlign w:val="top"/>
          </w:tcPr>
          <w:p>
            <w:pPr>
              <w:pStyle w:val="11"/>
              <w:spacing w:line="400" w:lineRule="atLeast"/>
              <w:rPr>
                <w:rFonts w:hAnsi="宋体"/>
                <w:kern w:val="2"/>
                <w:sz w:val="24"/>
                <w:szCs w:val="22"/>
                <w:lang w:val="en-US" w:eastAsia="zh-CN"/>
              </w:rPr>
            </w:pPr>
          </w:p>
        </w:tc>
        <w:tc>
          <w:tcPr>
            <w:tcW w:w="1550" w:type="dxa"/>
            <w:tcBorders>
              <w:top w:val="single" w:color="auto" w:sz="6" w:space="0"/>
              <w:left w:val="single" w:color="auto" w:sz="6" w:space="0"/>
              <w:bottom w:val="single" w:color="auto" w:sz="6" w:space="0"/>
              <w:right w:val="single" w:color="auto" w:sz="4" w:space="0"/>
            </w:tcBorders>
            <w:noWrap w:val="0"/>
            <w:vAlign w:val="top"/>
          </w:tcPr>
          <w:p>
            <w:pPr>
              <w:pStyle w:val="11"/>
              <w:spacing w:line="400" w:lineRule="atLeast"/>
              <w:rPr>
                <w:rFonts w:hAnsi="宋体"/>
                <w:kern w:val="2"/>
                <w:sz w:val="24"/>
                <w:szCs w:val="22"/>
                <w:lang w:val="en-US" w:eastAsia="zh-CN"/>
              </w:rPr>
            </w:pPr>
          </w:p>
        </w:tc>
        <w:tc>
          <w:tcPr>
            <w:tcW w:w="775" w:type="dxa"/>
            <w:tcBorders>
              <w:top w:val="single" w:color="auto" w:sz="6" w:space="0"/>
              <w:left w:val="single" w:color="auto" w:sz="4" w:space="0"/>
              <w:bottom w:val="single" w:color="auto" w:sz="6" w:space="0"/>
              <w:right w:val="single" w:color="auto" w:sz="6" w:space="0"/>
            </w:tcBorders>
            <w:noWrap w:val="0"/>
            <w:vAlign w:val="top"/>
          </w:tcPr>
          <w:p>
            <w:pPr>
              <w:pStyle w:val="11"/>
              <w:spacing w:line="400" w:lineRule="atLeast"/>
              <w:rPr>
                <w:rFonts w:hAnsi="宋体"/>
                <w:kern w:val="2"/>
                <w:sz w:val="24"/>
                <w:szCs w:val="22"/>
                <w:lang w:val="en-US" w:eastAsia="zh-CN"/>
              </w:rPr>
            </w:pPr>
          </w:p>
        </w:tc>
      </w:tr>
    </w:tbl>
    <w:p>
      <w:pPr>
        <w:pStyle w:val="11"/>
        <w:spacing w:line="360" w:lineRule="auto"/>
        <w:rPr>
          <w:rFonts w:hAnsi="宋体"/>
          <w:sz w:val="24"/>
        </w:rPr>
      </w:pPr>
      <w:r>
        <w:rPr>
          <w:rFonts w:hint="eastAsia" w:hAnsi="宋体"/>
          <w:sz w:val="24"/>
        </w:rPr>
        <w:t>特别提醒：</w:t>
      </w:r>
    </w:p>
    <w:p>
      <w:pPr>
        <w:pStyle w:val="11"/>
        <w:spacing w:line="360" w:lineRule="auto"/>
        <w:ind w:firstLine="480" w:firstLineChars="200"/>
        <w:rPr>
          <w:rFonts w:hAnsi="宋体"/>
          <w:sz w:val="24"/>
        </w:rPr>
      </w:pPr>
      <w:r>
        <w:rPr>
          <w:rFonts w:hint="eastAsia" w:hAnsi="宋体"/>
          <w:sz w:val="24"/>
        </w:rPr>
        <w:t>1.投标人在填写其中的技术响应内容时，投标人必须对照本招标文件“产品技术要求”中各指标项逐条说明，写出各自投标产品的具体参数响应内容，</w:t>
      </w:r>
      <w:r>
        <w:rPr>
          <w:rFonts w:hint="eastAsia" w:hAnsi="宋体"/>
          <w:b/>
          <w:sz w:val="24"/>
          <w:u w:val="single"/>
        </w:rPr>
        <w:t>不得以“符合”或“满足”等词语作简单回答或者完全复制本项目采购需求中参数内容，否则评标委员会有权视其投标文件未响应招标文件要求；</w:t>
      </w:r>
    </w:p>
    <w:p>
      <w:pPr>
        <w:pStyle w:val="11"/>
        <w:spacing w:line="360" w:lineRule="auto"/>
        <w:ind w:firstLine="480" w:firstLineChars="200"/>
        <w:rPr>
          <w:rFonts w:hAnsi="宋体"/>
          <w:sz w:val="24"/>
        </w:rPr>
      </w:pPr>
      <w:r>
        <w:rPr>
          <w:rFonts w:hint="eastAsia" w:hAnsi="宋体"/>
          <w:sz w:val="24"/>
        </w:rPr>
        <w:t>2.如有负偏离，应按实写明负偏离情况。否则视为完全满足采购需求指标，并作为今后产品的验收依据。</w:t>
      </w:r>
    </w:p>
    <w:p>
      <w:pPr>
        <w:pStyle w:val="11"/>
        <w:spacing w:line="560" w:lineRule="exact"/>
        <w:ind w:firstLine="5640" w:firstLineChars="2350"/>
        <w:rPr>
          <w:rFonts w:hAnsi="宋体"/>
          <w:sz w:val="24"/>
          <w:lang w:val="zh-CN"/>
        </w:rPr>
      </w:pPr>
      <w:r>
        <w:rPr>
          <w:rFonts w:hAnsi="宋体"/>
          <w:sz w:val="24"/>
          <w:lang w:val="zh-CN"/>
        </w:rPr>
        <w:t>投标人（盖单位章）：</w:t>
      </w:r>
    </w:p>
    <w:p>
      <w:pPr>
        <w:pStyle w:val="11"/>
        <w:spacing w:line="560" w:lineRule="exact"/>
        <w:ind w:firstLine="3720" w:firstLineChars="1550"/>
        <w:rPr>
          <w:rFonts w:hAnsi="宋体"/>
          <w:sz w:val="24"/>
          <w:lang w:val="zh-CN"/>
        </w:rPr>
      </w:pPr>
      <w:r>
        <w:rPr>
          <w:rFonts w:hAnsi="宋体"/>
          <w:sz w:val="24"/>
          <w:lang w:val="zh-CN"/>
        </w:rPr>
        <w:t>法定代表人或</w:t>
      </w:r>
      <w:r>
        <w:rPr>
          <w:rFonts w:hint="eastAsia" w:hAnsi="宋体"/>
          <w:sz w:val="24"/>
          <w:lang w:val="zh-CN"/>
        </w:rPr>
        <w:t>全权代表</w:t>
      </w:r>
      <w:r>
        <w:rPr>
          <w:rFonts w:hAnsi="宋体"/>
          <w:sz w:val="24"/>
          <w:lang w:val="zh-CN"/>
        </w:rPr>
        <w:t>（盖章或签字）：</w:t>
      </w:r>
    </w:p>
    <w:p>
      <w:pPr>
        <w:snapToGrid w:val="0"/>
        <w:spacing w:before="50" w:after="50" w:line="360" w:lineRule="auto"/>
        <w:rPr>
          <w:rFonts w:ascii="宋体" w:hAnsi="宋体"/>
          <w:b/>
          <w:sz w:val="28"/>
        </w:rPr>
      </w:pPr>
    </w:p>
    <w:p>
      <w:pPr>
        <w:snapToGrid w:val="0"/>
        <w:spacing w:before="50" w:after="50" w:line="360" w:lineRule="auto"/>
        <w:rPr>
          <w:rFonts w:ascii="宋体" w:hAnsi="宋体"/>
          <w:b/>
          <w:sz w:val="28"/>
        </w:rPr>
      </w:pPr>
    </w:p>
    <w:p>
      <w:pPr>
        <w:snapToGrid w:val="0"/>
        <w:spacing w:before="50" w:after="50" w:line="360" w:lineRule="auto"/>
        <w:rPr>
          <w:rFonts w:hint="eastAsia" w:ascii="宋体" w:hAnsi="宋体"/>
          <w:b/>
          <w:sz w:val="28"/>
        </w:rPr>
      </w:pPr>
    </w:p>
    <w:p>
      <w:pPr>
        <w:spacing w:line="360" w:lineRule="auto"/>
        <w:ind w:right="-110"/>
        <w:jc w:val="left"/>
        <w:rPr>
          <w:rFonts w:hint="default" w:ascii="宋体" w:hAnsi="宋体" w:eastAsia="宋体"/>
          <w:spacing w:val="40"/>
          <w:sz w:val="52"/>
          <w:szCs w:val="52"/>
          <w:lang w:val="en-US" w:eastAsia="zh-CN"/>
        </w:rPr>
      </w:pPr>
      <w:r>
        <w:rPr>
          <w:rFonts w:hint="eastAsia" w:ascii="宋体" w:hAnsi="宋体"/>
          <w:b/>
          <w:sz w:val="28"/>
        </w:rPr>
        <w:t>附件</w:t>
      </w:r>
      <w:r>
        <w:rPr>
          <w:rFonts w:hint="eastAsia" w:ascii="宋体" w:hAnsi="宋体"/>
          <w:b/>
          <w:sz w:val="28"/>
          <w:lang w:val="en-US" w:eastAsia="zh-CN"/>
        </w:rPr>
        <w:t>:9</w:t>
      </w:r>
    </w:p>
    <w:p>
      <w:pPr>
        <w:spacing w:line="360" w:lineRule="auto"/>
        <w:ind w:right="-110"/>
        <w:jc w:val="center"/>
        <w:rPr>
          <w:rFonts w:ascii="宋体" w:hAnsi="宋体"/>
          <w:spacing w:val="40"/>
          <w:sz w:val="52"/>
          <w:szCs w:val="52"/>
        </w:rPr>
      </w:pPr>
      <w:r>
        <w:rPr>
          <w:rFonts w:hint="eastAsia" w:ascii="宋体" w:hAnsi="宋体"/>
          <w:spacing w:val="40"/>
          <w:sz w:val="52"/>
          <w:szCs w:val="52"/>
        </w:rPr>
        <w:t>项目名称</w:t>
      </w:r>
    </w:p>
    <w:p>
      <w:pPr>
        <w:spacing w:before="312" w:beforeLines="100" w:line="360" w:lineRule="auto"/>
        <w:ind w:right="-108"/>
        <w:jc w:val="center"/>
        <w:rPr>
          <w:rFonts w:ascii="宋体" w:hAnsi="宋体"/>
          <w:sz w:val="36"/>
          <w:szCs w:val="36"/>
        </w:rPr>
      </w:pPr>
      <w:r>
        <w:rPr>
          <w:rFonts w:hint="eastAsia" w:ascii="宋体" w:hAnsi="宋体"/>
          <w:sz w:val="36"/>
          <w:szCs w:val="36"/>
        </w:rPr>
        <w:t>项目编号：</w:t>
      </w:r>
    </w:p>
    <w:p>
      <w:pPr>
        <w:spacing w:after="100" w:afterAutospacing="1" w:line="360" w:lineRule="auto"/>
        <w:ind w:right="-108"/>
        <w:jc w:val="center"/>
        <w:rPr>
          <w:rFonts w:ascii="宋体" w:hAnsi="宋体"/>
          <w:b/>
          <w:spacing w:val="40"/>
          <w:sz w:val="84"/>
          <w:szCs w:val="84"/>
        </w:rPr>
      </w:pPr>
    </w:p>
    <w:p>
      <w:pPr>
        <w:spacing w:after="100" w:afterAutospacing="1" w:line="360" w:lineRule="auto"/>
        <w:ind w:right="-108"/>
        <w:jc w:val="center"/>
        <w:rPr>
          <w:rFonts w:ascii="宋体" w:hAnsi="宋体"/>
          <w:b/>
          <w:spacing w:val="40"/>
          <w:sz w:val="84"/>
          <w:szCs w:val="84"/>
        </w:rPr>
      </w:pPr>
      <w:r>
        <w:rPr>
          <w:rFonts w:hint="eastAsia" w:ascii="宋体" w:hAnsi="宋体"/>
          <w:b/>
          <w:spacing w:val="40"/>
          <w:sz w:val="84"/>
          <w:szCs w:val="84"/>
        </w:rPr>
        <w:t>报</w:t>
      </w:r>
    </w:p>
    <w:p>
      <w:pPr>
        <w:spacing w:after="100" w:afterAutospacing="1" w:line="360" w:lineRule="auto"/>
        <w:ind w:right="-108"/>
        <w:jc w:val="center"/>
        <w:rPr>
          <w:rFonts w:ascii="宋体" w:hAnsi="宋体"/>
          <w:b/>
          <w:spacing w:val="40"/>
          <w:sz w:val="84"/>
          <w:szCs w:val="84"/>
        </w:rPr>
      </w:pPr>
      <w:r>
        <w:rPr>
          <w:rFonts w:hint="eastAsia" w:ascii="宋体" w:hAnsi="宋体"/>
          <w:b/>
          <w:spacing w:val="40"/>
          <w:sz w:val="84"/>
          <w:szCs w:val="84"/>
        </w:rPr>
        <w:t>价</w:t>
      </w:r>
    </w:p>
    <w:p>
      <w:pPr>
        <w:spacing w:after="100" w:afterAutospacing="1" w:line="360" w:lineRule="auto"/>
        <w:ind w:right="-108"/>
        <w:jc w:val="center"/>
        <w:rPr>
          <w:rFonts w:ascii="宋体" w:hAnsi="宋体"/>
          <w:b/>
          <w:spacing w:val="40"/>
          <w:sz w:val="84"/>
          <w:szCs w:val="84"/>
        </w:rPr>
      </w:pPr>
      <w:r>
        <w:rPr>
          <w:rFonts w:hint="eastAsia" w:ascii="宋体" w:hAnsi="宋体"/>
          <w:b/>
          <w:spacing w:val="40"/>
          <w:sz w:val="84"/>
          <w:szCs w:val="84"/>
        </w:rPr>
        <w:t>文</w:t>
      </w:r>
    </w:p>
    <w:p>
      <w:pPr>
        <w:spacing w:after="100" w:afterAutospacing="1" w:line="360" w:lineRule="auto"/>
        <w:ind w:right="-108"/>
        <w:jc w:val="center"/>
        <w:rPr>
          <w:rFonts w:ascii="宋体" w:hAnsi="宋体"/>
          <w:b/>
          <w:spacing w:val="40"/>
          <w:sz w:val="84"/>
          <w:szCs w:val="84"/>
        </w:rPr>
      </w:pPr>
      <w:r>
        <w:rPr>
          <w:rFonts w:hint="eastAsia" w:ascii="宋体" w:hAnsi="宋体"/>
          <w:b/>
          <w:spacing w:val="40"/>
          <w:sz w:val="84"/>
          <w:szCs w:val="84"/>
        </w:rPr>
        <w:t>件</w:t>
      </w:r>
    </w:p>
    <w:p>
      <w:pPr>
        <w:spacing w:line="360" w:lineRule="auto"/>
        <w:ind w:right="532"/>
        <w:jc w:val="center"/>
        <w:rPr>
          <w:rFonts w:ascii="宋体" w:hAnsi="宋体"/>
          <w:sz w:val="36"/>
          <w:szCs w:val="36"/>
        </w:rPr>
      </w:pPr>
    </w:p>
    <w:p>
      <w:pPr>
        <w:spacing w:line="360" w:lineRule="auto"/>
        <w:ind w:right="532"/>
        <w:rPr>
          <w:rFonts w:ascii="宋体" w:hAnsi="宋体"/>
          <w:sz w:val="36"/>
          <w:szCs w:val="36"/>
        </w:rPr>
      </w:pPr>
    </w:p>
    <w:p>
      <w:pPr>
        <w:spacing w:line="360" w:lineRule="auto"/>
        <w:ind w:right="532"/>
        <w:jc w:val="center"/>
        <w:rPr>
          <w:rFonts w:ascii="宋体" w:hAnsi="宋体"/>
          <w:sz w:val="36"/>
          <w:szCs w:val="36"/>
        </w:rPr>
      </w:pPr>
    </w:p>
    <w:p>
      <w:pPr>
        <w:spacing w:line="360" w:lineRule="auto"/>
        <w:ind w:right="532" w:firstLine="720" w:firstLineChars="200"/>
        <w:rPr>
          <w:rFonts w:ascii="宋体" w:hAnsi="宋体"/>
          <w:sz w:val="36"/>
          <w:szCs w:val="36"/>
        </w:rPr>
      </w:pPr>
      <w:r>
        <w:rPr>
          <w:rFonts w:hint="eastAsia" w:ascii="宋体" w:hAnsi="宋体"/>
          <w:sz w:val="36"/>
          <w:szCs w:val="36"/>
        </w:rPr>
        <w:t>供应商全称（公章）：</w:t>
      </w:r>
    </w:p>
    <w:p>
      <w:pPr>
        <w:spacing w:line="360" w:lineRule="auto"/>
        <w:ind w:right="-108" w:firstLine="720" w:firstLineChars="200"/>
        <w:rPr>
          <w:rFonts w:ascii="宋体" w:hAnsi="宋体"/>
          <w:sz w:val="36"/>
          <w:szCs w:val="36"/>
        </w:rPr>
      </w:pPr>
      <w:r>
        <w:rPr>
          <w:rFonts w:hint="eastAsia" w:ascii="宋体" w:hAnsi="宋体"/>
          <w:sz w:val="36"/>
          <w:szCs w:val="36"/>
        </w:rPr>
        <w:t>地    址：</w:t>
      </w:r>
    </w:p>
    <w:p>
      <w:pPr>
        <w:spacing w:line="360" w:lineRule="auto"/>
        <w:ind w:right="-108" w:firstLine="720" w:firstLineChars="200"/>
        <w:rPr>
          <w:rFonts w:ascii="宋体" w:hAnsi="宋体"/>
          <w:sz w:val="36"/>
          <w:szCs w:val="36"/>
        </w:rPr>
      </w:pPr>
      <w:r>
        <w:rPr>
          <w:rFonts w:hint="eastAsia" w:ascii="宋体" w:hAnsi="宋体"/>
          <w:sz w:val="36"/>
          <w:szCs w:val="36"/>
        </w:rPr>
        <w:t>时    间：</w:t>
      </w:r>
    </w:p>
    <w:p>
      <w:pPr>
        <w:spacing w:line="360" w:lineRule="auto"/>
        <w:ind w:right="-108"/>
        <w:jc w:val="center"/>
        <w:rPr>
          <w:rFonts w:ascii="宋体" w:hAnsi="宋体"/>
          <w:b/>
          <w:sz w:val="32"/>
          <w:szCs w:val="32"/>
        </w:rPr>
      </w:pPr>
      <w:r>
        <w:rPr>
          <w:rFonts w:hint="eastAsia" w:ascii="宋体" w:hAnsi="宋体"/>
          <w:b/>
          <w:sz w:val="32"/>
          <w:szCs w:val="32"/>
        </w:rPr>
        <w:t>报价文件目录</w:t>
      </w:r>
    </w:p>
    <w:p>
      <w:pPr>
        <w:spacing w:line="360" w:lineRule="auto"/>
        <w:ind w:right="-108"/>
        <w:jc w:val="center"/>
        <w:rPr>
          <w:rFonts w:ascii="仿宋_GB2312" w:hAnsi="宋体" w:eastAsia="仿宋_GB2312"/>
          <w:b/>
          <w:sz w:val="36"/>
          <w:szCs w:val="36"/>
        </w:rPr>
      </w:pPr>
    </w:p>
    <w:p>
      <w:pPr>
        <w:spacing w:line="360" w:lineRule="auto"/>
        <w:rPr>
          <w:rFonts w:ascii="宋体" w:hAnsi="宋体"/>
          <w:sz w:val="24"/>
        </w:rPr>
      </w:pPr>
    </w:p>
    <w:p>
      <w:pPr>
        <w:numPr>
          <w:ilvl w:val="0"/>
          <w:numId w:val="42"/>
        </w:numPr>
        <w:snapToGrid w:val="0"/>
        <w:spacing w:line="360" w:lineRule="auto"/>
        <w:jc w:val="left"/>
        <w:rPr>
          <w:rFonts w:hint="eastAsia" w:ascii="宋体" w:hAnsi="宋体"/>
          <w:sz w:val="24"/>
        </w:rPr>
      </w:pPr>
      <w:r>
        <w:rPr>
          <w:rFonts w:hint="eastAsia" w:ascii="宋体" w:hAnsi="宋体"/>
          <w:sz w:val="24"/>
        </w:rPr>
        <w:t>开标一览表（附件1</w:t>
      </w:r>
      <w:r>
        <w:rPr>
          <w:rFonts w:hint="eastAsia" w:ascii="宋体" w:hAnsi="宋体"/>
          <w:sz w:val="24"/>
          <w:lang w:val="en-US" w:eastAsia="zh-CN"/>
        </w:rPr>
        <w:t>1</w:t>
      </w:r>
      <w:r>
        <w:rPr>
          <w:rFonts w:hint="eastAsia" w:ascii="宋体" w:hAnsi="宋体"/>
          <w:sz w:val="24"/>
        </w:rPr>
        <w:t>）；</w:t>
      </w:r>
    </w:p>
    <w:p>
      <w:pPr>
        <w:pStyle w:val="2"/>
        <w:numPr>
          <w:ilvl w:val="0"/>
          <w:numId w:val="42"/>
        </w:numPr>
      </w:pPr>
      <w:r>
        <w:rPr>
          <w:rFonts w:hint="eastAsia"/>
          <w:lang w:eastAsia="zh-CN"/>
        </w:rPr>
        <w:t>报价明细表（附件</w:t>
      </w:r>
      <w:r>
        <w:rPr>
          <w:rFonts w:hint="eastAsia"/>
          <w:lang w:val="en-US" w:eastAsia="zh-CN"/>
        </w:rPr>
        <w:t>12</w:t>
      </w:r>
      <w:r>
        <w:rPr>
          <w:rFonts w:hint="eastAsia"/>
          <w:lang w:eastAsia="zh-CN"/>
        </w:rPr>
        <w:t>）</w:t>
      </w:r>
    </w:p>
    <w:p>
      <w:pPr>
        <w:autoSpaceDE w:val="0"/>
        <w:autoSpaceDN w:val="0"/>
        <w:adjustRightInd w:val="0"/>
        <w:spacing w:line="360" w:lineRule="auto"/>
        <w:rPr>
          <w:rFonts w:ascii="宋体"/>
          <w:kern w:val="0"/>
          <w:sz w:val="24"/>
        </w:rPr>
      </w:pPr>
      <w:r>
        <w:rPr>
          <w:rFonts w:hint="eastAsia" w:ascii="宋体"/>
          <w:kern w:val="0"/>
          <w:sz w:val="24"/>
          <w:lang w:val="en-US" w:eastAsia="zh-CN"/>
        </w:rPr>
        <w:t>3</w:t>
      </w:r>
      <w:r>
        <w:rPr>
          <w:rFonts w:hint="eastAsia" w:ascii="宋体"/>
          <w:kern w:val="0"/>
          <w:sz w:val="24"/>
        </w:rPr>
        <w:t>、投标人认为其他需要说明的内容；</w:t>
      </w:r>
    </w:p>
    <w:p>
      <w:pPr>
        <w:spacing w:line="360" w:lineRule="auto"/>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pStyle w:val="2"/>
        <w:rPr>
          <w:rFonts w:ascii="宋体" w:hAnsi="宋体"/>
          <w:b/>
          <w:sz w:val="28"/>
        </w:rPr>
      </w:pPr>
    </w:p>
    <w:p>
      <w:pPr>
        <w:pStyle w:val="2"/>
        <w:rPr>
          <w:rFonts w:ascii="宋体" w:hAnsi="宋体"/>
          <w:b/>
          <w:sz w:val="28"/>
        </w:rPr>
      </w:pPr>
    </w:p>
    <w:p>
      <w:pPr>
        <w:spacing w:line="360" w:lineRule="auto"/>
        <w:ind w:left="480"/>
        <w:rPr>
          <w:rFonts w:ascii="宋体" w:hAnsi="宋体"/>
          <w:b/>
          <w:sz w:val="28"/>
        </w:rPr>
      </w:pPr>
    </w:p>
    <w:p>
      <w:pPr>
        <w:spacing w:line="360" w:lineRule="auto"/>
        <w:rPr>
          <w:rFonts w:ascii="宋体" w:hAnsi="宋体"/>
          <w:b/>
          <w:sz w:val="28"/>
        </w:rPr>
      </w:pPr>
    </w:p>
    <w:p>
      <w:pPr>
        <w:spacing w:line="360" w:lineRule="auto"/>
        <w:rPr>
          <w:rFonts w:hint="eastAsia" w:ascii="宋体" w:hAnsi="宋体" w:eastAsia="宋体"/>
          <w:b/>
          <w:sz w:val="28"/>
          <w:lang w:eastAsia="zh-CN"/>
        </w:rPr>
      </w:pPr>
      <w:r>
        <w:rPr>
          <w:rFonts w:hint="eastAsia" w:ascii="宋体" w:hAnsi="宋体"/>
          <w:b/>
          <w:sz w:val="28"/>
        </w:rPr>
        <w:t>附件1</w:t>
      </w:r>
      <w:r>
        <w:rPr>
          <w:rFonts w:hint="eastAsia" w:ascii="宋体" w:hAnsi="宋体"/>
          <w:b/>
          <w:sz w:val="28"/>
          <w:lang w:val="en-US" w:eastAsia="zh-CN"/>
        </w:rPr>
        <w:t>1</w:t>
      </w:r>
    </w:p>
    <w:p>
      <w:pPr>
        <w:spacing w:line="360" w:lineRule="auto"/>
        <w:ind w:left="-2" w:hanging="2"/>
        <w:jc w:val="center"/>
        <w:rPr>
          <w:rFonts w:ascii="宋体" w:hAnsi="宋体"/>
          <w:b/>
          <w:sz w:val="32"/>
          <w:szCs w:val="32"/>
        </w:rPr>
      </w:pPr>
      <w:r>
        <w:rPr>
          <w:rFonts w:hint="eastAsia" w:ascii="宋体" w:hAnsi="宋体"/>
          <w:b/>
          <w:sz w:val="32"/>
          <w:szCs w:val="32"/>
        </w:rPr>
        <w:t xml:space="preserve">开标一览表 </w:t>
      </w:r>
    </w:p>
    <w:p>
      <w:pPr>
        <w:spacing w:line="360" w:lineRule="auto"/>
        <w:ind w:left="-2" w:hanging="2"/>
        <w:jc w:val="center"/>
        <w:rPr>
          <w:rFonts w:ascii="宋体" w:hAnsi="宋体"/>
          <w:b/>
          <w:sz w:val="32"/>
          <w:szCs w:val="32"/>
        </w:rPr>
      </w:pPr>
    </w:p>
    <w:p>
      <w:pPr>
        <w:pStyle w:val="11"/>
        <w:spacing w:line="320" w:lineRule="exact"/>
        <w:rPr>
          <w:rFonts w:hAnsi="宋体"/>
          <w:b/>
          <w:sz w:val="24"/>
        </w:rPr>
      </w:pPr>
      <w:r>
        <w:rPr>
          <w:rFonts w:hAnsi="宋体"/>
          <w:b/>
          <w:sz w:val="24"/>
        </w:rPr>
        <w:t>项目编号：</w:t>
      </w:r>
    </w:p>
    <w:p>
      <w:pPr>
        <w:pStyle w:val="49"/>
        <w:spacing w:line="360" w:lineRule="auto"/>
        <w:ind w:right="480"/>
        <w:jc w:val="left"/>
        <w:rPr>
          <w:rFonts w:ascii="宋体" w:hAnsi="宋体"/>
          <w:sz w:val="24"/>
        </w:rPr>
      </w:pPr>
      <w:r>
        <w:rPr>
          <w:rFonts w:hAnsi="宋体"/>
          <w:b/>
          <w:sz w:val="24"/>
        </w:rPr>
        <w:t>项目名称：</w:t>
      </w:r>
      <w:r>
        <w:rPr>
          <w:rFonts w:hint="eastAsia" w:ascii="宋体" w:hAnsi="宋体"/>
          <w:sz w:val="24"/>
        </w:rPr>
        <w:t xml:space="preserve">                                     [货币单位：人民币元]</w:t>
      </w:r>
    </w:p>
    <w:tbl>
      <w:tblPr>
        <w:tblStyle w:val="20"/>
        <w:tblW w:w="9500"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2609"/>
        <w:gridCol w:w="978"/>
        <w:gridCol w:w="978"/>
        <w:gridCol w:w="1305"/>
        <w:gridCol w:w="978"/>
        <w:gridCol w:w="978"/>
        <w:gridCol w:w="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21" w:hRule="atLeast"/>
        </w:trPr>
        <w:tc>
          <w:tcPr>
            <w:tcW w:w="695" w:type="dxa"/>
            <w:vAlign w:val="center"/>
          </w:tcPr>
          <w:p>
            <w:pPr>
              <w:spacing w:line="360" w:lineRule="auto"/>
              <w:rPr>
                <w:rFonts w:ascii="宋体" w:hAnsi="宋体"/>
                <w:b/>
                <w:color w:val="000000"/>
                <w:szCs w:val="21"/>
              </w:rPr>
            </w:pPr>
            <w:r>
              <w:rPr>
                <w:rFonts w:hint="eastAsia" w:ascii="宋体" w:hAnsi="宋体"/>
                <w:b/>
                <w:color w:val="000000"/>
                <w:szCs w:val="21"/>
              </w:rPr>
              <w:t>序号</w:t>
            </w:r>
          </w:p>
        </w:tc>
        <w:tc>
          <w:tcPr>
            <w:tcW w:w="2609" w:type="dxa"/>
            <w:vAlign w:val="center"/>
          </w:tcPr>
          <w:p>
            <w:pPr>
              <w:tabs>
                <w:tab w:val="left" w:pos="8280"/>
              </w:tabs>
              <w:autoSpaceDE w:val="0"/>
              <w:autoSpaceDN w:val="0"/>
              <w:adjustRightInd w:val="0"/>
              <w:spacing w:line="360" w:lineRule="auto"/>
              <w:ind w:right="25" w:firstLine="105" w:firstLineChars="50"/>
              <w:rPr>
                <w:rFonts w:ascii="宋体" w:hAnsi="宋体"/>
                <w:b/>
                <w:color w:val="000000"/>
                <w:szCs w:val="21"/>
              </w:rPr>
            </w:pPr>
            <w:r>
              <w:rPr>
                <w:rFonts w:hint="eastAsia" w:ascii="宋体" w:hAnsi="宋体"/>
                <w:b/>
                <w:color w:val="000000"/>
                <w:szCs w:val="21"/>
              </w:rPr>
              <w:t>项目名称</w:t>
            </w:r>
          </w:p>
        </w:tc>
        <w:tc>
          <w:tcPr>
            <w:tcW w:w="978" w:type="dxa"/>
            <w:vAlign w:val="center"/>
          </w:tcPr>
          <w:p>
            <w:pPr>
              <w:spacing w:line="360" w:lineRule="auto"/>
              <w:rPr>
                <w:rFonts w:ascii="宋体" w:hAnsi="宋体"/>
                <w:b/>
                <w:color w:val="000000"/>
                <w:szCs w:val="21"/>
              </w:rPr>
            </w:pPr>
            <w:r>
              <w:rPr>
                <w:rFonts w:hint="eastAsia" w:ascii="宋体" w:hAnsi="宋体"/>
                <w:b/>
                <w:color w:val="000000"/>
                <w:szCs w:val="21"/>
              </w:rPr>
              <w:t>单位</w:t>
            </w:r>
          </w:p>
        </w:tc>
        <w:tc>
          <w:tcPr>
            <w:tcW w:w="978" w:type="dxa"/>
            <w:vAlign w:val="center"/>
          </w:tcPr>
          <w:p>
            <w:pPr>
              <w:spacing w:line="360" w:lineRule="auto"/>
              <w:rPr>
                <w:rFonts w:ascii="宋体" w:hAnsi="宋体"/>
                <w:b/>
                <w:color w:val="000000"/>
                <w:szCs w:val="21"/>
              </w:rPr>
            </w:pPr>
            <w:r>
              <w:rPr>
                <w:rFonts w:hint="eastAsia" w:ascii="宋体" w:hAnsi="宋体"/>
                <w:b/>
                <w:color w:val="000000"/>
                <w:szCs w:val="21"/>
              </w:rPr>
              <w:t>数量</w:t>
            </w:r>
          </w:p>
        </w:tc>
        <w:tc>
          <w:tcPr>
            <w:tcW w:w="1305" w:type="dxa"/>
            <w:vAlign w:val="center"/>
          </w:tcPr>
          <w:p>
            <w:pPr>
              <w:spacing w:line="360" w:lineRule="auto"/>
              <w:jc w:val="center"/>
              <w:rPr>
                <w:rFonts w:ascii="宋体" w:hAnsi="宋体"/>
                <w:b/>
                <w:color w:val="000000"/>
                <w:szCs w:val="21"/>
              </w:rPr>
            </w:pPr>
            <w:r>
              <w:rPr>
                <w:rFonts w:hint="eastAsia" w:ascii="宋体" w:hAnsi="宋体"/>
                <w:b/>
                <w:color w:val="000000"/>
                <w:szCs w:val="21"/>
              </w:rPr>
              <w:t>投标总价（元）</w:t>
            </w:r>
          </w:p>
        </w:tc>
        <w:tc>
          <w:tcPr>
            <w:tcW w:w="978" w:type="dxa"/>
            <w:vAlign w:val="center"/>
          </w:tcPr>
          <w:p>
            <w:pPr>
              <w:spacing w:line="360" w:lineRule="auto"/>
              <w:jc w:val="center"/>
              <w:rPr>
                <w:rFonts w:ascii="宋体" w:hAnsi="宋体"/>
                <w:b/>
                <w:color w:val="000000"/>
                <w:szCs w:val="21"/>
              </w:rPr>
            </w:pPr>
            <w:r>
              <w:rPr>
                <w:rFonts w:hint="eastAsia" w:ascii="宋体" w:hAnsi="宋体"/>
                <w:b/>
                <w:color w:val="000000"/>
                <w:szCs w:val="21"/>
              </w:rPr>
              <w:t>服务期</w:t>
            </w:r>
          </w:p>
        </w:tc>
        <w:tc>
          <w:tcPr>
            <w:tcW w:w="978" w:type="dxa"/>
            <w:vAlign w:val="center"/>
          </w:tcPr>
          <w:p>
            <w:pPr>
              <w:tabs>
                <w:tab w:val="left" w:pos="8280"/>
              </w:tabs>
              <w:autoSpaceDE w:val="0"/>
              <w:autoSpaceDN w:val="0"/>
              <w:adjustRightInd w:val="0"/>
              <w:spacing w:line="360" w:lineRule="auto"/>
              <w:ind w:right="25"/>
              <w:rPr>
                <w:rFonts w:ascii="宋体" w:hAnsi="宋体"/>
                <w:b/>
                <w:color w:val="000000"/>
                <w:szCs w:val="21"/>
              </w:rPr>
            </w:pPr>
            <w:r>
              <w:rPr>
                <w:rFonts w:hint="eastAsia" w:ascii="宋体" w:hAnsi="宋体"/>
                <w:b/>
                <w:color w:val="000000"/>
                <w:szCs w:val="21"/>
              </w:rPr>
              <w:t>服务</w:t>
            </w:r>
          </w:p>
          <w:p>
            <w:pPr>
              <w:tabs>
                <w:tab w:val="left" w:pos="8280"/>
              </w:tabs>
              <w:autoSpaceDE w:val="0"/>
              <w:autoSpaceDN w:val="0"/>
              <w:adjustRightInd w:val="0"/>
              <w:spacing w:line="360" w:lineRule="auto"/>
              <w:ind w:right="25"/>
              <w:rPr>
                <w:rFonts w:ascii="宋体" w:hAnsi="宋体"/>
                <w:b/>
                <w:color w:val="000000"/>
                <w:szCs w:val="21"/>
              </w:rPr>
            </w:pPr>
            <w:r>
              <w:rPr>
                <w:rFonts w:hint="eastAsia" w:ascii="宋体" w:hAnsi="宋体"/>
                <w:b/>
                <w:color w:val="000000"/>
                <w:szCs w:val="21"/>
              </w:rPr>
              <w:t>地点</w:t>
            </w:r>
          </w:p>
        </w:tc>
        <w:tc>
          <w:tcPr>
            <w:tcW w:w="979" w:type="dxa"/>
            <w:vAlign w:val="center"/>
          </w:tcPr>
          <w:p>
            <w:pPr>
              <w:tabs>
                <w:tab w:val="left" w:pos="8280"/>
              </w:tabs>
              <w:autoSpaceDE w:val="0"/>
              <w:autoSpaceDN w:val="0"/>
              <w:adjustRightInd w:val="0"/>
              <w:spacing w:line="360" w:lineRule="auto"/>
              <w:ind w:right="25"/>
              <w:rPr>
                <w:rFonts w:ascii="宋体" w:hAnsi="宋体"/>
                <w:b/>
                <w:color w:val="000000"/>
                <w:szCs w:val="21"/>
              </w:rPr>
            </w:pPr>
            <w:r>
              <w:rPr>
                <w:rFonts w:hint="eastAsia" w:ascii="宋体" w:hAnsi="宋体"/>
                <w:b/>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61" w:hRule="atLeast"/>
        </w:trPr>
        <w:tc>
          <w:tcPr>
            <w:tcW w:w="695" w:type="dxa"/>
            <w:vAlign w:val="center"/>
          </w:tcPr>
          <w:p>
            <w:pPr>
              <w:tabs>
                <w:tab w:val="left" w:pos="8280"/>
              </w:tabs>
              <w:autoSpaceDE w:val="0"/>
              <w:autoSpaceDN w:val="0"/>
              <w:adjustRightInd w:val="0"/>
              <w:spacing w:line="360" w:lineRule="auto"/>
              <w:ind w:right="25"/>
              <w:jc w:val="center"/>
              <w:rPr>
                <w:rFonts w:ascii="宋体" w:hAnsi="宋体"/>
                <w:b/>
                <w:color w:val="000000"/>
                <w:szCs w:val="21"/>
              </w:rPr>
            </w:pPr>
            <w:r>
              <w:rPr>
                <w:rFonts w:hint="eastAsia" w:ascii="宋体" w:hAnsi="宋体"/>
                <w:b/>
                <w:color w:val="000000"/>
                <w:szCs w:val="21"/>
              </w:rPr>
              <w:t>1</w:t>
            </w:r>
          </w:p>
        </w:tc>
        <w:tc>
          <w:tcPr>
            <w:tcW w:w="2609" w:type="dxa"/>
            <w:vAlign w:val="center"/>
          </w:tcPr>
          <w:p>
            <w:pPr>
              <w:tabs>
                <w:tab w:val="left" w:pos="8280"/>
              </w:tabs>
              <w:autoSpaceDE w:val="0"/>
              <w:autoSpaceDN w:val="0"/>
              <w:adjustRightInd w:val="0"/>
              <w:spacing w:line="360" w:lineRule="auto"/>
              <w:ind w:right="25"/>
              <w:jc w:val="center"/>
              <w:rPr>
                <w:rFonts w:hint="eastAsia" w:ascii="宋体" w:hAnsi="宋体" w:eastAsia="宋体"/>
                <w:b/>
                <w:color w:val="000000"/>
                <w:szCs w:val="21"/>
                <w:lang w:eastAsia="zh-CN"/>
              </w:rPr>
            </w:pPr>
            <w:r>
              <w:rPr>
                <w:rFonts w:hint="eastAsia" w:ascii="宋体" w:hAnsi="宋体" w:cs="宋体"/>
                <w:szCs w:val="21"/>
                <w:lang w:eastAsia="zh-CN"/>
              </w:rPr>
              <w:t>三门县中心幼儿园平安路分园幼儿桌椅及教玩具采购项目</w:t>
            </w:r>
          </w:p>
        </w:tc>
        <w:tc>
          <w:tcPr>
            <w:tcW w:w="978" w:type="dxa"/>
            <w:vAlign w:val="center"/>
          </w:tcPr>
          <w:p>
            <w:pPr>
              <w:tabs>
                <w:tab w:val="left" w:pos="8280"/>
              </w:tabs>
              <w:autoSpaceDE w:val="0"/>
              <w:autoSpaceDN w:val="0"/>
              <w:adjustRightInd w:val="0"/>
              <w:spacing w:line="360" w:lineRule="auto"/>
              <w:ind w:right="25"/>
              <w:jc w:val="center"/>
              <w:rPr>
                <w:rFonts w:ascii="宋体" w:hAnsi="宋体"/>
                <w:color w:val="000000"/>
                <w:szCs w:val="21"/>
              </w:rPr>
            </w:pPr>
            <w:r>
              <w:rPr>
                <w:rFonts w:hint="eastAsia" w:ascii="宋体" w:hAnsi="宋体"/>
                <w:color w:val="000000"/>
                <w:szCs w:val="21"/>
              </w:rPr>
              <w:t>项</w:t>
            </w:r>
          </w:p>
        </w:tc>
        <w:tc>
          <w:tcPr>
            <w:tcW w:w="978" w:type="dxa"/>
            <w:vAlign w:val="center"/>
          </w:tcPr>
          <w:p>
            <w:pPr>
              <w:tabs>
                <w:tab w:val="left" w:pos="8280"/>
              </w:tabs>
              <w:autoSpaceDE w:val="0"/>
              <w:autoSpaceDN w:val="0"/>
              <w:adjustRightInd w:val="0"/>
              <w:spacing w:line="360" w:lineRule="auto"/>
              <w:ind w:right="25"/>
              <w:rPr>
                <w:rFonts w:ascii="宋体" w:hAnsi="宋体"/>
                <w:color w:val="000000"/>
                <w:szCs w:val="21"/>
              </w:rPr>
            </w:pPr>
            <w:r>
              <w:rPr>
                <w:rFonts w:hint="eastAsia" w:ascii="宋体" w:hAnsi="宋体"/>
                <w:color w:val="000000"/>
                <w:szCs w:val="21"/>
              </w:rPr>
              <w:t>1</w:t>
            </w:r>
          </w:p>
        </w:tc>
        <w:tc>
          <w:tcPr>
            <w:tcW w:w="1305" w:type="dxa"/>
            <w:vAlign w:val="center"/>
          </w:tcPr>
          <w:p>
            <w:pPr>
              <w:tabs>
                <w:tab w:val="left" w:pos="8280"/>
              </w:tabs>
              <w:autoSpaceDE w:val="0"/>
              <w:autoSpaceDN w:val="0"/>
              <w:adjustRightInd w:val="0"/>
              <w:spacing w:line="360" w:lineRule="auto"/>
              <w:ind w:right="25"/>
              <w:jc w:val="center"/>
              <w:rPr>
                <w:rFonts w:ascii="宋体" w:hAnsi="宋体"/>
                <w:color w:val="000000"/>
                <w:szCs w:val="21"/>
              </w:rPr>
            </w:pPr>
          </w:p>
        </w:tc>
        <w:tc>
          <w:tcPr>
            <w:tcW w:w="978" w:type="dxa"/>
            <w:vAlign w:val="center"/>
          </w:tcPr>
          <w:p>
            <w:pPr>
              <w:tabs>
                <w:tab w:val="left" w:pos="8280"/>
              </w:tabs>
              <w:autoSpaceDE w:val="0"/>
              <w:autoSpaceDN w:val="0"/>
              <w:adjustRightInd w:val="0"/>
              <w:spacing w:line="360" w:lineRule="auto"/>
              <w:ind w:right="25"/>
              <w:jc w:val="center"/>
              <w:rPr>
                <w:rFonts w:ascii="宋体" w:hAnsi="宋体"/>
                <w:color w:val="000000"/>
                <w:szCs w:val="21"/>
              </w:rPr>
            </w:pPr>
          </w:p>
        </w:tc>
        <w:tc>
          <w:tcPr>
            <w:tcW w:w="978" w:type="dxa"/>
            <w:vAlign w:val="center"/>
          </w:tcPr>
          <w:p>
            <w:pPr>
              <w:tabs>
                <w:tab w:val="left" w:pos="8280"/>
              </w:tabs>
              <w:autoSpaceDE w:val="0"/>
              <w:autoSpaceDN w:val="0"/>
              <w:adjustRightInd w:val="0"/>
              <w:spacing w:line="360" w:lineRule="auto"/>
              <w:ind w:right="25"/>
              <w:jc w:val="center"/>
              <w:rPr>
                <w:rFonts w:ascii="宋体" w:hAnsi="宋体"/>
                <w:b/>
                <w:color w:val="000000"/>
                <w:szCs w:val="21"/>
              </w:rPr>
            </w:pPr>
          </w:p>
        </w:tc>
        <w:tc>
          <w:tcPr>
            <w:tcW w:w="979" w:type="dxa"/>
            <w:vAlign w:val="center"/>
          </w:tcPr>
          <w:p>
            <w:pPr>
              <w:tabs>
                <w:tab w:val="left" w:pos="8280"/>
              </w:tabs>
              <w:autoSpaceDE w:val="0"/>
              <w:autoSpaceDN w:val="0"/>
              <w:adjustRightInd w:val="0"/>
              <w:spacing w:line="360" w:lineRule="auto"/>
              <w:ind w:right="25"/>
              <w:jc w:val="center"/>
              <w:rPr>
                <w:rFonts w:ascii="宋体" w:hAnsi="宋体"/>
                <w:b/>
                <w:color w:val="000000"/>
                <w:szCs w:val="21"/>
              </w:rPr>
            </w:pPr>
          </w:p>
        </w:tc>
      </w:tr>
    </w:tbl>
    <w:p>
      <w:pPr>
        <w:spacing w:line="360" w:lineRule="auto"/>
        <w:ind w:left="480"/>
        <w:rPr>
          <w:rFonts w:ascii="宋体" w:hAnsi="宋体"/>
          <w:b/>
          <w:sz w:val="30"/>
        </w:rPr>
      </w:pPr>
    </w:p>
    <w:p>
      <w:pPr>
        <w:spacing w:line="360" w:lineRule="auto"/>
        <w:rPr>
          <w:rFonts w:ascii="宋体" w:hAnsi="宋体"/>
          <w:sz w:val="24"/>
        </w:rPr>
      </w:pPr>
      <w:r>
        <w:rPr>
          <w:rFonts w:hint="eastAsia" w:ascii="宋体" w:hAnsi="宋体"/>
          <w:b/>
          <w:szCs w:val="21"/>
        </w:rPr>
        <w:t>填报要求：</w:t>
      </w:r>
    </w:p>
    <w:p>
      <w:pPr>
        <w:spacing w:line="360" w:lineRule="auto"/>
        <w:ind w:firstLine="420" w:firstLineChars="200"/>
        <w:rPr>
          <w:rFonts w:ascii="宋体" w:hAnsi="宋体"/>
          <w:kern w:val="0"/>
          <w:szCs w:val="21"/>
        </w:rPr>
      </w:pPr>
      <w:r>
        <w:rPr>
          <w:rFonts w:hint="eastAsia" w:ascii="宋体" w:hAnsi="宋体"/>
          <w:kern w:val="0"/>
          <w:szCs w:val="21"/>
        </w:rPr>
        <w:t>1. 投标报价应是招标文件所确定的采购范围内全部工作内容的价格表现。投标报价包括项目实施费用及后续服务所需等其他一切费用。各供应商应根据采购人提供的技术资料、工程量清单，以及本项目实际情况和自身的综合实力，竞报报价。总报价以人民币元计，保留整数。</w:t>
      </w:r>
      <w:r>
        <w:rPr>
          <w:rFonts w:hint="eastAsia" w:ascii="宋体" w:hAnsi="宋体"/>
          <w:kern w:val="0"/>
          <w:szCs w:val="21"/>
          <w:lang w:val="zh-CN"/>
        </w:rPr>
        <w:t>全部费用已包含在开标一览表的投标总报价中。</w:t>
      </w:r>
    </w:p>
    <w:p>
      <w:pPr>
        <w:spacing w:line="360" w:lineRule="auto"/>
        <w:ind w:firstLine="420" w:firstLineChars="200"/>
        <w:rPr>
          <w:rFonts w:ascii="宋体" w:hAnsi="宋体"/>
          <w:b/>
          <w:i/>
          <w:szCs w:val="21"/>
          <w:u w:val="single"/>
        </w:rPr>
      </w:pPr>
      <w:r>
        <w:rPr>
          <w:rFonts w:hint="eastAsia" w:ascii="宋体" w:hAnsi="宋体"/>
          <w:kern w:val="0"/>
          <w:szCs w:val="21"/>
        </w:rPr>
        <w:t>2.报价一经涂改，应在涂改处加盖单位公章，或者由法定代表人或全权代表签字或盖章，否则其投标作无效标处理。</w:t>
      </w:r>
    </w:p>
    <w:p>
      <w:pPr>
        <w:spacing w:line="360" w:lineRule="auto"/>
        <w:rPr>
          <w:rFonts w:ascii="宋体" w:hAnsi="宋体"/>
          <w:sz w:val="24"/>
        </w:rPr>
      </w:pPr>
    </w:p>
    <w:p>
      <w:pPr>
        <w:spacing w:line="360" w:lineRule="auto"/>
        <w:ind w:left="420"/>
        <w:rPr>
          <w:rFonts w:ascii="宋体" w:hAnsi="宋体"/>
          <w:sz w:val="24"/>
          <w:u w:val="single"/>
        </w:rPr>
      </w:pPr>
      <w:r>
        <w:rPr>
          <w:rFonts w:hint="eastAsia" w:ascii="宋体" w:hAnsi="宋体"/>
          <w:sz w:val="24"/>
        </w:rPr>
        <w:t>投标人名称（盖章）：</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投标人代表签字或盖章：</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职        务：</w:t>
      </w:r>
    </w:p>
    <w:p>
      <w:pPr>
        <w:spacing w:line="360" w:lineRule="auto"/>
        <w:rPr>
          <w:rFonts w:ascii="宋体" w:hAnsi="宋体"/>
          <w:sz w:val="24"/>
        </w:rPr>
      </w:pPr>
    </w:p>
    <w:p>
      <w:pPr>
        <w:spacing w:line="360" w:lineRule="auto"/>
        <w:ind w:firstLine="435"/>
        <w:rPr>
          <w:rFonts w:ascii="宋体" w:hAnsi="宋体"/>
          <w:sz w:val="24"/>
        </w:rPr>
      </w:pPr>
      <w:r>
        <w:rPr>
          <w:rFonts w:hint="eastAsia" w:ascii="宋体" w:hAnsi="宋体"/>
          <w:sz w:val="24"/>
        </w:rPr>
        <w:t>日        期：</w:t>
      </w:r>
    </w:p>
    <w:p>
      <w:pPr>
        <w:snapToGrid w:val="0"/>
        <w:spacing w:before="156" w:beforeLines="50" w:after="50" w:line="360" w:lineRule="auto"/>
        <w:rPr>
          <w:rFonts w:hint="eastAsia" w:ascii="宋体" w:hAnsi="宋体"/>
          <w:b/>
          <w:sz w:val="28"/>
        </w:rPr>
      </w:pPr>
    </w:p>
    <w:p>
      <w:pPr>
        <w:snapToGrid w:val="0"/>
        <w:spacing w:before="156" w:beforeLines="50" w:after="50" w:line="360" w:lineRule="auto"/>
        <w:rPr>
          <w:rFonts w:hint="eastAsia" w:ascii="宋体" w:hAnsi="宋体"/>
          <w:b/>
          <w:sz w:val="28"/>
          <w:lang w:val="en-US" w:eastAsia="zh-CN"/>
        </w:rPr>
        <w:sectPr>
          <w:headerReference r:id="rId9" w:type="default"/>
          <w:footerReference r:id="rId10" w:type="default"/>
          <w:pgSz w:w="11906" w:h="16838"/>
          <w:pgMar w:top="1383" w:right="1361" w:bottom="1383" w:left="1361" w:header="851" w:footer="992" w:gutter="0"/>
          <w:pgNumType w:fmt="decimal"/>
          <w:cols w:space="0" w:num="1"/>
          <w:docGrid w:type="lines" w:linePitch="312" w:charSpace="0"/>
        </w:sectPr>
      </w:pPr>
    </w:p>
    <w:p>
      <w:pPr>
        <w:spacing w:line="360" w:lineRule="auto"/>
        <w:rPr>
          <w:rFonts w:hint="eastAsia" w:ascii="宋体" w:hAnsi="宋体" w:eastAsia="宋体"/>
          <w:b/>
          <w:sz w:val="28"/>
          <w:lang w:eastAsia="zh-CN"/>
        </w:rPr>
      </w:pPr>
      <w:r>
        <w:rPr>
          <w:rFonts w:hint="eastAsia" w:ascii="宋体" w:hAnsi="宋体"/>
          <w:b/>
          <w:sz w:val="28"/>
        </w:rPr>
        <w:t>附件1</w:t>
      </w:r>
      <w:r>
        <w:rPr>
          <w:rFonts w:hint="eastAsia" w:ascii="宋体" w:hAnsi="宋体"/>
          <w:b/>
          <w:sz w:val="28"/>
          <w:lang w:val="en-US" w:eastAsia="zh-CN"/>
        </w:rPr>
        <w:t>1</w:t>
      </w:r>
    </w:p>
    <w:p>
      <w:pPr>
        <w:snapToGrid w:val="0"/>
        <w:spacing w:before="156" w:beforeLines="50" w:after="50" w:line="360" w:lineRule="auto"/>
        <w:jc w:val="center"/>
        <w:rPr>
          <w:rFonts w:hint="eastAsia" w:ascii="宋体" w:hAnsi="宋体"/>
          <w:b/>
          <w:sz w:val="28"/>
          <w:lang w:val="en-US" w:eastAsia="zh-CN"/>
        </w:rPr>
      </w:pPr>
      <w:r>
        <w:rPr>
          <w:rFonts w:hint="eastAsia" w:ascii="宋体" w:hAnsi="宋体"/>
          <w:b/>
          <w:sz w:val="28"/>
          <w:lang w:val="en-US" w:eastAsia="zh-CN"/>
        </w:rPr>
        <w:t>三门县中心幼儿园平安路分园幼儿桌椅及教玩具采购项目</w:t>
      </w:r>
    </w:p>
    <w:p>
      <w:pPr>
        <w:snapToGrid w:val="0"/>
        <w:spacing w:before="156" w:beforeLines="50" w:after="50" w:line="360" w:lineRule="auto"/>
        <w:jc w:val="center"/>
        <w:rPr>
          <w:rFonts w:hint="eastAsia" w:ascii="宋体" w:hAnsi="宋体"/>
          <w:b/>
          <w:sz w:val="28"/>
          <w:lang w:val="en-US" w:eastAsia="zh-CN"/>
        </w:rPr>
      </w:pPr>
      <w:r>
        <w:rPr>
          <w:rFonts w:hint="eastAsia" w:ascii="宋体" w:hAnsi="宋体"/>
          <w:b/>
          <w:sz w:val="28"/>
          <w:lang w:val="en-US" w:eastAsia="zh-CN"/>
        </w:rPr>
        <w:t>报价明细表</w:t>
      </w:r>
    </w:p>
    <w:tbl>
      <w:tblPr>
        <w:tblStyle w:val="20"/>
        <w:tblpPr w:leftFromText="180" w:rightFromText="180" w:vertAnchor="text" w:horzAnchor="page" w:tblpX="1945" w:tblpY="436"/>
        <w:tblOverlap w:val="never"/>
        <w:tblW w:w="131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574"/>
        <w:gridCol w:w="6741"/>
        <w:gridCol w:w="1279"/>
        <w:gridCol w:w="734"/>
        <w:gridCol w:w="784"/>
        <w:gridCol w:w="1146"/>
        <w:gridCol w:w="1148"/>
        <w:gridCol w:w="7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2" w:hRule="atLeast"/>
          <w:tblHeader/>
        </w:trPr>
        <w:tc>
          <w:tcPr>
            <w:tcW w:w="574" w:type="dxa"/>
            <w:tcBorders>
              <w:top w:val="single" w:color="000000" w:sz="4" w:space="0"/>
              <w:left w:val="single" w:color="000000" w:sz="4" w:space="0"/>
              <w:bottom w:val="single" w:color="000000" w:sz="4" w:space="0"/>
              <w:right w:val="single" w:color="000000" w:sz="4" w:space="0"/>
            </w:tcBorders>
            <w:shd w:val="clear" w:color="auto" w:fill="C0C0C0"/>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18"/>
                <w:szCs w:val="18"/>
                <w:u w:val="none"/>
              </w:rPr>
            </w:pPr>
            <w:r>
              <w:rPr>
                <w:rFonts w:hint="eastAsia" w:ascii="宋体" w:hAnsi="宋体" w:cs="宋体"/>
                <w:b w:val="0"/>
                <w:bCs/>
                <w:i w:val="0"/>
                <w:color w:val="000000"/>
                <w:kern w:val="0"/>
                <w:sz w:val="18"/>
                <w:szCs w:val="18"/>
                <w:u w:val="none"/>
                <w:lang w:val="en-US" w:eastAsia="zh-CN" w:bidi="ar"/>
              </w:rPr>
              <w:t>序号</w:t>
            </w:r>
          </w:p>
        </w:tc>
        <w:tc>
          <w:tcPr>
            <w:tcW w:w="6741" w:type="dxa"/>
            <w:tcBorders>
              <w:top w:val="single" w:color="000000" w:sz="4" w:space="0"/>
              <w:left w:val="single" w:color="000000" w:sz="4" w:space="0"/>
              <w:bottom w:val="single" w:color="000000" w:sz="4" w:space="0"/>
              <w:right w:val="single" w:color="000000" w:sz="4" w:space="0"/>
            </w:tcBorders>
            <w:shd w:val="clear" w:color="auto" w:fill="C0C0C0"/>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18"/>
                <w:szCs w:val="18"/>
                <w:u w:val="none"/>
              </w:rPr>
            </w:pPr>
            <w:r>
              <w:rPr>
                <w:rFonts w:hint="eastAsia" w:ascii="宋体" w:hAnsi="宋体" w:cs="宋体"/>
                <w:b w:val="0"/>
                <w:bCs/>
                <w:i w:val="0"/>
                <w:color w:val="000000"/>
                <w:kern w:val="0"/>
                <w:sz w:val="18"/>
                <w:szCs w:val="18"/>
                <w:u w:val="none"/>
                <w:lang w:val="en-US" w:eastAsia="zh-CN" w:bidi="ar"/>
              </w:rPr>
              <w:t>产品名称及参数</w:t>
            </w:r>
          </w:p>
        </w:tc>
        <w:tc>
          <w:tcPr>
            <w:tcW w:w="1279" w:type="dxa"/>
            <w:tcBorders>
              <w:top w:val="single" w:color="000000" w:sz="4" w:space="0"/>
              <w:left w:val="single" w:color="000000" w:sz="4" w:space="0"/>
              <w:bottom w:val="single" w:color="000000" w:sz="4" w:space="0"/>
              <w:right w:val="single" w:color="000000" w:sz="4" w:space="0"/>
            </w:tcBorders>
            <w:shd w:val="clear" w:color="auto" w:fill="C0C0C0"/>
            <w:noWrap w:val="0"/>
            <w:vAlign w:val="center"/>
          </w:tcPr>
          <w:p>
            <w:pPr>
              <w:keepNext w:val="0"/>
              <w:keepLines w:val="0"/>
              <w:widowControl/>
              <w:suppressLineNumbers w:val="0"/>
              <w:jc w:val="both"/>
              <w:textAlignment w:val="center"/>
              <w:rPr>
                <w:rFonts w:hint="eastAsia" w:ascii="宋体" w:hAnsi="宋体" w:eastAsia="宋体" w:cs="宋体"/>
                <w:b w:val="0"/>
                <w:bCs/>
                <w:i w:val="0"/>
                <w:color w:val="000000"/>
                <w:sz w:val="18"/>
                <w:szCs w:val="18"/>
                <w:u w:val="none"/>
              </w:rPr>
            </w:pPr>
            <w:r>
              <w:rPr>
                <w:rFonts w:hint="eastAsia" w:ascii="宋体" w:hAnsi="宋体" w:eastAsia="宋体" w:cs="宋体"/>
                <w:b w:val="0"/>
                <w:bCs/>
                <w:i w:val="0"/>
                <w:color w:val="000000"/>
                <w:kern w:val="0"/>
                <w:sz w:val="18"/>
                <w:szCs w:val="18"/>
                <w:u w:val="none"/>
                <w:lang w:val="en-US" w:eastAsia="zh-CN" w:bidi="ar"/>
              </w:rPr>
              <w:t>参考图片</w:t>
            </w:r>
          </w:p>
        </w:tc>
        <w:tc>
          <w:tcPr>
            <w:tcW w:w="734" w:type="dxa"/>
            <w:tcBorders>
              <w:top w:val="single" w:color="000000" w:sz="4" w:space="0"/>
              <w:left w:val="single" w:color="000000" w:sz="4" w:space="0"/>
              <w:bottom w:val="single" w:color="000000" w:sz="4" w:space="0"/>
              <w:right w:val="single" w:color="000000" w:sz="4" w:space="0"/>
            </w:tcBorders>
            <w:shd w:val="clear" w:color="auto" w:fill="C0C0C0"/>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18"/>
                <w:szCs w:val="18"/>
                <w:u w:val="none"/>
              </w:rPr>
            </w:pPr>
            <w:r>
              <w:rPr>
                <w:rFonts w:hint="eastAsia" w:ascii="宋体" w:hAnsi="宋体" w:eastAsia="宋体" w:cs="宋体"/>
                <w:b w:val="0"/>
                <w:bCs/>
                <w:i w:val="0"/>
                <w:color w:val="000000"/>
                <w:kern w:val="0"/>
                <w:sz w:val="18"/>
                <w:szCs w:val="18"/>
                <w:u w:val="none"/>
                <w:lang w:val="en-US" w:eastAsia="zh-CN" w:bidi="ar"/>
              </w:rPr>
              <w:t xml:space="preserve">单位 </w:t>
            </w:r>
          </w:p>
        </w:tc>
        <w:tc>
          <w:tcPr>
            <w:tcW w:w="784" w:type="dxa"/>
            <w:tcBorders>
              <w:top w:val="single" w:color="000000" w:sz="4" w:space="0"/>
              <w:left w:val="single" w:color="000000" w:sz="4" w:space="0"/>
              <w:bottom w:val="single" w:color="000000" w:sz="4" w:space="0"/>
              <w:right w:val="single" w:color="000000" w:sz="4" w:space="0"/>
            </w:tcBorders>
            <w:shd w:val="clear" w:color="auto" w:fill="C0C0C0"/>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18"/>
                <w:szCs w:val="18"/>
                <w:u w:val="none"/>
              </w:rPr>
            </w:pPr>
            <w:r>
              <w:rPr>
                <w:rFonts w:hint="eastAsia" w:ascii="宋体" w:hAnsi="宋体" w:eastAsia="宋体" w:cs="宋体"/>
                <w:b w:val="0"/>
                <w:bCs/>
                <w:i w:val="0"/>
                <w:color w:val="000000"/>
                <w:kern w:val="0"/>
                <w:sz w:val="18"/>
                <w:szCs w:val="18"/>
                <w:u w:val="none"/>
                <w:lang w:val="en-US" w:eastAsia="zh-CN" w:bidi="ar"/>
              </w:rPr>
              <w:t>数量</w:t>
            </w:r>
          </w:p>
        </w:tc>
        <w:tc>
          <w:tcPr>
            <w:tcW w:w="1146" w:type="dxa"/>
            <w:tcBorders>
              <w:top w:val="single" w:color="000000" w:sz="4" w:space="0"/>
              <w:left w:val="single" w:color="000000" w:sz="4" w:space="0"/>
              <w:bottom w:val="single" w:color="000000" w:sz="4" w:space="0"/>
              <w:right w:val="single" w:color="000000" w:sz="4" w:space="0"/>
            </w:tcBorders>
            <w:shd w:val="clear" w:color="auto" w:fill="C0C0C0"/>
            <w:noWrap w:val="0"/>
            <w:vAlign w:val="center"/>
          </w:tcPr>
          <w:p>
            <w:pPr>
              <w:widowControl/>
              <w:wordWrap w:val="0"/>
              <w:adjustRightInd w:val="0"/>
              <w:spacing w:line="360" w:lineRule="atLeast"/>
              <w:jc w:val="center"/>
              <w:textAlignment w:val="center"/>
              <w:rPr>
                <w:rFonts w:hint="eastAsia" w:ascii="宋体" w:hAnsi="宋体" w:eastAsia="宋体" w:cs="宋体"/>
                <w:b w:val="0"/>
                <w:bCs/>
                <w:i w:val="0"/>
                <w:color w:val="000000"/>
                <w:kern w:val="0"/>
                <w:sz w:val="18"/>
                <w:szCs w:val="18"/>
                <w:u w:val="none"/>
                <w:lang w:val="en-US" w:eastAsia="zh-CN" w:bidi="ar"/>
              </w:rPr>
            </w:pPr>
            <w:r>
              <w:rPr>
                <w:rFonts w:hint="eastAsia" w:ascii="宋体" w:hAnsi="宋体" w:eastAsia="Times New Roman" w:cs="宋体"/>
                <w:b/>
                <w:kern w:val="0"/>
                <w:sz w:val="22"/>
                <w:szCs w:val="22"/>
                <w:lang w:bidi="ar"/>
              </w:rPr>
              <w:t>综合单价</w:t>
            </w:r>
            <w:r>
              <w:rPr>
                <w:rFonts w:ascii="宋体" w:hAnsi="宋体" w:cs="宋体"/>
                <w:b/>
                <w:color w:val="000000"/>
                <w:sz w:val="22"/>
                <w:szCs w:val="22"/>
                <w:lang w:bidi="ar"/>
              </w:rPr>
              <w:t>(</w:t>
            </w:r>
            <w:r>
              <w:rPr>
                <w:rFonts w:hint="eastAsia" w:ascii="宋体" w:hAnsi="宋体" w:cs="宋体"/>
                <w:b/>
                <w:color w:val="000000"/>
                <w:sz w:val="22"/>
                <w:szCs w:val="22"/>
                <w:lang w:bidi="ar"/>
              </w:rPr>
              <w:t>元</w:t>
            </w:r>
            <w:r>
              <w:rPr>
                <w:rFonts w:ascii="宋体" w:hAnsi="宋体" w:cs="宋体"/>
                <w:b/>
                <w:color w:val="000000"/>
                <w:sz w:val="22"/>
                <w:szCs w:val="22"/>
                <w:lang w:bidi="ar"/>
              </w:rPr>
              <w:t>)</w:t>
            </w:r>
          </w:p>
        </w:tc>
        <w:tc>
          <w:tcPr>
            <w:tcW w:w="1148" w:type="dxa"/>
            <w:tcBorders>
              <w:top w:val="single" w:color="000000" w:sz="4" w:space="0"/>
              <w:left w:val="single" w:color="000000" w:sz="4" w:space="0"/>
              <w:bottom w:val="single" w:color="000000" w:sz="4" w:space="0"/>
              <w:right w:val="single" w:color="000000" w:sz="4" w:space="0"/>
            </w:tcBorders>
            <w:shd w:val="clear" w:color="auto" w:fill="C0C0C0"/>
            <w:noWrap w:val="0"/>
            <w:vAlign w:val="center"/>
          </w:tcPr>
          <w:p>
            <w:pPr>
              <w:widowControl/>
              <w:wordWrap w:val="0"/>
              <w:adjustRightInd w:val="0"/>
              <w:spacing w:line="360" w:lineRule="atLeast"/>
              <w:jc w:val="center"/>
              <w:textAlignment w:val="center"/>
              <w:rPr>
                <w:rFonts w:hint="eastAsia" w:ascii="宋体" w:hAnsi="宋体" w:eastAsia="宋体" w:cs="宋体"/>
                <w:b w:val="0"/>
                <w:bCs/>
                <w:i w:val="0"/>
                <w:color w:val="000000"/>
                <w:kern w:val="0"/>
                <w:sz w:val="18"/>
                <w:szCs w:val="18"/>
                <w:u w:val="none"/>
                <w:lang w:val="en-US" w:eastAsia="zh-CN" w:bidi="ar"/>
              </w:rPr>
            </w:pPr>
            <w:r>
              <w:rPr>
                <w:rFonts w:hint="eastAsia" w:ascii="宋体" w:hAnsi="宋体" w:eastAsia="Times New Roman" w:cs="宋体"/>
                <w:b/>
                <w:kern w:val="0"/>
                <w:sz w:val="22"/>
                <w:szCs w:val="22"/>
                <w:lang w:bidi="ar"/>
              </w:rPr>
              <w:t>合价</w:t>
            </w:r>
            <w:r>
              <w:rPr>
                <w:rFonts w:ascii="宋体" w:hAnsi="宋体" w:cs="宋体"/>
                <w:b/>
                <w:color w:val="000000"/>
                <w:sz w:val="22"/>
                <w:szCs w:val="22"/>
                <w:lang w:bidi="ar"/>
              </w:rPr>
              <w:t>(</w:t>
            </w:r>
            <w:r>
              <w:rPr>
                <w:rFonts w:hint="eastAsia" w:ascii="宋体" w:hAnsi="宋体" w:cs="宋体"/>
                <w:b/>
                <w:color w:val="000000"/>
                <w:sz w:val="22"/>
                <w:szCs w:val="22"/>
                <w:lang w:bidi="ar"/>
              </w:rPr>
              <w:t>元</w:t>
            </w:r>
            <w:r>
              <w:rPr>
                <w:rFonts w:ascii="宋体" w:hAnsi="宋体" w:cs="宋体"/>
                <w:b/>
                <w:color w:val="000000"/>
                <w:sz w:val="22"/>
                <w:szCs w:val="22"/>
                <w:lang w:bidi="ar"/>
              </w:rPr>
              <w:t>)</w:t>
            </w:r>
          </w:p>
        </w:tc>
        <w:tc>
          <w:tcPr>
            <w:tcW w:w="754" w:type="dxa"/>
            <w:tcBorders>
              <w:top w:val="single" w:color="000000" w:sz="4" w:space="0"/>
              <w:left w:val="single" w:color="000000" w:sz="4" w:space="0"/>
              <w:bottom w:val="single" w:color="000000" w:sz="4" w:space="0"/>
              <w:right w:val="single" w:color="000000" w:sz="4" w:space="0"/>
            </w:tcBorders>
            <w:shd w:val="clear" w:color="auto" w:fill="C0C0C0"/>
            <w:noWrap w:val="0"/>
            <w:vAlign w:val="center"/>
          </w:tcPr>
          <w:p>
            <w:pPr>
              <w:widowControl/>
              <w:wordWrap w:val="0"/>
              <w:adjustRightInd w:val="0"/>
              <w:spacing w:line="360" w:lineRule="atLeast"/>
              <w:jc w:val="center"/>
              <w:textAlignment w:val="center"/>
              <w:rPr>
                <w:rFonts w:hint="eastAsia" w:ascii="宋体" w:hAnsi="宋体" w:eastAsia="宋体" w:cs="宋体"/>
                <w:b w:val="0"/>
                <w:bCs/>
                <w:i w:val="0"/>
                <w:color w:val="000000"/>
                <w:kern w:val="0"/>
                <w:sz w:val="18"/>
                <w:szCs w:val="18"/>
                <w:u w:val="none"/>
                <w:lang w:val="en-US" w:eastAsia="zh-CN" w:bidi="ar"/>
              </w:rPr>
            </w:pPr>
            <w:r>
              <w:rPr>
                <w:rFonts w:hint="eastAsia" w:ascii="宋体" w:hAnsi="宋体" w:eastAsia="Times New Roman" w:cs="宋体"/>
                <w:b/>
                <w:kern w:val="0"/>
                <w:sz w:val="22"/>
                <w:szCs w:val="22"/>
                <w:lang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69"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1</w:t>
            </w:r>
          </w:p>
        </w:tc>
        <w:tc>
          <w:tcPr>
            <w:tcW w:w="12586" w:type="dxa"/>
            <w:gridSpan w:val="7"/>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tabs>
                <w:tab w:val="left" w:pos="5399"/>
              </w:tabs>
              <w:bidi w:val="0"/>
              <w:jc w:val="center"/>
              <w:rPr>
                <w:rFonts w:hint="eastAsia" w:ascii="Times New Roman" w:hAnsi="Times New Roman" w:eastAsia="宋体" w:cs="Times New Roman"/>
                <w:kern w:val="2"/>
                <w:sz w:val="21"/>
                <w:szCs w:val="24"/>
                <w:lang w:val="en-US" w:eastAsia="zh-CN" w:bidi="ar-SA"/>
              </w:rPr>
            </w:pPr>
            <w:r>
              <w:rPr>
                <w:rFonts w:hint="eastAsia" w:ascii="宋体" w:hAnsi="宋体" w:cs="宋体"/>
                <w:b/>
                <w:i w:val="0"/>
                <w:color w:val="000000"/>
                <w:kern w:val="0"/>
                <w:sz w:val="22"/>
                <w:szCs w:val="22"/>
                <w:u w:val="none"/>
                <w:lang w:val="en-US" w:eastAsia="zh-CN" w:bidi="ar"/>
              </w:rPr>
              <w:t>中班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13"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6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宋体" w:hAnsi="宋体" w:eastAsia="宋体" w:cs="宋体"/>
                <w:i w:val="0"/>
                <w:color w:val="000000"/>
                <w:sz w:val="20"/>
                <w:szCs w:val="20"/>
                <w:u w:val="none"/>
                <w:lang w:val="en-US" w:eastAsia="zh-CN"/>
              </w:rPr>
            </w:pPr>
            <w:r>
              <w:rPr>
                <w:rFonts w:hint="eastAsia" w:ascii="宋体" w:hAnsi="宋体" w:cs="宋体"/>
                <w:i w:val="0"/>
                <w:color w:val="000000"/>
                <w:sz w:val="20"/>
                <w:szCs w:val="20"/>
                <w:u w:val="none"/>
                <w:lang w:val="en-US" w:eastAsia="zh-CN"/>
              </w:rPr>
              <w:t>......</w:t>
            </w:r>
          </w:p>
        </w:tc>
        <w:tc>
          <w:tcPr>
            <w:tcW w:w="12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78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i w:val="0"/>
                <w:color w:val="000000"/>
                <w:sz w:val="22"/>
                <w:szCs w:val="22"/>
                <w:u w:val="none"/>
                <w:lang w:val="en-US"/>
              </w:rPr>
            </w:pPr>
          </w:p>
        </w:tc>
        <w:tc>
          <w:tcPr>
            <w:tcW w:w="11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p>
        </w:tc>
        <w:tc>
          <w:tcPr>
            <w:tcW w:w="7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13"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2</w:t>
            </w:r>
          </w:p>
        </w:tc>
        <w:tc>
          <w:tcPr>
            <w:tcW w:w="12586" w:type="dxa"/>
            <w:gridSpan w:val="7"/>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cs="宋体"/>
                <w:b/>
                <w:i w:val="0"/>
                <w:color w:val="000000"/>
                <w:kern w:val="0"/>
                <w:sz w:val="22"/>
                <w:szCs w:val="22"/>
                <w:u w:val="none"/>
                <w:lang w:val="en-US" w:eastAsia="zh-CN" w:bidi="ar"/>
              </w:rPr>
              <w:t>小班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13"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cs="宋体"/>
                <w:i w:val="0"/>
                <w:color w:val="000000"/>
                <w:kern w:val="0"/>
                <w:sz w:val="22"/>
                <w:szCs w:val="22"/>
                <w:u w:val="none"/>
                <w:lang w:val="en-US" w:eastAsia="zh-CN" w:bidi="ar"/>
              </w:rPr>
            </w:pPr>
          </w:p>
        </w:tc>
        <w:tc>
          <w:tcPr>
            <w:tcW w:w="6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宋体" w:hAnsi="宋体" w:eastAsia="宋体" w:cs="宋体"/>
                <w:i w:val="0"/>
                <w:color w:val="000000"/>
                <w:sz w:val="20"/>
                <w:szCs w:val="20"/>
                <w:u w:val="none"/>
                <w:lang w:val="en-US" w:eastAsia="zh-CN"/>
              </w:rPr>
            </w:pPr>
            <w:r>
              <w:rPr>
                <w:rFonts w:hint="eastAsia" w:ascii="宋体" w:hAnsi="宋体" w:cs="宋体"/>
                <w:i w:val="0"/>
                <w:color w:val="000000"/>
                <w:sz w:val="20"/>
                <w:szCs w:val="20"/>
                <w:u w:val="none"/>
                <w:lang w:val="en-US" w:eastAsia="zh-CN"/>
              </w:rPr>
              <w:t>......</w:t>
            </w:r>
          </w:p>
        </w:tc>
        <w:tc>
          <w:tcPr>
            <w:tcW w:w="12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78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i w:val="0"/>
                <w:color w:val="000000"/>
                <w:sz w:val="22"/>
                <w:szCs w:val="22"/>
                <w:u w:val="none"/>
                <w:lang w:val="en-US"/>
              </w:rPr>
            </w:pPr>
          </w:p>
        </w:tc>
        <w:tc>
          <w:tcPr>
            <w:tcW w:w="11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p>
        </w:tc>
        <w:tc>
          <w:tcPr>
            <w:tcW w:w="7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13"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3</w:t>
            </w:r>
          </w:p>
        </w:tc>
        <w:tc>
          <w:tcPr>
            <w:tcW w:w="12586" w:type="dxa"/>
            <w:gridSpan w:val="7"/>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cs="宋体"/>
                <w:b/>
                <w:i w:val="0"/>
                <w:color w:val="000000"/>
                <w:kern w:val="0"/>
                <w:sz w:val="22"/>
                <w:szCs w:val="22"/>
                <w:u w:val="none"/>
                <w:lang w:val="en-US" w:eastAsia="zh-CN" w:bidi="ar"/>
              </w:rPr>
              <w:t>美术室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13"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cs="宋体"/>
                <w:i w:val="0"/>
                <w:color w:val="000000"/>
                <w:kern w:val="0"/>
                <w:sz w:val="22"/>
                <w:szCs w:val="22"/>
                <w:u w:val="none"/>
                <w:lang w:val="en-US" w:eastAsia="zh-CN" w:bidi="ar"/>
              </w:rPr>
            </w:pPr>
          </w:p>
        </w:tc>
        <w:tc>
          <w:tcPr>
            <w:tcW w:w="6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宋体" w:hAnsi="宋体" w:eastAsia="宋体" w:cs="宋体"/>
                <w:i w:val="0"/>
                <w:color w:val="000000"/>
                <w:sz w:val="20"/>
                <w:szCs w:val="20"/>
                <w:u w:val="none"/>
                <w:lang w:val="en-US" w:eastAsia="zh-CN"/>
              </w:rPr>
            </w:pPr>
            <w:r>
              <w:rPr>
                <w:rFonts w:hint="eastAsia" w:ascii="宋体" w:hAnsi="宋体" w:cs="宋体"/>
                <w:i w:val="0"/>
                <w:color w:val="000000"/>
                <w:sz w:val="20"/>
                <w:szCs w:val="20"/>
                <w:u w:val="none"/>
                <w:lang w:val="en-US" w:eastAsia="zh-CN"/>
              </w:rPr>
              <w:t>......</w:t>
            </w:r>
          </w:p>
        </w:tc>
        <w:tc>
          <w:tcPr>
            <w:tcW w:w="12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78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i w:val="0"/>
                <w:color w:val="000000"/>
                <w:sz w:val="22"/>
                <w:szCs w:val="22"/>
                <w:u w:val="none"/>
                <w:lang w:val="en-US"/>
              </w:rPr>
            </w:pPr>
          </w:p>
        </w:tc>
        <w:tc>
          <w:tcPr>
            <w:tcW w:w="11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p>
        </w:tc>
        <w:tc>
          <w:tcPr>
            <w:tcW w:w="7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18"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4</w:t>
            </w:r>
          </w:p>
        </w:tc>
        <w:tc>
          <w:tcPr>
            <w:tcW w:w="12586" w:type="dxa"/>
            <w:gridSpan w:val="7"/>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cs="宋体"/>
                <w:b/>
                <w:i w:val="0"/>
                <w:color w:val="000000"/>
                <w:kern w:val="0"/>
                <w:sz w:val="22"/>
                <w:szCs w:val="22"/>
                <w:u w:val="none"/>
                <w:lang w:val="en-US" w:eastAsia="zh-CN" w:bidi="ar"/>
              </w:rPr>
              <w:t>多功能室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18"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cs="宋体"/>
                <w:i w:val="0"/>
                <w:color w:val="000000"/>
                <w:kern w:val="0"/>
                <w:sz w:val="22"/>
                <w:szCs w:val="22"/>
                <w:u w:val="none"/>
                <w:lang w:val="en-US" w:eastAsia="zh-CN" w:bidi="ar"/>
              </w:rPr>
            </w:pPr>
          </w:p>
        </w:tc>
        <w:tc>
          <w:tcPr>
            <w:tcW w:w="6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宋体" w:hAnsi="宋体" w:eastAsia="宋体" w:cs="宋体"/>
                <w:i w:val="0"/>
                <w:color w:val="000000"/>
                <w:sz w:val="20"/>
                <w:szCs w:val="20"/>
                <w:u w:val="none"/>
                <w:lang w:val="en-US" w:eastAsia="zh-CN"/>
              </w:rPr>
            </w:pPr>
            <w:r>
              <w:rPr>
                <w:rFonts w:hint="eastAsia" w:ascii="宋体" w:hAnsi="宋体" w:cs="宋体"/>
                <w:i w:val="0"/>
                <w:color w:val="000000"/>
                <w:sz w:val="20"/>
                <w:szCs w:val="20"/>
                <w:u w:val="none"/>
                <w:lang w:val="en-US" w:eastAsia="zh-CN"/>
              </w:rPr>
              <w:t>......</w:t>
            </w:r>
          </w:p>
        </w:tc>
        <w:tc>
          <w:tcPr>
            <w:tcW w:w="12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78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i w:val="0"/>
                <w:color w:val="000000"/>
                <w:sz w:val="22"/>
                <w:szCs w:val="22"/>
                <w:u w:val="none"/>
                <w:lang w:val="en-US"/>
              </w:rPr>
            </w:pPr>
          </w:p>
        </w:tc>
        <w:tc>
          <w:tcPr>
            <w:tcW w:w="11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p>
        </w:tc>
        <w:tc>
          <w:tcPr>
            <w:tcW w:w="7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18"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5</w:t>
            </w:r>
          </w:p>
        </w:tc>
        <w:tc>
          <w:tcPr>
            <w:tcW w:w="12586" w:type="dxa"/>
            <w:gridSpan w:val="7"/>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cs="宋体"/>
                <w:b/>
                <w:i w:val="0"/>
                <w:color w:val="000000"/>
                <w:kern w:val="0"/>
                <w:sz w:val="22"/>
                <w:szCs w:val="22"/>
                <w:u w:val="none"/>
                <w:lang w:val="en-US" w:eastAsia="zh-CN" w:bidi="ar"/>
              </w:rPr>
              <w:t>图书室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18"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cs="宋体"/>
                <w:i w:val="0"/>
                <w:color w:val="000000"/>
                <w:kern w:val="0"/>
                <w:sz w:val="22"/>
                <w:szCs w:val="22"/>
                <w:u w:val="none"/>
                <w:lang w:val="en-US" w:eastAsia="zh-CN" w:bidi="ar"/>
              </w:rPr>
            </w:pPr>
          </w:p>
        </w:tc>
        <w:tc>
          <w:tcPr>
            <w:tcW w:w="6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宋体" w:hAnsi="宋体" w:eastAsia="宋体" w:cs="宋体"/>
                <w:i w:val="0"/>
                <w:color w:val="000000"/>
                <w:sz w:val="20"/>
                <w:szCs w:val="20"/>
                <w:u w:val="none"/>
                <w:lang w:val="en-US" w:eastAsia="zh-CN"/>
              </w:rPr>
            </w:pPr>
            <w:r>
              <w:rPr>
                <w:rFonts w:hint="eastAsia" w:ascii="宋体" w:hAnsi="宋体" w:cs="宋体"/>
                <w:i w:val="0"/>
                <w:color w:val="000000"/>
                <w:sz w:val="20"/>
                <w:szCs w:val="20"/>
                <w:u w:val="none"/>
                <w:lang w:val="en-US" w:eastAsia="zh-CN"/>
              </w:rPr>
              <w:t>......</w:t>
            </w:r>
          </w:p>
        </w:tc>
        <w:tc>
          <w:tcPr>
            <w:tcW w:w="12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78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i w:val="0"/>
                <w:color w:val="000000"/>
                <w:sz w:val="22"/>
                <w:szCs w:val="22"/>
                <w:u w:val="none"/>
                <w:lang w:val="en-US"/>
              </w:rPr>
            </w:pPr>
          </w:p>
        </w:tc>
        <w:tc>
          <w:tcPr>
            <w:tcW w:w="11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p>
        </w:tc>
        <w:tc>
          <w:tcPr>
            <w:tcW w:w="7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18"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6</w:t>
            </w:r>
          </w:p>
        </w:tc>
        <w:tc>
          <w:tcPr>
            <w:tcW w:w="12586" w:type="dxa"/>
            <w:gridSpan w:val="7"/>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cs="宋体"/>
                <w:b/>
                <w:i w:val="0"/>
                <w:color w:val="000000"/>
                <w:kern w:val="0"/>
                <w:sz w:val="22"/>
                <w:szCs w:val="22"/>
                <w:u w:val="none"/>
                <w:lang w:val="en-US" w:eastAsia="zh-CN" w:bidi="ar"/>
              </w:rPr>
              <w:t>体育器材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18"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cs="宋体"/>
                <w:i w:val="0"/>
                <w:color w:val="000000"/>
                <w:kern w:val="0"/>
                <w:sz w:val="22"/>
                <w:szCs w:val="22"/>
                <w:u w:val="none"/>
                <w:lang w:val="en-US" w:eastAsia="zh-CN" w:bidi="ar"/>
              </w:rPr>
            </w:pPr>
          </w:p>
        </w:tc>
        <w:tc>
          <w:tcPr>
            <w:tcW w:w="6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宋体" w:hAnsi="宋体" w:eastAsia="宋体" w:cs="宋体"/>
                <w:i w:val="0"/>
                <w:color w:val="000000"/>
                <w:sz w:val="20"/>
                <w:szCs w:val="20"/>
                <w:u w:val="none"/>
                <w:lang w:val="en-US" w:eastAsia="zh-CN"/>
              </w:rPr>
            </w:pPr>
            <w:r>
              <w:rPr>
                <w:rFonts w:hint="eastAsia" w:ascii="宋体" w:hAnsi="宋体" w:cs="宋体"/>
                <w:i w:val="0"/>
                <w:color w:val="000000"/>
                <w:sz w:val="20"/>
                <w:szCs w:val="20"/>
                <w:u w:val="none"/>
                <w:lang w:val="en-US" w:eastAsia="zh-CN"/>
              </w:rPr>
              <w:t>......</w:t>
            </w:r>
          </w:p>
        </w:tc>
        <w:tc>
          <w:tcPr>
            <w:tcW w:w="12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78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i w:val="0"/>
                <w:color w:val="000000"/>
                <w:sz w:val="22"/>
                <w:szCs w:val="22"/>
                <w:u w:val="none"/>
                <w:lang w:val="en-US"/>
              </w:rPr>
            </w:pPr>
          </w:p>
        </w:tc>
        <w:tc>
          <w:tcPr>
            <w:tcW w:w="11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p>
        </w:tc>
        <w:tc>
          <w:tcPr>
            <w:tcW w:w="7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18"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7</w:t>
            </w:r>
          </w:p>
        </w:tc>
        <w:tc>
          <w:tcPr>
            <w:tcW w:w="12586" w:type="dxa"/>
            <w:gridSpan w:val="7"/>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cs="宋体"/>
                <w:b/>
                <w:i w:val="0"/>
                <w:color w:val="000000"/>
                <w:kern w:val="0"/>
                <w:sz w:val="22"/>
                <w:szCs w:val="22"/>
                <w:u w:val="none"/>
                <w:lang w:val="en-US" w:eastAsia="zh-CN" w:bidi="ar"/>
              </w:rPr>
              <w:t>户外大型建构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18"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cs="宋体"/>
                <w:i w:val="0"/>
                <w:color w:val="000000"/>
                <w:kern w:val="0"/>
                <w:sz w:val="22"/>
                <w:szCs w:val="22"/>
                <w:u w:val="none"/>
                <w:lang w:val="en-US" w:eastAsia="zh-CN" w:bidi="ar"/>
              </w:rPr>
            </w:pPr>
          </w:p>
        </w:tc>
        <w:tc>
          <w:tcPr>
            <w:tcW w:w="6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宋体" w:hAnsi="宋体" w:eastAsia="宋体" w:cs="宋体"/>
                <w:i w:val="0"/>
                <w:color w:val="000000"/>
                <w:sz w:val="20"/>
                <w:szCs w:val="20"/>
                <w:u w:val="none"/>
                <w:lang w:val="en-US" w:eastAsia="zh-CN"/>
              </w:rPr>
            </w:pPr>
            <w:r>
              <w:rPr>
                <w:rFonts w:hint="eastAsia" w:ascii="宋体" w:hAnsi="宋体" w:cs="宋体"/>
                <w:i w:val="0"/>
                <w:color w:val="000000"/>
                <w:sz w:val="20"/>
                <w:szCs w:val="20"/>
                <w:u w:val="none"/>
                <w:lang w:val="en-US" w:eastAsia="zh-CN"/>
              </w:rPr>
              <w:t>......</w:t>
            </w:r>
          </w:p>
        </w:tc>
        <w:tc>
          <w:tcPr>
            <w:tcW w:w="12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78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i w:val="0"/>
                <w:color w:val="000000"/>
                <w:sz w:val="22"/>
                <w:szCs w:val="22"/>
                <w:u w:val="none"/>
                <w:lang w:val="en-US"/>
              </w:rPr>
            </w:pPr>
          </w:p>
        </w:tc>
        <w:tc>
          <w:tcPr>
            <w:tcW w:w="11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p>
        </w:tc>
        <w:tc>
          <w:tcPr>
            <w:tcW w:w="7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18"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8</w:t>
            </w:r>
          </w:p>
        </w:tc>
        <w:tc>
          <w:tcPr>
            <w:tcW w:w="12586" w:type="dxa"/>
            <w:gridSpan w:val="7"/>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cs="宋体"/>
                <w:b/>
                <w:i w:val="0"/>
                <w:color w:val="000000"/>
                <w:kern w:val="0"/>
                <w:sz w:val="22"/>
                <w:szCs w:val="22"/>
                <w:u w:val="none"/>
                <w:lang w:val="en-US" w:eastAsia="zh-CN" w:bidi="ar"/>
              </w:rPr>
              <w:t>桌面幼教玩具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18"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cs="宋体"/>
                <w:i w:val="0"/>
                <w:color w:val="000000"/>
                <w:kern w:val="0"/>
                <w:sz w:val="22"/>
                <w:szCs w:val="22"/>
                <w:u w:val="none"/>
                <w:lang w:val="en-US" w:eastAsia="zh-CN" w:bidi="ar"/>
              </w:rPr>
            </w:pPr>
          </w:p>
        </w:tc>
        <w:tc>
          <w:tcPr>
            <w:tcW w:w="6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宋体" w:hAnsi="宋体" w:eastAsia="宋体" w:cs="宋体"/>
                <w:i w:val="0"/>
                <w:color w:val="000000"/>
                <w:sz w:val="20"/>
                <w:szCs w:val="20"/>
                <w:u w:val="none"/>
                <w:lang w:val="en-US" w:eastAsia="zh-CN"/>
              </w:rPr>
            </w:pPr>
            <w:r>
              <w:rPr>
                <w:rFonts w:hint="eastAsia" w:ascii="宋体" w:hAnsi="宋体" w:cs="宋体"/>
                <w:i w:val="0"/>
                <w:color w:val="000000"/>
                <w:sz w:val="20"/>
                <w:szCs w:val="20"/>
                <w:u w:val="none"/>
                <w:lang w:val="en-US" w:eastAsia="zh-CN"/>
              </w:rPr>
              <w:t>......</w:t>
            </w:r>
          </w:p>
        </w:tc>
        <w:tc>
          <w:tcPr>
            <w:tcW w:w="12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78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i w:val="0"/>
                <w:color w:val="000000"/>
                <w:sz w:val="22"/>
                <w:szCs w:val="22"/>
                <w:u w:val="none"/>
                <w:lang w:val="en-US"/>
              </w:rPr>
            </w:pPr>
          </w:p>
        </w:tc>
        <w:tc>
          <w:tcPr>
            <w:tcW w:w="11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p>
        </w:tc>
        <w:tc>
          <w:tcPr>
            <w:tcW w:w="7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18"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9</w:t>
            </w:r>
          </w:p>
        </w:tc>
        <w:tc>
          <w:tcPr>
            <w:tcW w:w="12586" w:type="dxa"/>
            <w:gridSpan w:val="7"/>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cs="宋体"/>
                <w:b/>
                <w:i w:val="0"/>
                <w:color w:val="000000"/>
                <w:kern w:val="0"/>
                <w:sz w:val="22"/>
                <w:szCs w:val="22"/>
                <w:u w:val="none"/>
                <w:lang w:val="en-US" w:eastAsia="zh-CN" w:bidi="ar"/>
              </w:rPr>
              <w:t>户外大型幼教玩具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18"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cs="宋体"/>
                <w:i w:val="0"/>
                <w:color w:val="000000"/>
                <w:kern w:val="0"/>
                <w:sz w:val="22"/>
                <w:szCs w:val="22"/>
                <w:u w:val="none"/>
                <w:lang w:val="en-US" w:eastAsia="zh-CN" w:bidi="ar"/>
              </w:rPr>
            </w:pPr>
          </w:p>
        </w:tc>
        <w:tc>
          <w:tcPr>
            <w:tcW w:w="6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宋体" w:hAnsi="宋体" w:eastAsia="宋体" w:cs="宋体"/>
                <w:i w:val="0"/>
                <w:color w:val="000000"/>
                <w:sz w:val="20"/>
                <w:szCs w:val="20"/>
                <w:u w:val="none"/>
                <w:lang w:val="en-US" w:eastAsia="zh-CN"/>
              </w:rPr>
            </w:pPr>
            <w:r>
              <w:rPr>
                <w:rFonts w:hint="eastAsia" w:ascii="宋体" w:hAnsi="宋体" w:cs="宋体"/>
                <w:i w:val="0"/>
                <w:color w:val="000000"/>
                <w:sz w:val="20"/>
                <w:szCs w:val="20"/>
                <w:u w:val="none"/>
                <w:lang w:val="en-US" w:eastAsia="zh-CN"/>
              </w:rPr>
              <w:t>......</w:t>
            </w:r>
          </w:p>
        </w:tc>
        <w:tc>
          <w:tcPr>
            <w:tcW w:w="12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78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i w:val="0"/>
                <w:color w:val="000000"/>
                <w:sz w:val="22"/>
                <w:szCs w:val="22"/>
                <w:u w:val="none"/>
                <w:lang w:val="en-US"/>
              </w:rPr>
            </w:pPr>
          </w:p>
        </w:tc>
        <w:tc>
          <w:tcPr>
            <w:tcW w:w="11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p>
        </w:tc>
        <w:tc>
          <w:tcPr>
            <w:tcW w:w="7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18" w:hRule="atLeast"/>
        </w:trPr>
        <w:tc>
          <w:tcPr>
            <w:tcW w:w="13160" w:type="dxa"/>
            <w:gridSpan w:val="8"/>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cs="宋体"/>
                <w:b/>
                <w:kern w:val="0"/>
                <w:sz w:val="22"/>
                <w:szCs w:val="22"/>
                <w:lang w:bidi="ar"/>
              </w:rPr>
              <w:t>合计：大写</w:t>
            </w:r>
            <w:r>
              <w:rPr>
                <w:rFonts w:hint="eastAsia" w:ascii="宋体" w:eastAsia="Times New Roman" w:cs="宋体"/>
                <w:b/>
                <w:kern w:val="0"/>
                <w:sz w:val="22"/>
                <w:szCs w:val="22"/>
                <w:u w:val="single"/>
                <w:lang w:bidi="ar"/>
              </w:rPr>
              <w:t xml:space="preserve">                         </w:t>
            </w:r>
            <w:r>
              <w:rPr>
                <w:rFonts w:hint="eastAsia" w:ascii="宋体" w:hAnsi="宋体" w:cs="宋体"/>
                <w:b/>
                <w:kern w:val="0"/>
                <w:sz w:val="22"/>
                <w:szCs w:val="22"/>
                <w:lang w:bidi="ar"/>
              </w:rPr>
              <w:t>元</w:t>
            </w:r>
            <w:r>
              <w:rPr>
                <w:rFonts w:hint="eastAsia" w:ascii="宋体" w:eastAsia="Times New Roman" w:cs="宋体"/>
                <w:b/>
                <w:kern w:val="0"/>
                <w:sz w:val="22"/>
                <w:szCs w:val="22"/>
                <w:lang w:bidi="ar"/>
              </w:rPr>
              <w:t xml:space="preserve">                     </w:t>
            </w:r>
            <w:r>
              <w:rPr>
                <w:rFonts w:hint="eastAsia" w:ascii="宋体" w:hAnsi="宋体" w:cs="宋体"/>
                <w:b/>
                <w:kern w:val="0"/>
                <w:sz w:val="22"/>
                <w:szCs w:val="22"/>
                <w:lang w:bidi="ar"/>
              </w:rPr>
              <w:t>小写：￥</w:t>
            </w:r>
            <w:r>
              <w:rPr>
                <w:rFonts w:hint="eastAsia" w:ascii="宋体" w:eastAsia="Times New Roman" w:cs="宋体"/>
                <w:b/>
                <w:kern w:val="0"/>
                <w:sz w:val="22"/>
                <w:szCs w:val="22"/>
                <w:u w:val="single"/>
                <w:lang w:bidi="ar"/>
              </w:rPr>
              <w:t xml:space="preserve">                </w:t>
            </w:r>
            <w:r>
              <w:rPr>
                <w:rFonts w:hint="eastAsia" w:ascii="宋体" w:hAnsi="宋体" w:cs="宋体"/>
                <w:b/>
                <w:kern w:val="0"/>
                <w:sz w:val="22"/>
                <w:szCs w:val="22"/>
                <w:lang w:bidi="ar"/>
              </w:rPr>
              <w:t>元</w:t>
            </w:r>
          </w:p>
        </w:tc>
      </w:tr>
    </w:tbl>
    <w:p>
      <w:pPr>
        <w:adjustRightInd w:val="0"/>
        <w:spacing w:line="400" w:lineRule="exact"/>
        <w:textAlignment w:val="baseline"/>
        <w:rPr>
          <w:rFonts w:hint="eastAsia" w:ascii="宋体" w:hAnsi="宋体" w:cs="Courier New"/>
          <w:sz w:val="21"/>
          <w:szCs w:val="21"/>
        </w:rPr>
      </w:pPr>
      <w:r>
        <w:rPr>
          <w:rFonts w:hint="eastAsia" w:ascii="宋体" w:hAnsi="宋体" w:cs="Courier New"/>
          <w:sz w:val="21"/>
          <w:szCs w:val="21"/>
        </w:rPr>
        <w:t>注：</w:t>
      </w:r>
    </w:p>
    <w:p>
      <w:pPr>
        <w:numPr>
          <w:ilvl w:val="0"/>
          <w:numId w:val="43"/>
        </w:numPr>
        <w:spacing w:line="400" w:lineRule="exact"/>
        <w:ind w:firstLine="600" w:firstLineChars="250"/>
        <w:rPr>
          <w:rFonts w:hint="eastAsia" w:ascii="宋体"/>
          <w:sz w:val="24"/>
          <w:lang w:val="zh-CN"/>
        </w:rPr>
      </w:pPr>
      <w:r>
        <w:rPr>
          <w:rFonts w:hint="eastAsia" w:ascii="宋体"/>
          <w:sz w:val="24"/>
          <w:lang w:val="zh-CN"/>
        </w:rPr>
        <w:t>“投标报价明细表”中的投标总报价应与“开标一览表”中的投标总报价相一致，不一致时，以开标一览表为准。</w:t>
      </w:r>
    </w:p>
    <w:p>
      <w:pPr>
        <w:pStyle w:val="2"/>
        <w:numPr>
          <w:ilvl w:val="0"/>
          <w:numId w:val="43"/>
        </w:numPr>
        <w:rPr>
          <w:lang w:val="zh-CN"/>
        </w:rPr>
      </w:pPr>
    </w:p>
    <w:p>
      <w:pPr>
        <w:adjustRightInd w:val="0"/>
        <w:spacing w:line="400" w:lineRule="exact"/>
        <w:ind w:firstLine="600" w:firstLineChars="250"/>
        <w:textAlignment w:val="baseline"/>
        <w:rPr>
          <w:rFonts w:hint="eastAsia" w:ascii="宋体"/>
          <w:b/>
          <w:sz w:val="24"/>
          <w:lang w:val="zh-CN"/>
        </w:rPr>
      </w:pPr>
      <w:r>
        <w:rPr>
          <w:rFonts w:hint="eastAsia" w:ascii="宋体"/>
          <w:sz w:val="24"/>
          <w:lang w:val="zh-CN"/>
        </w:rPr>
        <w:t>2、投标报价明细表所填内容按招标文件采购设备清单要求为准。如有漏报的，视同已包含在投标总价内或已作优惠处理。</w:t>
      </w:r>
      <w:r>
        <w:rPr>
          <w:rFonts w:hint="eastAsia" w:ascii="宋体"/>
          <w:b/>
          <w:sz w:val="24"/>
          <w:lang w:val="zh-CN"/>
        </w:rPr>
        <w:t>有重大缺项的将作无效标处理。</w:t>
      </w:r>
    </w:p>
    <w:p>
      <w:pPr>
        <w:spacing w:line="400" w:lineRule="exact"/>
        <w:ind w:firstLine="600" w:firstLineChars="250"/>
        <w:rPr>
          <w:rFonts w:hint="eastAsia" w:ascii="宋体"/>
          <w:sz w:val="24"/>
          <w:lang w:val="zh-CN"/>
        </w:rPr>
      </w:pPr>
      <w:r>
        <w:rPr>
          <w:rFonts w:hint="eastAsia" w:ascii="宋体"/>
          <w:sz w:val="24"/>
          <w:lang w:val="zh-CN"/>
        </w:rPr>
        <w:t>3、表格中除空白部分由投标人自报外，其余内容不得变更。</w:t>
      </w:r>
    </w:p>
    <w:p>
      <w:pPr>
        <w:spacing w:line="400" w:lineRule="exact"/>
        <w:ind w:firstLine="602" w:firstLineChars="250"/>
        <w:rPr>
          <w:rFonts w:hint="eastAsia" w:ascii="宋体"/>
          <w:b/>
          <w:sz w:val="24"/>
          <w:lang w:val="zh-CN"/>
        </w:rPr>
      </w:pPr>
      <w:r>
        <w:rPr>
          <w:rFonts w:hint="eastAsia" w:ascii="宋体"/>
          <w:b/>
          <w:sz w:val="24"/>
          <w:lang w:val="zh-CN"/>
        </w:rPr>
        <w:t>4、产品规格参数及数量等以招标文件中设备采购清单为准。业主提供的产品数量均为暂定，所标注的产品规格都为成品规格。结算数量按实际完成数量为准。</w:t>
      </w:r>
    </w:p>
    <w:p>
      <w:pPr>
        <w:wordWrap w:val="0"/>
        <w:adjustRightInd w:val="0"/>
        <w:spacing w:line="360" w:lineRule="atLeast"/>
        <w:textAlignment w:val="baseline"/>
        <w:rPr>
          <w:rFonts w:hint="eastAsia" w:ascii="宋体" w:eastAsia="Times New Roman"/>
          <w:sz w:val="21"/>
          <w:szCs w:val="21"/>
          <w:lang w:val="zh-CN"/>
        </w:rPr>
      </w:pPr>
    </w:p>
    <w:p>
      <w:pPr>
        <w:pStyle w:val="11"/>
        <w:spacing w:line="360" w:lineRule="auto"/>
        <w:outlineLvl w:val="1"/>
        <w:rPr>
          <w:rFonts w:hint="eastAsia" w:eastAsia="宋体"/>
          <w:lang w:eastAsia="zh-CN"/>
        </w:rPr>
      </w:pPr>
      <w:r>
        <w:rPr>
          <w:rFonts w:hint="eastAsia" w:hAnsi="Times New Roman" w:eastAsia="Times New Roman"/>
          <w:kern w:val="2"/>
          <w:sz w:val="21"/>
          <w:szCs w:val="21"/>
          <w:lang w:val="zh-CN" w:eastAsia="zh-CN"/>
        </w:rPr>
        <w:t>法定代表人或授权委托人（签字或盖章）：                     投标人（盖章）：                           日期：   年   月</w:t>
      </w:r>
      <w:r>
        <w:rPr>
          <w:rFonts w:hint="eastAsia" w:hAnsi="Times New Roman" w:eastAsia="Times New Roman"/>
          <w:kern w:val="2"/>
          <w:sz w:val="21"/>
          <w:szCs w:val="21"/>
          <w:lang w:val="en-US" w:eastAsia="zh-CN"/>
        </w:rPr>
        <w:t xml:space="preserve">  日</w:t>
      </w:r>
      <w:r>
        <w:rPr>
          <w:rFonts w:hint="eastAsia" w:hAnsi="Times New Roman" w:eastAsia="Times New Roman"/>
          <w:kern w:val="2"/>
          <w:sz w:val="21"/>
          <w:szCs w:val="21"/>
          <w:lang w:val="zh-CN" w:eastAsia="zh-CN"/>
        </w:rPr>
        <w:t xml:space="preserve">  </w:t>
      </w:r>
    </w:p>
    <w:sectPr>
      <w:pgSz w:w="16838" w:h="11906" w:orient="landscape"/>
      <w:pgMar w:top="1361" w:right="1383" w:bottom="1361" w:left="1383" w:header="851" w:footer="992" w:gutter="0"/>
      <w:pgNumType w:fmt="decimal"/>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方正书宋简体">
    <w:altName w:val="宋体"/>
    <w:panose1 w:val="00000000000000000000"/>
    <w:charset w:val="86"/>
    <w:family w:val="script"/>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Wingdings 2">
    <w:panose1 w:val="05020102010507070707"/>
    <w:charset w:val="02"/>
    <w:family w:val="auto"/>
    <w:pitch w:val="default"/>
    <w:sig w:usb0="00000000" w:usb1="00000000" w:usb2="00000000" w:usb3="00000000" w:csb0="80000000" w:csb1="00000000"/>
  </w:font>
  <w:font w:name="仿宋_GB2312">
    <w:altName w:val="仿宋"/>
    <w:panose1 w:val="00000000000000000000"/>
    <w:charset w:val="86"/>
    <w:family w:val="modern"/>
    <w:pitch w:val="default"/>
    <w:sig w:usb0="00000000" w:usb1="0000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rPr>
        <w:sz w:val="18"/>
      </w:rPr>
      <w:pict>
        <v:shape id="_x0000_s4098" o:spid="_x0000_s4098"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pPr>
                  <w:pStyle w:val="14"/>
                  <w:jc w:val="center"/>
                </w:pPr>
                <w:r>
                  <w:fldChar w:fldCharType="begin"/>
                </w:r>
                <w:r>
                  <w:rPr>
                    <w:rStyle w:val="23"/>
                  </w:rPr>
                  <w:instrText xml:space="preserve"> PAGE </w:instrText>
                </w:r>
                <w:r>
                  <w:fldChar w:fldCharType="separate"/>
                </w:r>
                <w:r>
                  <w:rPr>
                    <w:rStyle w:val="23"/>
                  </w:rPr>
                  <w:t>46</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3"/>
      </w:rPr>
    </w:pPr>
    <w:r>
      <w:fldChar w:fldCharType="begin"/>
    </w:r>
    <w:r>
      <w:rPr>
        <w:rStyle w:val="23"/>
      </w:rPr>
      <w:instrText xml:space="preserve">PAGE  </w:instrText>
    </w:r>
    <w:r>
      <w:fldChar w:fldCharType="end"/>
    </w:r>
  </w:p>
  <w:p>
    <w:pPr>
      <w:pStyle w:val="14"/>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jc w:val="both"/>
      <w:rPr>
        <w:u w:val="single"/>
      </w:rPr>
    </w:pPr>
    <w:r>
      <w:rPr>
        <w:rFonts w:hint="eastAsia"/>
        <w:u w:val="single"/>
      </w:rPr>
      <w:t xml:space="preserve">                                                                            </w:t>
    </w:r>
    <w:r>
      <w:rPr>
        <w:u w:val="single"/>
      </w:rPr>
      <w:fldChar w:fldCharType="begin"/>
    </w:r>
    <w:r>
      <w:rPr>
        <w:rStyle w:val="23"/>
        <w:u w:val="single"/>
      </w:rPr>
      <w:instrText xml:space="preserve"> PAGE </w:instrText>
    </w:r>
    <w:r>
      <w:rPr>
        <w:u w:val="single"/>
      </w:rPr>
      <w:fldChar w:fldCharType="separate"/>
    </w:r>
    <w:r>
      <w:rPr>
        <w:rStyle w:val="23"/>
        <w:u w:val="single"/>
      </w:rPr>
      <w:t>65</w:t>
    </w:r>
    <w:r>
      <w:rPr>
        <w:u w:val="single"/>
      </w:rPr>
      <w:fldChar w:fldCharType="end"/>
    </w:r>
    <w:r>
      <w:rPr>
        <w:rFonts w:hint="eastAsia"/>
        <w:u w:val="single"/>
      </w:rPr>
      <w:t xml:space="preserve">                                                                                                          </w:t>
    </w:r>
  </w:p>
  <w:p>
    <w:pPr>
      <w:pStyle w:val="14"/>
      <w:jc w:val="center"/>
    </w:pPr>
    <w:r>
      <w:rPr>
        <w:rFonts w:hint="eastAsia"/>
      </w:rPr>
      <w:t>三门县公共资源交易中心编制</w:t>
    </w:r>
    <w:r>
      <w:rPr>
        <w:rFonts w:hint="eastAsia"/>
      </w:rPr>
      <w:drawing>
        <wp:anchor distT="0" distB="0" distL="114300" distR="114300" simplePos="0" relativeHeight="251661312" behindDoc="0" locked="0" layoutInCell="1" allowOverlap="1">
          <wp:simplePos x="0" y="0"/>
          <wp:positionH relativeFrom="column">
            <wp:posOffset>3667125</wp:posOffset>
          </wp:positionH>
          <wp:positionV relativeFrom="paragraph">
            <wp:posOffset>3133725</wp:posOffset>
          </wp:positionV>
          <wp:extent cx="272415" cy="202565"/>
          <wp:effectExtent l="0" t="0" r="13335" b="6985"/>
          <wp:wrapNone/>
          <wp:docPr id="297" name="图片 1" descr="about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1" descr="about_B"/>
                  <pic:cNvPicPr>
                    <a:picLocks noChangeAspect="1"/>
                  </pic:cNvPicPr>
                </pic:nvPicPr>
                <pic:blipFill>
                  <a:blip r:embed="rId1"/>
                  <a:stretch>
                    <a:fillRect/>
                  </a:stretch>
                </pic:blipFill>
                <pic:spPr>
                  <a:xfrm>
                    <a:off x="0" y="0"/>
                    <a:ext cx="272415" cy="202565"/>
                  </a:xfrm>
                  <a:prstGeom prst="rect">
                    <a:avLst/>
                  </a:prstGeom>
                  <a:noFill/>
                  <a:ln>
                    <a:noFill/>
                  </a:ln>
                </pic:spPr>
              </pic:pic>
            </a:graphicData>
          </a:graphic>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w:pict>
        <v:shape id="_x0000_s4099" o:spid="_x0000_s4099"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54</w:t>
                </w:r>
                <w:r>
                  <w:rPr>
                    <w:rFonts w:hint="eastAsia"/>
                    <w:lang w:eastAsia="zh-CN"/>
                  </w:rPr>
                  <w:fldChar w:fldCharType="end"/>
                </w:r>
              </w:p>
            </w:txbxContent>
          </v:textbox>
        </v:shape>
      </w:pict>
    </w:r>
    <w:r>
      <w:rPr>
        <w:rFonts w:hint="eastAsia"/>
        <w:b/>
      </w:rPr>
      <w:drawing>
        <wp:inline distT="0" distB="0" distL="114300" distR="114300">
          <wp:extent cx="1370330" cy="220345"/>
          <wp:effectExtent l="0" t="0" r="1270" b="8255"/>
          <wp:docPr id="1" name="图片 1" descr="LOGO建科新方案共2页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OGO建科新方案共2页副本"/>
                  <pic:cNvPicPr>
                    <a:picLocks noChangeAspect="1"/>
                  </pic:cNvPicPr>
                </pic:nvPicPr>
                <pic:blipFill>
                  <a:blip r:embed="rId1"/>
                  <a:stretch>
                    <a:fillRect/>
                  </a:stretch>
                </pic:blipFill>
                <pic:spPr>
                  <a:xfrm>
                    <a:off x="0" y="0"/>
                    <a:ext cx="1370330" cy="220345"/>
                  </a:xfrm>
                  <a:prstGeom prst="rect">
                    <a:avLst/>
                  </a:prstGeom>
                  <a:noFill/>
                  <a:ln>
                    <a:noFill/>
                  </a:ln>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rPr>
        <w:rFonts w:hint="default" w:eastAsia="宋体"/>
        <w:b w:val="0"/>
        <w:bCs/>
        <w:lang w:val="en-US" w:eastAsia="zh-CN"/>
      </w:rPr>
    </w:pPr>
    <w:r>
      <w:rPr>
        <w:rFonts w:hint="eastAsia"/>
        <w:b/>
      </w:rPr>
      <w:drawing>
        <wp:inline distT="0" distB="0" distL="114300" distR="114300">
          <wp:extent cx="1370330" cy="220345"/>
          <wp:effectExtent l="0" t="0" r="1270" b="8255"/>
          <wp:docPr id="7" name="图片 1" descr="LOGO建科新方案共2页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LOGO建科新方案共2页副本"/>
                  <pic:cNvPicPr>
                    <a:picLocks noChangeAspect="1"/>
                  </pic:cNvPicPr>
                </pic:nvPicPr>
                <pic:blipFill>
                  <a:blip r:embed="rId1"/>
                  <a:stretch>
                    <a:fillRect/>
                  </a:stretch>
                </pic:blipFill>
                <pic:spPr>
                  <a:xfrm>
                    <a:off x="0" y="0"/>
                    <a:ext cx="1370330" cy="220345"/>
                  </a:xfrm>
                  <a:prstGeom prst="rect">
                    <a:avLst/>
                  </a:prstGeom>
                  <a:noFill/>
                  <a:ln>
                    <a:noFill/>
                  </a:ln>
                </pic:spPr>
              </pic:pic>
            </a:graphicData>
          </a:graphic>
        </wp:inline>
      </w:drawing>
    </w:r>
    <w:r>
      <w:rPr>
        <w:rFonts w:hint="eastAsia"/>
        <w:b/>
        <w:lang w:val="en-US" w:eastAsia="zh-CN"/>
      </w:rPr>
      <w:t xml:space="preserve">                  </w:t>
    </w:r>
    <w:r>
      <w:rPr>
        <w:rFonts w:hint="eastAsia"/>
        <w:b w:val="0"/>
        <w:bCs/>
        <w:lang w:val="en-US" w:eastAsia="zh-CN"/>
      </w:rPr>
      <w:t>三门县中心幼儿园平安路分园幼儿桌椅及教玩具采购项目招标文件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tabs>
        <w:tab w:val="right" w:pos="9000"/>
      </w:tabs>
      <w:jc w:val="right"/>
      <w:rPr>
        <w:szCs w:val="22"/>
        <w:u w:val="single"/>
      </w:rPr>
    </w:pPr>
    <w:r>
      <w:rPr>
        <w:rFonts w:hint="eastAsia"/>
      </w:rPr>
      <w:tab/>
    </w:r>
    <w:r>
      <w:rPr>
        <w:rFonts w:hint="eastAsia"/>
      </w:rPr>
      <w:t xml:space="preserve">                                 </w:t>
    </w:r>
    <w:r>
      <w:rPr>
        <w:rFonts w:hint="eastAsia"/>
        <w:szCs w:val="22"/>
        <w:u w:val="single"/>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 w:lineRule="atLeast"/>
      <w:jc w:val="right"/>
      <w:rPr>
        <w:b/>
        <w:color w:val="000000" w:themeColor="text1"/>
        <w:sz w:val="10"/>
        <w:u w:val="single"/>
      </w:rPr>
    </w:pPr>
    <w:r>
      <w:rPr>
        <w:rFonts w:hint="eastAsia"/>
        <w:b/>
        <w:color w:val="000000" w:themeColor="text1"/>
        <w:kern w:val="0"/>
        <w:sz w:val="18"/>
        <w:u w:val="single"/>
        <w:lang w:eastAsia="zh-CN"/>
      </w:rPr>
      <w:t>三门县中心幼儿园平安路分园幼儿桌椅及教玩具采购项目</w:t>
    </w:r>
    <w:r>
      <w:rPr>
        <w:rFonts w:hint="eastAsia"/>
        <w:b/>
        <w:color w:val="000000" w:themeColor="text1"/>
        <w:kern w:val="0"/>
        <w:sz w:val="18"/>
        <w:u w:val="single"/>
      </w:rPr>
      <w:t xml:space="preserve">招标文件                             </w:t>
    </w:r>
    <w:r>
      <w:rPr>
        <w:rFonts w:hint="eastAsia"/>
        <w:b/>
        <w:color w:val="000000" w:themeColor="text1"/>
        <w:kern w:val="0"/>
        <w:sz w:val="18"/>
        <w:u w:val="single"/>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001BA5"/>
    <w:multiLevelType w:val="singleLevel"/>
    <w:tmpl w:val="80001BA5"/>
    <w:lvl w:ilvl="0" w:tentative="0">
      <w:start w:val="1"/>
      <w:numFmt w:val="decimal"/>
      <w:suff w:val="nothing"/>
      <w:lvlText w:val="%1、"/>
      <w:lvlJc w:val="left"/>
    </w:lvl>
  </w:abstractNum>
  <w:abstractNum w:abstractNumId="1">
    <w:nsid w:val="876E5929"/>
    <w:multiLevelType w:val="singleLevel"/>
    <w:tmpl w:val="876E5929"/>
    <w:lvl w:ilvl="0" w:tentative="0">
      <w:start w:val="1"/>
      <w:numFmt w:val="decimal"/>
      <w:suff w:val="nothing"/>
      <w:lvlText w:val="%1、"/>
      <w:lvlJc w:val="left"/>
    </w:lvl>
  </w:abstractNum>
  <w:abstractNum w:abstractNumId="2">
    <w:nsid w:val="8BCF00D1"/>
    <w:multiLevelType w:val="singleLevel"/>
    <w:tmpl w:val="8BCF00D1"/>
    <w:lvl w:ilvl="0" w:tentative="0">
      <w:start w:val="1"/>
      <w:numFmt w:val="decimal"/>
      <w:suff w:val="nothing"/>
      <w:lvlText w:val="%1、"/>
      <w:lvlJc w:val="left"/>
    </w:lvl>
  </w:abstractNum>
  <w:abstractNum w:abstractNumId="3">
    <w:nsid w:val="92F96938"/>
    <w:multiLevelType w:val="singleLevel"/>
    <w:tmpl w:val="92F96938"/>
    <w:lvl w:ilvl="0" w:tentative="0">
      <w:start w:val="1"/>
      <w:numFmt w:val="decimal"/>
      <w:suff w:val="nothing"/>
      <w:lvlText w:val="%1、"/>
      <w:lvlJc w:val="left"/>
    </w:lvl>
  </w:abstractNum>
  <w:abstractNum w:abstractNumId="4">
    <w:nsid w:val="94E7370B"/>
    <w:multiLevelType w:val="singleLevel"/>
    <w:tmpl w:val="94E7370B"/>
    <w:lvl w:ilvl="0" w:tentative="0">
      <w:start w:val="1"/>
      <w:numFmt w:val="decimal"/>
      <w:suff w:val="nothing"/>
      <w:lvlText w:val="%1、"/>
      <w:lvlJc w:val="left"/>
    </w:lvl>
  </w:abstractNum>
  <w:abstractNum w:abstractNumId="5">
    <w:nsid w:val="95DB01ED"/>
    <w:multiLevelType w:val="singleLevel"/>
    <w:tmpl w:val="95DB01ED"/>
    <w:lvl w:ilvl="0" w:tentative="0">
      <w:start w:val="1"/>
      <w:numFmt w:val="decimal"/>
      <w:suff w:val="nothing"/>
      <w:lvlText w:val="%1、"/>
      <w:lvlJc w:val="left"/>
    </w:lvl>
  </w:abstractNum>
  <w:abstractNum w:abstractNumId="6">
    <w:nsid w:val="9B6234D4"/>
    <w:multiLevelType w:val="singleLevel"/>
    <w:tmpl w:val="9B6234D4"/>
    <w:lvl w:ilvl="0" w:tentative="0">
      <w:start w:val="1"/>
      <w:numFmt w:val="decimal"/>
      <w:suff w:val="nothing"/>
      <w:lvlText w:val="%1、"/>
      <w:lvlJc w:val="left"/>
    </w:lvl>
  </w:abstractNum>
  <w:abstractNum w:abstractNumId="7">
    <w:nsid w:val="A6B9E1D5"/>
    <w:multiLevelType w:val="singleLevel"/>
    <w:tmpl w:val="A6B9E1D5"/>
    <w:lvl w:ilvl="0" w:tentative="0">
      <w:start w:val="1"/>
      <w:numFmt w:val="decimal"/>
      <w:suff w:val="nothing"/>
      <w:lvlText w:val="%1、"/>
      <w:lvlJc w:val="left"/>
    </w:lvl>
  </w:abstractNum>
  <w:abstractNum w:abstractNumId="8">
    <w:nsid w:val="A967BBB0"/>
    <w:multiLevelType w:val="singleLevel"/>
    <w:tmpl w:val="A967BBB0"/>
    <w:lvl w:ilvl="0" w:tentative="0">
      <w:start w:val="1"/>
      <w:numFmt w:val="decimal"/>
      <w:suff w:val="nothing"/>
      <w:lvlText w:val="%1、"/>
      <w:lvlJc w:val="left"/>
    </w:lvl>
  </w:abstractNum>
  <w:abstractNum w:abstractNumId="9">
    <w:nsid w:val="ACFBE606"/>
    <w:multiLevelType w:val="singleLevel"/>
    <w:tmpl w:val="ACFBE606"/>
    <w:lvl w:ilvl="0" w:tentative="0">
      <w:start w:val="1"/>
      <w:numFmt w:val="decimal"/>
      <w:suff w:val="nothing"/>
      <w:lvlText w:val="%1、"/>
      <w:lvlJc w:val="left"/>
    </w:lvl>
  </w:abstractNum>
  <w:abstractNum w:abstractNumId="10">
    <w:nsid w:val="AE2D8F7B"/>
    <w:multiLevelType w:val="singleLevel"/>
    <w:tmpl w:val="AE2D8F7B"/>
    <w:lvl w:ilvl="0" w:tentative="0">
      <w:start w:val="1"/>
      <w:numFmt w:val="decimal"/>
      <w:pStyle w:val="7"/>
      <w:lvlText w:val="%1."/>
      <w:lvlJc w:val="left"/>
      <w:pPr>
        <w:tabs>
          <w:tab w:val="left" w:pos="360"/>
        </w:tabs>
        <w:ind w:left="360" w:hanging="360"/>
      </w:pPr>
    </w:lvl>
  </w:abstractNum>
  <w:abstractNum w:abstractNumId="11">
    <w:nsid w:val="B96C9582"/>
    <w:multiLevelType w:val="singleLevel"/>
    <w:tmpl w:val="B96C9582"/>
    <w:lvl w:ilvl="0" w:tentative="0">
      <w:start w:val="2"/>
      <w:numFmt w:val="decimal"/>
      <w:suff w:val="nothing"/>
      <w:lvlText w:val="%1、"/>
      <w:lvlJc w:val="left"/>
    </w:lvl>
  </w:abstractNum>
  <w:abstractNum w:abstractNumId="12">
    <w:nsid w:val="B9B40BE5"/>
    <w:multiLevelType w:val="singleLevel"/>
    <w:tmpl w:val="B9B40BE5"/>
    <w:lvl w:ilvl="0" w:tentative="0">
      <w:start w:val="1"/>
      <w:numFmt w:val="decimal"/>
      <w:suff w:val="nothing"/>
      <w:lvlText w:val="%1、"/>
      <w:lvlJc w:val="left"/>
    </w:lvl>
  </w:abstractNum>
  <w:abstractNum w:abstractNumId="13">
    <w:nsid w:val="BE0D6149"/>
    <w:multiLevelType w:val="singleLevel"/>
    <w:tmpl w:val="BE0D6149"/>
    <w:lvl w:ilvl="0" w:tentative="0">
      <w:start w:val="1"/>
      <w:numFmt w:val="decimal"/>
      <w:suff w:val="nothing"/>
      <w:lvlText w:val="%1、"/>
      <w:lvlJc w:val="left"/>
    </w:lvl>
  </w:abstractNum>
  <w:abstractNum w:abstractNumId="14">
    <w:nsid w:val="C295BF5C"/>
    <w:multiLevelType w:val="singleLevel"/>
    <w:tmpl w:val="C295BF5C"/>
    <w:lvl w:ilvl="0" w:tentative="0">
      <w:start w:val="1"/>
      <w:numFmt w:val="decimal"/>
      <w:suff w:val="nothing"/>
      <w:lvlText w:val="%1、"/>
      <w:lvlJc w:val="left"/>
    </w:lvl>
  </w:abstractNum>
  <w:abstractNum w:abstractNumId="15">
    <w:nsid w:val="C8A3F0D0"/>
    <w:multiLevelType w:val="singleLevel"/>
    <w:tmpl w:val="C8A3F0D0"/>
    <w:lvl w:ilvl="0" w:tentative="0">
      <w:start w:val="2"/>
      <w:numFmt w:val="chineseCounting"/>
      <w:suff w:val="nothing"/>
      <w:lvlText w:val="（%1）"/>
      <w:lvlJc w:val="left"/>
      <w:pPr>
        <w:ind w:left="140" w:firstLine="0"/>
      </w:pPr>
      <w:rPr>
        <w:rFonts w:hint="eastAsia"/>
      </w:rPr>
    </w:lvl>
  </w:abstractNum>
  <w:abstractNum w:abstractNumId="16">
    <w:nsid w:val="DBA86601"/>
    <w:multiLevelType w:val="singleLevel"/>
    <w:tmpl w:val="DBA86601"/>
    <w:lvl w:ilvl="0" w:tentative="0">
      <w:start w:val="1"/>
      <w:numFmt w:val="decimal"/>
      <w:suff w:val="nothing"/>
      <w:lvlText w:val="%1、"/>
      <w:lvlJc w:val="left"/>
    </w:lvl>
  </w:abstractNum>
  <w:abstractNum w:abstractNumId="17">
    <w:nsid w:val="DE1870F9"/>
    <w:multiLevelType w:val="singleLevel"/>
    <w:tmpl w:val="DE1870F9"/>
    <w:lvl w:ilvl="0" w:tentative="0">
      <w:start w:val="1"/>
      <w:numFmt w:val="decimal"/>
      <w:suff w:val="nothing"/>
      <w:lvlText w:val="%1、"/>
      <w:lvlJc w:val="left"/>
    </w:lvl>
  </w:abstractNum>
  <w:abstractNum w:abstractNumId="18">
    <w:nsid w:val="EAAC224A"/>
    <w:multiLevelType w:val="singleLevel"/>
    <w:tmpl w:val="EAAC224A"/>
    <w:lvl w:ilvl="0" w:tentative="0">
      <w:start w:val="1"/>
      <w:numFmt w:val="decimal"/>
      <w:suff w:val="nothing"/>
      <w:lvlText w:val="%1、"/>
      <w:lvlJc w:val="left"/>
    </w:lvl>
  </w:abstractNum>
  <w:abstractNum w:abstractNumId="19">
    <w:nsid w:val="EC359065"/>
    <w:multiLevelType w:val="singleLevel"/>
    <w:tmpl w:val="EC359065"/>
    <w:lvl w:ilvl="0" w:tentative="0">
      <w:start w:val="1"/>
      <w:numFmt w:val="decimal"/>
      <w:suff w:val="nothing"/>
      <w:lvlText w:val="%1、"/>
      <w:lvlJc w:val="left"/>
    </w:lvl>
  </w:abstractNum>
  <w:abstractNum w:abstractNumId="20">
    <w:nsid w:val="ECA49779"/>
    <w:multiLevelType w:val="singleLevel"/>
    <w:tmpl w:val="ECA49779"/>
    <w:lvl w:ilvl="0" w:tentative="0">
      <w:start w:val="1"/>
      <w:numFmt w:val="decimal"/>
      <w:suff w:val="nothing"/>
      <w:lvlText w:val="%1、"/>
      <w:lvlJc w:val="left"/>
    </w:lvl>
  </w:abstractNum>
  <w:abstractNum w:abstractNumId="21">
    <w:nsid w:val="EF7BFEC3"/>
    <w:multiLevelType w:val="singleLevel"/>
    <w:tmpl w:val="EF7BFEC3"/>
    <w:lvl w:ilvl="0" w:tentative="0">
      <w:start w:val="1"/>
      <w:numFmt w:val="decimal"/>
      <w:suff w:val="nothing"/>
      <w:lvlText w:val="%1、"/>
      <w:lvlJc w:val="left"/>
    </w:lvl>
  </w:abstractNum>
  <w:abstractNum w:abstractNumId="22">
    <w:nsid w:val="F61ED7D8"/>
    <w:multiLevelType w:val="singleLevel"/>
    <w:tmpl w:val="F61ED7D8"/>
    <w:lvl w:ilvl="0" w:tentative="0">
      <w:start w:val="1"/>
      <w:numFmt w:val="decimal"/>
      <w:suff w:val="nothing"/>
      <w:lvlText w:val="%1、"/>
      <w:lvlJc w:val="left"/>
    </w:lvl>
  </w:abstractNum>
  <w:abstractNum w:abstractNumId="23">
    <w:nsid w:val="FC0094A0"/>
    <w:multiLevelType w:val="singleLevel"/>
    <w:tmpl w:val="FC0094A0"/>
    <w:lvl w:ilvl="0" w:tentative="0">
      <w:start w:val="1"/>
      <w:numFmt w:val="decimal"/>
      <w:suff w:val="nothing"/>
      <w:lvlText w:val="%1、"/>
      <w:lvlJc w:val="left"/>
    </w:lvl>
  </w:abstractNum>
  <w:abstractNum w:abstractNumId="24">
    <w:nsid w:val="00000002"/>
    <w:multiLevelType w:val="multilevel"/>
    <w:tmpl w:val="00000002"/>
    <w:lvl w:ilvl="0" w:tentative="0">
      <w:start w:val="1"/>
      <w:numFmt w:val="decimal"/>
      <w:pStyle w:val="3"/>
      <w:lvlText w:val="%1."/>
      <w:lvlJc w:val="left"/>
      <w:pPr>
        <w:tabs>
          <w:tab w:val="left" w:pos="851"/>
        </w:tabs>
        <w:ind w:left="851" w:hanging="851"/>
      </w:pPr>
      <w:rPr>
        <w:b/>
        <w:i w:val="0"/>
        <w:sz w:val="28"/>
      </w:rPr>
    </w:lvl>
    <w:lvl w:ilvl="1" w:tentative="0">
      <w:start w:val="1"/>
      <w:numFmt w:val="decimal"/>
      <w:lvlText w:val="%1.%2."/>
      <w:lvlJc w:val="left"/>
      <w:pPr>
        <w:tabs>
          <w:tab w:val="left" w:pos="851"/>
        </w:tabs>
        <w:ind w:left="851" w:hanging="851"/>
      </w:pPr>
      <w:rPr>
        <w:b w:val="0"/>
        <w:i w:val="0"/>
        <w:sz w:val="24"/>
      </w:rPr>
    </w:lvl>
    <w:lvl w:ilvl="2" w:tentative="0">
      <w:start w:val="1"/>
      <w:numFmt w:val="decimal"/>
      <w:lvlText w:val="%1.%2.%3."/>
      <w:lvlJc w:val="left"/>
      <w:pPr>
        <w:tabs>
          <w:tab w:val="left" w:pos="851"/>
        </w:tabs>
        <w:ind w:left="851" w:hanging="851"/>
      </w:pPr>
      <w:rPr>
        <w:b w:val="0"/>
        <w:i w:val="0"/>
        <w:sz w:val="24"/>
      </w:rPr>
    </w:lvl>
    <w:lvl w:ilvl="3" w:tentative="0">
      <w:start w:val="1"/>
      <w:numFmt w:val="decimal"/>
      <w:lvlText w:val="%1.%2.%3.%4."/>
      <w:lvlJc w:val="left"/>
      <w:pPr>
        <w:tabs>
          <w:tab w:val="left" w:pos="1800"/>
        </w:tabs>
        <w:ind w:left="1728" w:hanging="648"/>
      </w:pPr>
    </w:lvl>
    <w:lvl w:ilvl="4" w:tentative="0">
      <w:start w:val="1"/>
      <w:numFmt w:val="decimal"/>
      <w:lvlText w:val="%1.%2.%3.%4.%5."/>
      <w:lvlJc w:val="left"/>
      <w:pPr>
        <w:tabs>
          <w:tab w:val="left" w:pos="2520"/>
        </w:tabs>
        <w:ind w:left="2232" w:hanging="792"/>
      </w:pPr>
    </w:lvl>
    <w:lvl w:ilvl="5" w:tentative="0">
      <w:start w:val="1"/>
      <w:numFmt w:val="decimal"/>
      <w:lvlText w:val="%1.%2.%3.%4.%5.%6."/>
      <w:lvlJc w:val="left"/>
      <w:pPr>
        <w:tabs>
          <w:tab w:val="left" w:pos="2880"/>
        </w:tabs>
        <w:ind w:left="2736" w:hanging="936"/>
      </w:pPr>
    </w:lvl>
    <w:lvl w:ilvl="6" w:tentative="0">
      <w:start w:val="1"/>
      <w:numFmt w:val="decimal"/>
      <w:lvlText w:val="%1.%2.%3.%4.%5.%6.%7."/>
      <w:lvlJc w:val="left"/>
      <w:pPr>
        <w:tabs>
          <w:tab w:val="left" w:pos="3600"/>
        </w:tabs>
        <w:ind w:left="3240" w:hanging="1080"/>
      </w:pPr>
    </w:lvl>
    <w:lvl w:ilvl="7" w:tentative="0">
      <w:start w:val="1"/>
      <w:numFmt w:val="decimal"/>
      <w:lvlText w:val="%1.%2.%3.%4.%5.%6.%7.%8."/>
      <w:lvlJc w:val="left"/>
      <w:pPr>
        <w:tabs>
          <w:tab w:val="left" w:pos="3960"/>
        </w:tabs>
        <w:ind w:left="3744" w:hanging="1224"/>
      </w:pPr>
    </w:lvl>
    <w:lvl w:ilvl="8" w:tentative="0">
      <w:start w:val="1"/>
      <w:numFmt w:val="decimal"/>
      <w:lvlText w:val="%1.%2.%3.%4.%5.%6.%7.%8.%9."/>
      <w:lvlJc w:val="left"/>
      <w:pPr>
        <w:tabs>
          <w:tab w:val="left" w:pos="4680"/>
        </w:tabs>
        <w:ind w:left="4320" w:hanging="1440"/>
      </w:pPr>
    </w:lvl>
  </w:abstractNum>
  <w:abstractNum w:abstractNumId="25">
    <w:nsid w:val="045689B5"/>
    <w:multiLevelType w:val="singleLevel"/>
    <w:tmpl w:val="045689B5"/>
    <w:lvl w:ilvl="0" w:tentative="0">
      <w:start w:val="1"/>
      <w:numFmt w:val="decimal"/>
      <w:suff w:val="nothing"/>
      <w:lvlText w:val="%1、"/>
      <w:lvlJc w:val="left"/>
    </w:lvl>
  </w:abstractNum>
  <w:abstractNum w:abstractNumId="26">
    <w:nsid w:val="155632E3"/>
    <w:multiLevelType w:val="singleLevel"/>
    <w:tmpl w:val="155632E3"/>
    <w:lvl w:ilvl="0" w:tentative="0">
      <w:start w:val="1"/>
      <w:numFmt w:val="decimal"/>
      <w:suff w:val="nothing"/>
      <w:lvlText w:val="%1、"/>
      <w:lvlJc w:val="left"/>
    </w:lvl>
  </w:abstractNum>
  <w:abstractNum w:abstractNumId="27">
    <w:nsid w:val="16C0F94B"/>
    <w:multiLevelType w:val="singleLevel"/>
    <w:tmpl w:val="16C0F94B"/>
    <w:lvl w:ilvl="0" w:tentative="0">
      <w:start w:val="1"/>
      <w:numFmt w:val="decimal"/>
      <w:suff w:val="nothing"/>
      <w:lvlText w:val="%1、"/>
      <w:lvlJc w:val="left"/>
    </w:lvl>
  </w:abstractNum>
  <w:abstractNum w:abstractNumId="28">
    <w:nsid w:val="1DEC519F"/>
    <w:multiLevelType w:val="singleLevel"/>
    <w:tmpl w:val="1DEC519F"/>
    <w:lvl w:ilvl="0" w:tentative="0">
      <w:start w:val="1"/>
      <w:numFmt w:val="decimal"/>
      <w:suff w:val="nothing"/>
      <w:lvlText w:val="%1、"/>
      <w:lvlJc w:val="left"/>
    </w:lvl>
  </w:abstractNum>
  <w:abstractNum w:abstractNumId="29">
    <w:nsid w:val="236199EA"/>
    <w:multiLevelType w:val="singleLevel"/>
    <w:tmpl w:val="236199EA"/>
    <w:lvl w:ilvl="0" w:tentative="0">
      <w:start w:val="1"/>
      <w:numFmt w:val="decimal"/>
      <w:suff w:val="nothing"/>
      <w:lvlText w:val="%1、"/>
      <w:lvlJc w:val="left"/>
    </w:lvl>
  </w:abstractNum>
  <w:abstractNum w:abstractNumId="30">
    <w:nsid w:val="2A02E03C"/>
    <w:multiLevelType w:val="singleLevel"/>
    <w:tmpl w:val="2A02E03C"/>
    <w:lvl w:ilvl="0" w:tentative="0">
      <w:start w:val="1"/>
      <w:numFmt w:val="decimal"/>
      <w:suff w:val="nothing"/>
      <w:lvlText w:val="%1、"/>
      <w:lvlJc w:val="left"/>
    </w:lvl>
  </w:abstractNum>
  <w:abstractNum w:abstractNumId="31">
    <w:nsid w:val="2DA33F31"/>
    <w:multiLevelType w:val="singleLevel"/>
    <w:tmpl w:val="2DA33F31"/>
    <w:lvl w:ilvl="0" w:tentative="0">
      <w:start w:val="1"/>
      <w:numFmt w:val="decimal"/>
      <w:suff w:val="nothing"/>
      <w:lvlText w:val="%1、"/>
      <w:lvlJc w:val="left"/>
    </w:lvl>
  </w:abstractNum>
  <w:abstractNum w:abstractNumId="32">
    <w:nsid w:val="3E8AA17F"/>
    <w:multiLevelType w:val="singleLevel"/>
    <w:tmpl w:val="3E8AA17F"/>
    <w:lvl w:ilvl="0" w:tentative="0">
      <w:start w:val="1"/>
      <w:numFmt w:val="decimal"/>
      <w:suff w:val="nothing"/>
      <w:lvlText w:val="%1、"/>
      <w:lvlJc w:val="left"/>
    </w:lvl>
  </w:abstractNum>
  <w:abstractNum w:abstractNumId="33">
    <w:nsid w:val="42C3A23A"/>
    <w:multiLevelType w:val="singleLevel"/>
    <w:tmpl w:val="42C3A23A"/>
    <w:lvl w:ilvl="0" w:tentative="0">
      <w:start w:val="1"/>
      <w:numFmt w:val="decimal"/>
      <w:suff w:val="nothing"/>
      <w:lvlText w:val="%1、"/>
      <w:lvlJc w:val="left"/>
    </w:lvl>
  </w:abstractNum>
  <w:abstractNum w:abstractNumId="34">
    <w:nsid w:val="45205CDA"/>
    <w:multiLevelType w:val="singleLevel"/>
    <w:tmpl w:val="45205CDA"/>
    <w:lvl w:ilvl="0" w:tentative="0">
      <w:start w:val="1"/>
      <w:numFmt w:val="decimal"/>
      <w:suff w:val="nothing"/>
      <w:lvlText w:val="%1、"/>
      <w:lvlJc w:val="left"/>
    </w:lvl>
  </w:abstractNum>
  <w:abstractNum w:abstractNumId="35">
    <w:nsid w:val="4618361B"/>
    <w:multiLevelType w:val="singleLevel"/>
    <w:tmpl w:val="4618361B"/>
    <w:lvl w:ilvl="0" w:tentative="0">
      <w:start w:val="1"/>
      <w:numFmt w:val="decimal"/>
      <w:suff w:val="nothing"/>
      <w:lvlText w:val="%1、"/>
      <w:lvlJc w:val="left"/>
    </w:lvl>
  </w:abstractNum>
  <w:abstractNum w:abstractNumId="36">
    <w:nsid w:val="461E5E94"/>
    <w:multiLevelType w:val="singleLevel"/>
    <w:tmpl w:val="461E5E94"/>
    <w:lvl w:ilvl="0" w:tentative="0">
      <w:start w:val="2"/>
      <w:numFmt w:val="chineseCounting"/>
      <w:suff w:val="space"/>
      <w:lvlText w:val="第%1章"/>
      <w:lvlJc w:val="left"/>
      <w:rPr>
        <w:rFonts w:hint="eastAsia"/>
      </w:rPr>
    </w:lvl>
  </w:abstractNum>
  <w:abstractNum w:abstractNumId="37">
    <w:nsid w:val="471E06A1"/>
    <w:multiLevelType w:val="singleLevel"/>
    <w:tmpl w:val="471E06A1"/>
    <w:lvl w:ilvl="0" w:tentative="0">
      <w:start w:val="1"/>
      <w:numFmt w:val="japaneseCounting"/>
      <w:lvlText w:val="%1、"/>
      <w:lvlJc w:val="left"/>
      <w:pPr>
        <w:tabs>
          <w:tab w:val="left" w:pos="960"/>
        </w:tabs>
        <w:ind w:left="960" w:hanging="600"/>
      </w:pPr>
      <w:rPr>
        <w:rFonts w:hint="eastAsia"/>
      </w:rPr>
    </w:lvl>
  </w:abstractNum>
  <w:abstractNum w:abstractNumId="38">
    <w:nsid w:val="48194D02"/>
    <w:multiLevelType w:val="singleLevel"/>
    <w:tmpl w:val="48194D02"/>
    <w:lvl w:ilvl="0" w:tentative="0">
      <w:start w:val="1"/>
      <w:numFmt w:val="decimal"/>
      <w:suff w:val="nothing"/>
      <w:lvlText w:val="%1、"/>
      <w:lvlJc w:val="left"/>
    </w:lvl>
  </w:abstractNum>
  <w:abstractNum w:abstractNumId="39">
    <w:nsid w:val="5DBBD436"/>
    <w:multiLevelType w:val="singleLevel"/>
    <w:tmpl w:val="5DBBD436"/>
    <w:lvl w:ilvl="0" w:tentative="0">
      <w:start w:val="1"/>
      <w:numFmt w:val="decimal"/>
      <w:suff w:val="nothing"/>
      <w:lvlText w:val="%1、"/>
      <w:lvlJc w:val="left"/>
    </w:lvl>
  </w:abstractNum>
  <w:abstractNum w:abstractNumId="40">
    <w:nsid w:val="65212F96"/>
    <w:multiLevelType w:val="singleLevel"/>
    <w:tmpl w:val="65212F96"/>
    <w:lvl w:ilvl="0" w:tentative="0">
      <w:start w:val="1"/>
      <w:numFmt w:val="decimal"/>
      <w:suff w:val="nothing"/>
      <w:lvlText w:val="%1、"/>
      <w:lvlJc w:val="left"/>
    </w:lvl>
  </w:abstractNum>
  <w:abstractNum w:abstractNumId="41">
    <w:nsid w:val="68B8164C"/>
    <w:multiLevelType w:val="singleLevel"/>
    <w:tmpl w:val="68B8164C"/>
    <w:lvl w:ilvl="0" w:tentative="0">
      <w:start w:val="1"/>
      <w:numFmt w:val="decimal"/>
      <w:suff w:val="nothing"/>
      <w:lvlText w:val="%1、"/>
      <w:lvlJc w:val="left"/>
    </w:lvl>
  </w:abstractNum>
  <w:abstractNum w:abstractNumId="42">
    <w:nsid w:val="6E362B87"/>
    <w:multiLevelType w:val="singleLevel"/>
    <w:tmpl w:val="6E362B87"/>
    <w:lvl w:ilvl="0" w:tentative="0">
      <w:start w:val="1"/>
      <w:numFmt w:val="decimal"/>
      <w:suff w:val="nothing"/>
      <w:lvlText w:val="%1、"/>
      <w:lvlJc w:val="left"/>
    </w:lvl>
  </w:abstractNum>
  <w:num w:numId="1">
    <w:abstractNumId w:val="24"/>
  </w:num>
  <w:num w:numId="2">
    <w:abstractNumId w:val="10"/>
  </w:num>
  <w:num w:numId="3">
    <w:abstractNumId w:val="37"/>
  </w:num>
  <w:num w:numId="4">
    <w:abstractNumId w:val="36"/>
  </w:num>
  <w:num w:numId="5">
    <w:abstractNumId w:val="15"/>
  </w:num>
  <w:num w:numId="6">
    <w:abstractNumId w:val="19"/>
  </w:num>
  <w:num w:numId="7">
    <w:abstractNumId w:val="22"/>
  </w:num>
  <w:num w:numId="8">
    <w:abstractNumId w:val="11"/>
  </w:num>
  <w:num w:numId="9">
    <w:abstractNumId w:val="7"/>
  </w:num>
  <w:num w:numId="10">
    <w:abstractNumId w:val="18"/>
  </w:num>
  <w:num w:numId="11">
    <w:abstractNumId w:val="8"/>
  </w:num>
  <w:num w:numId="12">
    <w:abstractNumId w:val="12"/>
  </w:num>
  <w:num w:numId="13">
    <w:abstractNumId w:val="16"/>
  </w:num>
  <w:num w:numId="14">
    <w:abstractNumId w:val="20"/>
  </w:num>
  <w:num w:numId="15">
    <w:abstractNumId w:val="14"/>
  </w:num>
  <w:num w:numId="16">
    <w:abstractNumId w:val="31"/>
  </w:num>
  <w:num w:numId="17">
    <w:abstractNumId w:val="34"/>
  </w:num>
  <w:num w:numId="18">
    <w:abstractNumId w:val="25"/>
  </w:num>
  <w:num w:numId="19">
    <w:abstractNumId w:val="40"/>
  </w:num>
  <w:num w:numId="20">
    <w:abstractNumId w:val="23"/>
  </w:num>
  <w:num w:numId="21">
    <w:abstractNumId w:val="5"/>
  </w:num>
  <w:num w:numId="22">
    <w:abstractNumId w:val="21"/>
  </w:num>
  <w:num w:numId="23">
    <w:abstractNumId w:val="41"/>
  </w:num>
  <w:num w:numId="24">
    <w:abstractNumId w:val="17"/>
  </w:num>
  <w:num w:numId="25">
    <w:abstractNumId w:val="1"/>
  </w:num>
  <w:num w:numId="26">
    <w:abstractNumId w:val="29"/>
  </w:num>
  <w:num w:numId="27">
    <w:abstractNumId w:val="35"/>
  </w:num>
  <w:num w:numId="28">
    <w:abstractNumId w:val="42"/>
  </w:num>
  <w:num w:numId="29">
    <w:abstractNumId w:val="6"/>
  </w:num>
  <w:num w:numId="30">
    <w:abstractNumId w:val="32"/>
  </w:num>
  <w:num w:numId="31">
    <w:abstractNumId w:val="13"/>
  </w:num>
  <w:num w:numId="32">
    <w:abstractNumId w:val="0"/>
  </w:num>
  <w:num w:numId="33">
    <w:abstractNumId w:val="9"/>
  </w:num>
  <w:num w:numId="34">
    <w:abstractNumId w:val="3"/>
  </w:num>
  <w:num w:numId="35">
    <w:abstractNumId w:val="2"/>
  </w:num>
  <w:num w:numId="36">
    <w:abstractNumId w:val="39"/>
  </w:num>
  <w:num w:numId="37">
    <w:abstractNumId w:val="30"/>
  </w:num>
  <w:num w:numId="38">
    <w:abstractNumId w:val="26"/>
  </w:num>
  <w:num w:numId="39">
    <w:abstractNumId w:val="4"/>
  </w:num>
  <w:num w:numId="40">
    <w:abstractNumId w:val="33"/>
  </w:num>
  <w:num w:numId="41">
    <w:abstractNumId w:val="28"/>
  </w:num>
  <w:num w:numId="42">
    <w:abstractNumId w:val="38"/>
  </w:num>
  <w:num w:numId="4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4A50F8"/>
    <w:rsid w:val="000126F7"/>
    <w:rsid w:val="00013AB4"/>
    <w:rsid w:val="00017CFA"/>
    <w:rsid w:val="00026F9B"/>
    <w:rsid w:val="00027AA6"/>
    <w:rsid w:val="000305E3"/>
    <w:rsid w:val="00044A1C"/>
    <w:rsid w:val="000558A0"/>
    <w:rsid w:val="00083B34"/>
    <w:rsid w:val="000933BA"/>
    <w:rsid w:val="0009793C"/>
    <w:rsid w:val="000A1AE8"/>
    <w:rsid w:val="000B7AB8"/>
    <w:rsid w:val="000C119D"/>
    <w:rsid w:val="000D2827"/>
    <w:rsid w:val="000F1694"/>
    <w:rsid w:val="000F17C9"/>
    <w:rsid w:val="000F209B"/>
    <w:rsid w:val="000F63FE"/>
    <w:rsid w:val="001007A3"/>
    <w:rsid w:val="00100FFB"/>
    <w:rsid w:val="001101CB"/>
    <w:rsid w:val="00113FF1"/>
    <w:rsid w:val="0013249C"/>
    <w:rsid w:val="00144F8B"/>
    <w:rsid w:val="00153832"/>
    <w:rsid w:val="001568DF"/>
    <w:rsid w:val="00160518"/>
    <w:rsid w:val="00164D3A"/>
    <w:rsid w:val="0016511A"/>
    <w:rsid w:val="001726E0"/>
    <w:rsid w:val="001732EB"/>
    <w:rsid w:val="001A7625"/>
    <w:rsid w:val="001B532E"/>
    <w:rsid w:val="001B6958"/>
    <w:rsid w:val="001C3EFD"/>
    <w:rsid w:val="001C5C38"/>
    <w:rsid w:val="001E1894"/>
    <w:rsid w:val="001E2DAC"/>
    <w:rsid w:val="00204247"/>
    <w:rsid w:val="00211F70"/>
    <w:rsid w:val="0021500E"/>
    <w:rsid w:val="00227C55"/>
    <w:rsid w:val="00277C56"/>
    <w:rsid w:val="00290F06"/>
    <w:rsid w:val="002A69F1"/>
    <w:rsid w:val="002A7B40"/>
    <w:rsid w:val="002B11AB"/>
    <w:rsid w:val="002B2E71"/>
    <w:rsid w:val="002B403E"/>
    <w:rsid w:val="002B4EDD"/>
    <w:rsid w:val="002D6BC9"/>
    <w:rsid w:val="002F757E"/>
    <w:rsid w:val="002F7D40"/>
    <w:rsid w:val="0032436F"/>
    <w:rsid w:val="00325AE2"/>
    <w:rsid w:val="00332A91"/>
    <w:rsid w:val="003340FA"/>
    <w:rsid w:val="00334889"/>
    <w:rsid w:val="00337543"/>
    <w:rsid w:val="00345637"/>
    <w:rsid w:val="003479D6"/>
    <w:rsid w:val="00353386"/>
    <w:rsid w:val="00360BB1"/>
    <w:rsid w:val="00372283"/>
    <w:rsid w:val="003A6F02"/>
    <w:rsid w:val="003B2DE3"/>
    <w:rsid w:val="003B5DDA"/>
    <w:rsid w:val="003E43E4"/>
    <w:rsid w:val="003E6014"/>
    <w:rsid w:val="003F138E"/>
    <w:rsid w:val="00401AE7"/>
    <w:rsid w:val="00415168"/>
    <w:rsid w:val="00415E49"/>
    <w:rsid w:val="00417393"/>
    <w:rsid w:val="004237A6"/>
    <w:rsid w:val="00433FB4"/>
    <w:rsid w:val="00447086"/>
    <w:rsid w:val="0044718C"/>
    <w:rsid w:val="00450FB6"/>
    <w:rsid w:val="00461DF2"/>
    <w:rsid w:val="00464C76"/>
    <w:rsid w:val="00473CAF"/>
    <w:rsid w:val="004747DF"/>
    <w:rsid w:val="00476784"/>
    <w:rsid w:val="004A50F8"/>
    <w:rsid w:val="004C1204"/>
    <w:rsid w:val="004C268A"/>
    <w:rsid w:val="004D1AF7"/>
    <w:rsid w:val="004D2D9F"/>
    <w:rsid w:val="004E314D"/>
    <w:rsid w:val="004E79A7"/>
    <w:rsid w:val="004F2BBB"/>
    <w:rsid w:val="004F49CA"/>
    <w:rsid w:val="00500839"/>
    <w:rsid w:val="00501718"/>
    <w:rsid w:val="00502221"/>
    <w:rsid w:val="00510158"/>
    <w:rsid w:val="00525815"/>
    <w:rsid w:val="0054197A"/>
    <w:rsid w:val="00543BCE"/>
    <w:rsid w:val="00551C57"/>
    <w:rsid w:val="0056601C"/>
    <w:rsid w:val="0057308C"/>
    <w:rsid w:val="0057563B"/>
    <w:rsid w:val="005A45B9"/>
    <w:rsid w:val="005D77E2"/>
    <w:rsid w:val="00606AF7"/>
    <w:rsid w:val="0060758C"/>
    <w:rsid w:val="00611E55"/>
    <w:rsid w:val="00624C3E"/>
    <w:rsid w:val="00644E10"/>
    <w:rsid w:val="006638EF"/>
    <w:rsid w:val="0067527B"/>
    <w:rsid w:val="006765F5"/>
    <w:rsid w:val="00686261"/>
    <w:rsid w:val="006965A7"/>
    <w:rsid w:val="006A417A"/>
    <w:rsid w:val="006B371C"/>
    <w:rsid w:val="006B5341"/>
    <w:rsid w:val="006E4EAA"/>
    <w:rsid w:val="006F6DA0"/>
    <w:rsid w:val="00700480"/>
    <w:rsid w:val="00705FD1"/>
    <w:rsid w:val="00707467"/>
    <w:rsid w:val="00711EDA"/>
    <w:rsid w:val="00714E33"/>
    <w:rsid w:val="00724399"/>
    <w:rsid w:val="00726101"/>
    <w:rsid w:val="00727F74"/>
    <w:rsid w:val="00731B97"/>
    <w:rsid w:val="00747902"/>
    <w:rsid w:val="007547EE"/>
    <w:rsid w:val="00770566"/>
    <w:rsid w:val="00782478"/>
    <w:rsid w:val="00790122"/>
    <w:rsid w:val="00795CCE"/>
    <w:rsid w:val="007A7A3D"/>
    <w:rsid w:val="007C6F2E"/>
    <w:rsid w:val="007E0C8D"/>
    <w:rsid w:val="007E7115"/>
    <w:rsid w:val="007F236E"/>
    <w:rsid w:val="007F436E"/>
    <w:rsid w:val="007F47A9"/>
    <w:rsid w:val="00815677"/>
    <w:rsid w:val="00827E31"/>
    <w:rsid w:val="00857D32"/>
    <w:rsid w:val="00877207"/>
    <w:rsid w:val="0088789B"/>
    <w:rsid w:val="0089153D"/>
    <w:rsid w:val="0089727F"/>
    <w:rsid w:val="008B0791"/>
    <w:rsid w:val="008B2CF9"/>
    <w:rsid w:val="008C2B5A"/>
    <w:rsid w:val="008C39FD"/>
    <w:rsid w:val="008D1A3A"/>
    <w:rsid w:val="008D5066"/>
    <w:rsid w:val="00904C37"/>
    <w:rsid w:val="00905B87"/>
    <w:rsid w:val="00910AD9"/>
    <w:rsid w:val="0092108B"/>
    <w:rsid w:val="0094300A"/>
    <w:rsid w:val="00947992"/>
    <w:rsid w:val="00954C33"/>
    <w:rsid w:val="0096282E"/>
    <w:rsid w:val="00962ADB"/>
    <w:rsid w:val="00983729"/>
    <w:rsid w:val="009903BC"/>
    <w:rsid w:val="009A1A7D"/>
    <w:rsid w:val="009A2AFB"/>
    <w:rsid w:val="009A4A5D"/>
    <w:rsid w:val="009B2386"/>
    <w:rsid w:val="009C0921"/>
    <w:rsid w:val="009C72D9"/>
    <w:rsid w:val="009D233E"/>
    <w:rsid w:val="009D796C"/>
    <w:rsid w:val="00A01449"/>
    <w:rsid w:val="00A45158"/>
    <w:rsid w:val="00A55201"/>
    <w:rsid w:val="00A72558"/>
    <w:rsid w:val="00A852FE"/>
    <w:rsid w:val="00A86348"/>
    <w:rsid w:val="00A943CA"/>
    <w:rsid w:val="00A94B91"/>
    <w:rsid w:val="00AD270B"/>
    <w:rsid w:val="00AD6E97"/>
    <w:rsid w:val="00AF62A2"/>
    <w:rsid w:val="00B144E8"/>
    <w:rsid w:val="00B20612"/>
    <w:rsid w:val="00B21C9D"/>
    <w:rsid w:val="00B4159E"/>
    <w:rsid w:val="00B446DF"/>
    <w:rsid w:val="00B64AAE"/>
    <w:rsid w:val="00B73D82"/>
    <w:rsid w:val="00B762F0"/>
    <w:rsid w:val="00B910EC"/>
    <w:rsid w:val="00B92F65"/>
    <w:rsid w:val="00BB124D"/>
    <w:rsid w:val="00BB2B05"/>
    <w:rsid w:val="00BB725E"/>
    <w:rsid w:val="00BD09EB"/>
    <w:rsid w:val="00BE6E98"/>
    <w:rsid w:val="00BF3AAC"/>
    <w:rsid w:val="00BF6FA5"/>
    <w:rsid w:val="00C01553"/>
    <w:rsid w:val="00C01FBF"/>
    <w:rsid w:val="00C269BF"/>
    <w:rsid w:val="00C5353B"/>
    <w:rsid w:val="00C555B6"/>
    <w:rsid w:val="00C61B72"/>
    <w:rsid w:val="00C61D6D"/>
    <w:rsid w:val="00C63AE8"/>
    <w:rsid w:val="00C72D3E"/>
    <w:rsid w:val="00C872A0"/>
    <w:rsid w:val="00CC19F0"/>
    <w:rsid w:val="00CC3F3A"/>
    <w:rsid w:val="00CC62CC"/>
    <w:rsid w:val="00CE2562"/>
    <w:rsid w:val="00CE4ABB"/>
    <w:rsid w:val="00D1714F"/>
    <w:rsid w:val="00D247AB"/>
    <w:rsid w:val="00D377FF"/>
    <w:rsid w:val="00D432DB"/>
    <w:rsid w:val="00D4450D"/>
    <w:rsid w:val="00D456F2"/>
    <w:rsid w:val="00D52498"/>
    <w:rsid w:val="00D61F43"/>
    <w:rsid w:val="00D66A44"/>
    <w:rsid w:val="00D723AA"/>
    <w:rsid w:val="00D73EBD"/>
    <w:rsid w:val="00D75289"/>
    <w:rsid w:val="00D84233"/>
    <w:rsid w:val="00D91EC1"/>
    <w:rsid w:val="00DA442F"/>
    <w:rsid w:val="00DB20AE"/>
    <w:rsid w:val="00DC1FAA"/>
    <w:rsid w:val="00DD653C"/>
    <w:rsid w:val="00DE26F8"/>
    <w:rsid w:val="00E049F3"/>
    <w:rsid w:val="00E05C4F"/>
    <w:rsid w:val="00E0610F"/>
    <w:rsid w:val="00E13CC2"/>
    <w:rsid w:val="00E25B68"/>
    <w:rsid w:val="00E4237F"/>
    <w:rsid w:val="00E830B4"/>
    <w:rsid w:val="00E86590"/>
    <w:rsid w:val="00EB65AC"/>
    <w:rsid w:val="00EB6CA2"/>
    <w:rsid w:val="00EE730C"/>
    <w:rsid w:val="00EF4DB8"/>
    <w:rsid w:val="00EF4E79"/>
    <w:rsid w:val="00F018CF"/>
    <w:rsid w:val="00F03820"/>
    <w:rsid w:val="00F13592"/>
    <w:rsid w:val="00F17D27"/>
    <w:rsid w:val="00F20A74"/>
    <w:rsid w:val="00F36B3F"/>
    <w:rsid w:val="00F41307"/>
    <w:rsid w:val="00F41BA5"/>
    <w:rsid w:val="00F43AA5"/>
    <w:rsid w:val="00F44E4F"/>
    <w:rsid w:val="00F50A22"/>
    <w:rsid w:val="00F50DAC"/>
    <w:rsid w:val="00F66723"/>
    <w:rsid w:val="00F71F35"/>
    <w:rsid w:val="00F73672"/>
    <w:rsid w:val="00FA3269"/>
    <w:rsid w:val="00FA33B4"/>
    <w:rsid w:val="00FD1A4B"/>
    <w:rsid w:val="00FD2E82"/>
    <w:rsid w:val="00FD5A52"/>
    <w:rsid w:val="00FE3EFE"/>
    <w:rsid w:val="00FF64ED"/>
    <w:rsid w:val="02E052EA"/>
    <w:rsid w:val="03B2127D"/>
    <w:rsid w:val="0631439C"/>
    <w:rsid w:val="08197E3A"/>
    <w:rsid w:val="0A243166"/>
    <w:rsid w:val="0D0716A4"/>
    <w:rsid w:val="0E937EDA"/>
    <w:rsid w:val="0EC164BB"/>
    <w:rsid w:val="0F703CA0"/>
    <w:rsid w:val="1064724C"/>
    <w:rsid w:val="10A81D9A"/>
    <w:rsid w:val="12805C99"/>
    <w:rsid w:val="154478E6"/>
    <w:rsid w:val="1590433F"/>
    <w:rsid w:val="19AE41E7"/>
    <w:rsid w:val="1A305193"/>
    <w:rsid w:val="1A4B6382"/>
    <w:rsid w:val="1BAA6065"/>
    <w:rsid w:val="1D622BD5"/>
    <w:rsid w:val="1DCF4EA2"/>
    <w:rsid w:val="1E205E5C"/>
    <w:rsid w:val="204C3E5F"/>
    <w:rsid w:val="21131CEE"/>
    <w:rsid w:val="21842C25"/>
    <w:rsid w:val="22E46D74"/>
    <w:rsid w:val="296126FC"/>
    <w:rsid w:val="298D5D60"/>
    <w:rsid w:val="2A247CEB"/>
    <w:rsid w:val="2AD135B0"/>
    <w:rsid w:val="2B390FBE"/>
    <w:rsid w:val="2C380A95"/>
    <w:rsid w:val="2CE87DF7"/>
    <w:rsid w:val="2D6A6297"/>
    <w:rsid w:val="2DBD6A72"/>
    <w:rsid w:val="2EB226C7"/>
    <w:rsid w:val="2F3C5A35"/>
    <w:rsid w:val="2F423FDF"/>
    <w:rsid w:val="31726400"/>
    <w:rsid w:val="321A49C0"/>
    <w:rsid w:val="353C1EF5"/>
    <w:rsid w:val="356D3B2B"/>
    <w:rsid w:val="35980F94"/>
    <w:rsid w:val="37D164D2"/>
    <w:rsid w:val="37E23BD9"/>
    <w:rsid w:val="37E25E99"/>
    <w:rsid w:val="3893188A"/>
    <w:rsid w:val="38DD0F1D"/>
    <w:rsid w:val="39025CA6"/>
    <w:rsid w:val="39D57540"/>
    <w:rsid w:val="39F256F9"/>
    <w:rsid w:val="3AC16CAA"/>
    <w:rsid w:val="3BC04D99"/>
    <w:rsid w:val="3BEC5A2B"/>
    <w:rsid w:val="3C983375"/>
    <w:rsid w:val="3D730932"/>
    <w:rsid w:val="3DA73BB8"/>
    <w:rsid w:val="412E6317"/>
    <w:rsid w:val="41DD2DB7"/>
    <w:rsid w:val="45C95BD7"/>
    <w:rsid w:val="4AB540AB"/>
    <w:rsid w:val="4B8C262F"/>
    <w:rsid w:val="4CDA1A2A"/>
    <w:rsid w:val="4CF66533"/>
    <w:rsid w:val="4D8E1545"/>
    <w:rsid w:val="50763B59"/>
    <w:rsid w:val="51166337"/>
    <w:rsid w:val="51C12FCF"/>
    <w:rsid w:val="52286339"/>
    <w:rsid w:val="53787E36"/>
    <w:rsid w:val="54584869"/>
    <w:rsid w:val="55E53CA2"/>
    <w:rsid w:val="56735853"/>
    <w:rsid w:val="57657BBB"/>
    <w:rsid w:val="58702421"/>
    <w:rsid w:val="596978B2"/>
    <w:rsid w:val="599F39E4"/>
    <w:rsid w:val="5A791A1A"/>
    <w:rsid w:val="5AE5155C"/>
    <w:rsid w:val="5BA81093"/>
    <w:rsid w:val="5CE853CF"/>
    <w:rsid w:val="5D3E3234"/>
    <w:rsid w:val="5D4D367A"/>
    <w:rsid w:val="5D956504"/>
    <w:rsid w:val="5F4522AC"/>
    <w:rsid w:val="62747FA4"/>
    <w:rsid w:val="63FE2A5F"/>
    <w:rsid w:val="63FF6564"/>
    <w:rsid w:val="64002554"/>
    <w:rsid w:val="658A7F4C"/>
    <w:rsid w:val="68EE3D8B"/>
    <w:rsid w:val="69902E08"/>
    <w:rsid w:val="6A8D4DC4"/>
    <w:rsid w:val="6B1A5685"/>
    <w:rsid w:val="6B72370F"/>
    <w:rsid w:val="6C923E24"/>
    <w:rsid w:val="6CA01617"/>
    <w:rsid w:val="6CF668B8"/>
    <w:rsid w:val="6D441FBC"/>
    <w:rsid w:val="6D7E1F84"/>
    <w:rsid w:val="6E004D6A"/>
    <w:rsid w:val="6EA94DBD"/>
    <w:rsid w:val="6EB864EE"/>
    <w:rsid w:val="6F287C3B"/>
    <w:rsid w:val="72B53BE7"/>
    <w:rsid w:val="74B81C96"/>
    <w:rsid w:val="7540258C"/>
    <w:rsid w:val="755E04E5"/>
    <w:rsid w:val="758A6D4E"/>
    <w:rsid w:val="776D52D4"/>
    <w:rsid w:val="78B543EC"/>
    <w:rsid w:val="79CD5583"/>
    <w:rsid w:val="7A7E2FA1"/>
    <w:rsid w:val="7C71099A"/>
    <w:rsid w:val="7CB15AE5"/>
    <w:rsid w:val="7CCD1D72"/>
    <w:rsid w:val="7DB615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0" w:name="heading 3"/>
    <w:lsdException w:qFormat="1" w:uiPriority="9" w:name="heading 4"/>
    <w:lsdException w:qFormat="1" w:uiPriority="9" w:name="heading 5"/>
    <w:lsdException w:qFormat="1" w:uiPriority="9" w:name="heading 6"/>
    <w:lsdException w:qFormat="1" w:unhideWhenUsed="0" w:uiPriority="0"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numPr>
        <w:ilvl w:val="0"/>
        <w:numId w:val="1"/>
      </w:numPr>
      <w:spacing w:before="340" w:after="330" w:line="576" w:lineRule="auto"/>
      <w:outlineLvl w:val="0"/>
    </w:pPr>
    <w:rPr>
      <w:b/>
      <w:bCs/>
      <w:kern w:val="44"/>
      <w:sz w:val="44"/>
      <w:szCs w:val="44"/>
    </w:rPr>
  </w:style>
  <w:style w:type="paragraph" w:styleId="4">
    <w:name w:val="heading 2"/>
    <w:basedOn w:val="1"/>
    <w:next w:val="1"/>
    <w:link w:val="56"/>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7"/>
    <w:semiHidden/>
    <w:unhideWhenUsed/>
    <w:qFormat/>
    <w:uiPriority w:val="0"/>
    <w:pPr>
      <w:keepNext/>
      <w:keepLines/>
      <w:spacing w:before="260" w:after="260" w:line="416" w:lineRule="auto"/>
      <w:outlineLvl w:val="2"/>
    </w:pPr>
    <w:rPr>
      <w:b/>
      <w:bCs/>
      <w:sz w:val="32"/>
      <w:szCs w:val="32"/>
    </w:rPr>
  </w:style>
  <w:style w:type="paragraph" w:styleId="6">
    <w:name w:val="heading 7"/>
    <w:basedOn w:val="1"/>
    <w:next w:val="1"/>
    <w:link w:val="52"/>
    <w:qFormat/>
    <w:uiPriority w:val="0"/>
    <w:pPr>
      <w:keepNext/>
      <w:keepLines/>
      <w:spacing w:before="240" w:after="64" w:line="320" w:lineRule="auto"/>
      <w:outlineLvl w:val="6"/>
    </w:pPr>
    <w:rPr>
      <w:b/>
      <w:bCs/>
      <w:sz w:val="24"/>
    </w:rPr>
  </w:style>
  <w:style w:type="character" w:default="1" w:styleId="21">
    <w:name w:val="Default Paragraph Font"/>
    <w:unhideWhenUsed/>
    <w:qFormat/>
    <w:uiPriority w:val="1"/>
  </w:style>
  <w:style w:type="table" w:default="1" w:styleId="20">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link w:val="30"/>
    <w:qFormat/>
    <w:uiPriority w:val="0"/>
    <w:pPr>
      <w:spacing w:line="360" w:lineRule="exact"/>
    </w:pPr>
    <w:rPr>
      <w:sz w:val="24"/>
    </w:rPr>
  </w:style>
  <w:style w:type="paragraph" w:styleId="7">
    <w:name w:val="List Number"/>
    <w:basedOn w:val="1"/>
    <w:qFormat/>
    <w:uiPriority w:val="0"/>
    <w:pPr>
      <w:numPr>
        <w:ilvl w:val="0"/>
        <w:numId w:val="2"/>
      </w:numPr>
    </w:pPr>
  </w:style>
  <w:style w:type="paragraph" w:styleId="8">
    <w:name w:val="Normal Indent"/>
    <w:basedOn w:val="1"/>
    <w:link w:val="54"/>
    <w:qFormat/>
    <w:uiPriority w:val="0"/>
    <w:pPr>
      <w:ind w:firstLine="420"/>
    </w:pPr>
    <w:rPr>
      <w:szCs w:val="20"/>
    </w:rPr>
  </w:style>
  <w:style w:type="paragraph" w:styleId="9">
    <w:name w:val="annotation text"/>
    <w:basedOn w:val="1"/>
    <w:link w:val="28"/>
    <w:unhideWhenUsed/>
    <w:qFormat/>
    <w:uiPriority w:val="0"/>
    <w:pPr>
      <w:jc w:val="left"/>
    </w:pPr>
  </w:style>
  <w:style w:type="paragraph" w:styleId="10">
    <w:name w:val="Body Text Indent"/>
    <w:basedOn w:val="1"/>
    <w:link w:val="31"/>
    <w:qFormat/>
    <w:uiPriority w:val="0"/>
    <w:pPr>
      <w:spacing w:after="120"/>
      <w:ind w:left="420" w:leftChars="200"/>
    </w:pPr>
  </w:style>
  <w:style w:type="paragraph" w:styleId="11">
    <w:name w:val="Plain Text"/>
    <w:basedOn w:val="1"/>
    <w:link w:val="32"/>
    <w:qFormat/>
    <w:uiPriority w:val="0"/>
    <w:rPr>
      <w:rFonts w:ascii="宋体" w:hAnsi="Courier New" w:cstheme="minorBidi"/>
    </w:rPr>
  </w:style>
  <w:style w:type="paragraph" w:styleId="12">
    <w:name w:val="Date"/>
    <w:basedOn w:val="1"/>
    <w:next w:val="1"/>
    <w:link w:val="33"/>
    <w:qFormat/>
    <w:uiPriority w:val="0"/>
    <w:pPr>
      <w:ind w:left="2500" w:leftChars="2500"/>
    </w:pPr>
    <w:rPr>
      <w:rFonts w:eastAsia="楷体_GB2312" w:asciiTheme="minorHAnsi" w:hAnsiTheme="minorHAnsi" w:cstheme="minorBidi"/>
      <w:sz w:val="32"/>
      <w:szCs w:val="22"/>
    </w:rPr>
  </w:style>
  <w:style w:type="paragraph" w:styleId="13">
    <w:name w:val="Balloon Text"/>
    <w:basedOn w:val="1"/>
    <w:link w:val="34"/>
    <w:qFormat/>
    <w:uiPriority w:val="0"/>
    <w:rPr>
      <w:sz w:val="18"/>
      <w:szCs w:val="18"/>
    </w:rPr>
  </w:style>
  <w:style w:type="paragraph" w:styleId="14">
    <w:name w:val="footer"/>
    <w:basedOn w:val="1"/>
    <w:link w:val="26"/>
    <w:unhideWhenUsed/>
    <w:qFormat/>
    <w:uiPriority w:val="0"/>
    <w:pPr>
      <w:tabs>
        <w:tab w:val="center" w:pos="4153"/>
        <w:tab w:val="right" w:pos="8306"/>
      </w:tabs>
      <w:snapToGrid w:val="0"/>
      <w:jc w:val="left"/>
    </w:pPr>
    <w:rPr>
      <w:sz w:val="18"/>
      <w:szCs w:val="18"/>
    </w:rPr>
  </w:style>
  <w:style w:type="paragraph" w:styleId="15">
    <w:name w:val="header"/>
    <w:basedOn w:val="1"/>
    <w:link w:val="25"/>
    <w:unhideWhenUsed/>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pPr>
      <w:tabs>
        <w:tab w:val="right" w:leader="dot" w:pos="9628"/>
      </w:tabs>
      <w:jc w:val="center"/>
    </w:pPr>
    <w:rPr>
      <w:b/>
      <w:sz w:val="52"/>
      <w:szCs w:val="52"/>
    </w:rPr>
  </w:style>
  <w:style w:type="paragraph" w:styleId="17">
    <w:name w:val="Body Text Indent 3"/>
    <w:basedOn w:val="1"/>
    <w:qFormat/>
    <w:uiPriority w:val="0"/>
    <w:pPr>
      <w:spacing w:after="120"/>
      <w:ind w:left="420" w:leftChars="200"/>
    </w:pPr>
    <w:rPr>
      <w:rFonts w:ascii="Calibri" w:hAnsi="Calibri"/>
      <w:kern w:val="0"/>
      <w:sz w:val="16"/>
      <w:szCs w:val="16"/>
    </w:rPr>
  </w:style>
  <w:style w:type="paragraph" w:styleId="18">
    <w:name w:val="Normal (Web)"/>
    <w:basedOn w:val="1"/>
    <w:qFormat/>
    <w:uiPriority w:val="0"/>
    <w:pPr>
      <w:widowControl/>
      <w:spacing w:before="100" w:beforeAutospacing="1" w:after="100" w:afterAutospacing="1"/>
      <w:jc w:val="left"/>
    </w:pPr>
    <w:rPr>
      <w:rFonts w:hint="eastAsia" w:ascii="宋体" w:hAnsi="宋体"/>
      <w:kern w:val="0"/>
      <w:sz w:val="24"/>
    </w:rPr>
  </w:style>
  <w:style w:type="paragraph" w:styleId="19">
    <w:name w:val="annotation subject"/>
    <w:basedOn w:val="9"/>
    <w:next w:val="9"/>
    <w:link w:val="29"/>
    <w:qFormat/>
    <w:uiPriority w:val="0"/>
    <w:rPr>
      <w:b/>
      <w:bCs/>
    </w:rPr>
  </w:style>
  <w:style w:type="character" w:styleId="22">
    <w:name w:val="Strong"/>
    <w:basedOn w:val="21"/>
    <w:qFormat/>
    <w:uiPriority w:val="22"/>
    <w:rPr>
      <w:b/>
      <w:bCs/>
    </w:rPr>
  </w:style>
  <w:style w:type="character" w:styleId="23">
    <w:name w:val="page number"/>
    <w:basedOn w:val="21"/>
    <w:qFormat/>
    <w:uiPriority w:val="0"/>
  </w:style>
  <w:style w:type="character" w:styleId="24">
    <w:name w:val="annotation reference"/>
    <w:basedOn w:val="21"/>
    <w:qFormat/>
    <w:uiPriority w:val="0"/>
    <w:rPr>
      <w:sz w:val="21"/>
      <w:szCs w:val="21"/>
    </w:rPr>
  </w:style>
  <w:style w:type="character" w:customStyle="1" w:styleId="25">
    <w:name w:val="页眉 Char"/>
    <w:basedOn w:val="21"/>
    <w:link w:val="15"/>
    <w:semiHidden/>
    <w:qFormat/>
    <w:uiPriority w:val="99"/>
    <w:rPr>
      <w:sz w:val="18"/>
      <w:szCs w:val="18"/>
    </w:rPr>
  </w:style>
  <w:style w:type="character" w:customStyle="1" w:styleId="26">
    <w:name w:val="页脚 Char"/>
    <w:basedOn w:val="21"/>
    <w:link w:val="14"/>
    <w:semiHidden/>
    <w:qFormat/>
    <w:uiPriority w:val="99"/>
    <w:rPr>
      <w:sz w:val="18"/>
      <w:szCs w:val="18"/>
    </w:rPr>
  </w:style>
  <w:style w:type="character" w:customStyle="1" w:styleId="27">
    <w:name w:val="标题 3 Char"/>
    <w:basedOn w:val="21"/>
    <w:link w:val="5"/>
    <w:semiHidden/>
    <w:qFormat/>
    <w:uiPriority w:val="0"/>
    <w:rPr>
      <w:rFonts w:ascii="Times New Roman" w:hAnsi="Times New Roman" w:eastAsia="宋体" w:cs="Times New Roman"/>
      <w:b/>
      <w:bCs/>
      <w:sz w:val="32"/>
      <w:szCs w:val="32"/>
    </w:rPr>
  </w:style>
  <w:style w:type="character" w:customStyle="1" w:styleId="28">
    <w:name w:val="批注文字 Char"/>
    <w:basedOn w:val="21"/>
    <w:link w:val="9"/>
    <w:qFormat/>
    <w:uiPriority w:val="0"/>
    <w:rPr>
      <w:rFonts w:ascii="Times New Roman" w:hAnsi="Times New Roman" w:eastAsia="宋体" w:cs="Times New Roman"/>
      <w:szCs w:val="24"/>
    </w:rPr>
  </w:style>
  <w:style w:type="character" w:customStyle="1" w:styleId="29">
    <w:name w:val="批注主题 Char"/>
    <w:basedOn w:val="28"/>
    <w:link w:val="19"/>
    <w:qFormat/>
    <w:uiPriority w:val="0"/>
    <w:rPr>
      <w:rFonts w:ascii="Times New Roman" w:hAnsi="Times New Roman" w:eastAsia="宋体" w:cs="Times New Roman"/>
      <w:b/>
      <w:bCs/>
      <w:szCs w:val="24"/>
    </w:rPr>
  </w:style>
  <w:style w:type="character" w:customStyle="1" w:styleId="30">
    <w:name w:val="正文文本 Char"/>
    <w:basedOn w:val="21"/>
    <w:link w:val="2"/>
    <w:qFormat/>
    <w:uiPriority w:val="0"/>
    <w:rPr>
      <w:rFonts w:ascii="Times New Roman" w:hAnsi="Times New Roman" w:eastAsia="宋体" w:cs="Times New Roman"/>
      <w:sz w:val="24"/>
      <w:szCs w:val="24"/>
    </w:rPr>
  </w:style>
  <w:style w:type="character" w:customStyle="1" w:styleId="31">
    <w:name w:val="正文文本缩进 Char"/>
    <w:basedOn w:val="21"/>
    <w:link w:val="10"/>
    <w:qFormat/>
    <w:uiPriority w:val="0"/>
    <w:rPr>
      <w:rFonts w:ascii="Times New Roman" w:hAnsi="Times New Roman" w:eastAsia="宋体" w:cs="Times New Roman"/>
      <w:szCs w:val="24"/>
    </w:rPr>
  </w:style>
  <w:style w:type="character" w:customStyle="1" w:styleId="32">
    <w:name w:val="纯文本 Char"/>
    <w:basedOn w:val="21"/>
    <w:link w:val="11"/>
    <w:qFormat/>
    <w:uiPriority w:val="0"/>
    <w:rPr>
      <w:rFonts w:ascii="宋体" w:hAnsi="Courier New" w:eastAsia="宋体"/>
      <w:szCs w:val="24"/>
    </w:rPr>
  </w:style>
  <w:style w:type="character" w:customStyle="1" w:styleId="33">
    <w:name w:val="日期 Char"/>
    <w:basedOn w:val="21"/>
    <w:link w:val="12"/>
    <w:qFormat/>
    <w:uiPriority w:val="0"/>
    <w:rPr>
      <w:rFonts w:eastAsia="楷体_GB2312"/>
      <w:sz w:val="32"/>
    </w:rPr>
  </w:style>
  <w:style w:type="character" w:customStyle="1" w:styleId="34">
    <w:name w:val="批注框文本 Char"/>
    <w:basedOn w:val="21"/>
    <w:link w:val="13"/>
    <w:qFormat/>
    <w:uiPriority w:val="0"/>
    <w:rPr>
      <w:rFonts w:ascii="Times New Roman" w:hAnsi="Times New Roman" w:eastAsia="宋体" w:cs="Times New Roman"/>
      <w:sz w:val="18"/>
      <w:szCs w:val="18"/>
    </w:rPr>
  </w:style>
  <w:style w:type="paragraph" w:customStyle="1" w:styleId="35">
    <w:name w:val="zw"/>
    <w:basedOn w:val="1"/>
    <w:qFormat/>
    <w:uiPriority w:val="0"/>
    <w:pPr>
      <w:widowControl/>
      <w:spacing w:before="30"/>
      <w:ind w:left="100" w:right="100"/>
    </w:pPr>
    <w:rPr>
      <w:rFonts w:ascii="方正书宋简体" w:hAnsi="宋体" w:eastAsia="方正书宋简体"/>
      <w:color w:val="000000"/>
      <w:kern w:val="0"/>
      <w:szCs w:val="21"/>
    </w:rPr>
  </w:style>
  <w:style w:type="paragraph" w:styleId="36">
    <w:name w:val="List Paragraph"/>
    <w:basedOn w:val="1"/>
    <w:qFormat/>
    <w:uiPriority w:val="34"/>
    <w:pPr>
      <w:ind w:firstLine="420" w:firstLineChars="200"/>
    </w:pPr>
    <w:rPr>
      <w:rFonts w:ascii="Calibri" w:hAnsi="Calibri"/>
      <w:szCs w:val="22"/>
    </w:rPr>
  </w:style>
  <w:style w:type="paragraph" w:customStyle="1" w:styleId="37">
    <w:name w:val="无间隔1"/>
    <w:qFormat/>
    <w:uiPriority w:val="99"/>
    <w:pPr>
      <w:adjustRightInd w:val="0"/>
      <w:snapToGrid w:val="0"/>
    </w:pPr>
    <w:rPr>
      <w:rFonts w:ascii="Tahoma" w:hAnsi="Tahoma" w:eastAsia="微软雅黑" w:cstheme="minorBidi"/>
      <w:sz w:val="22"/>
      <w:szCs w:val="22"/>
      <w:lang w:val="en-US" w:eastAsia="zh-CN" w:bidi="ar-SA"/>
    </w:rPr>
  </w:style>
  <w:style w:type="paragraph" w:customStyle="1" w:styleId="38">
    <w:name w:val="列出段落1"/>
    <w:basedOn w:val="1"/>
    <w:qFormat/>
    <w:uiPriority w:val="0"/>
    <w:pPr>
      <w:ind w:firstLine="420" w:firstLineChars="200"/>
    </w:pPr>
    <w:rPr>
      <w:rFonts w:ascii="Calibri" w:hAnsi="Calibri"/>
      <w:kern w:val="0"/>
      <w:szCs w:val="20"/>
    </w:rPr>
  </w:style>
  <w:style w:type="paragraph" w:customStyle="1" w:styleId="39">
    <w:name w:val="无间隔11"/>
    <w:qFormat/>
    <w:uiPriority w:val="0"/>
    <w:pPr>
      <w:adjustRightInd w:val="0"/>
      <w:snapToGrid w:val="0"/>
    </w:pPr>
    <w:rPr>
      <w:rFonts w:ascii="Tahoma" w:hAnsi="Tahoma" w:eastAsia="微软雅黑" w:cstheme="minorBidi"/>
      <w:sz w:val="22"/>
      <w:szCs w:val="22"/>
      <w:lang w:val="en-US" w:eastAsia="zh-CN" w:bidi="ar-SA"/>
    </w:rPr>
  </w:style>
  <w:style w:type="paragraph" w:customStyle="1" w:styleId="40">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41">
    <w:name w:val="正文_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2">
    <w:name w:val="正文_14"/>
    <w:qFormat/>
    <w:uiPriority w:val="0"/>
    <w:rPr>
      <w:rFonts w:ascii="Times New Roman" w:hAnsi="Times New Roman" w:eastAsia="宋体" w:cs="Times New Roman"/>
      <w:sz w:val="21"/>
      <w:szCs w:val="22"/>
      <w:lang w:val="en-US" w:eastAsia="zh-CN" w:bidi="ar-SA"/>
    </w:rPr>
  </w:style>
  <w:style w:type="paragraph" w:customStyle="1" w:styleId="43">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4">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5">
    <w:name w:val="正文_1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
    <w:name w:val="纯文本_3"/>
    <w:basedOn w:val="45"/>
    <w:qFormat/>
    <w:uiPriority w:val="0"/>
    <w:pPr>
      <w:widowControl/>
      <w:jc w:val="left"/>
    </w:pPr>
    <w:rPr>
      <w:rFonts w:ascii="宋体" w:hAnsi="Courier New" w:eastAsiaTheme="minorEastAsia" w:cstheme="minorBidi"/>
      <w:szCs w:val="21"/>
    </w:rPr>
  </w:style>
  <w:style w:type="paragraph" w:customStyle="1" w:styleId="47">
    <w:name w:val="纯文本_0_1"/>
    <w:basedOn w:val="1"/>
    <w:qFormat/>
    <w:uiPriority w:val="0"/>
    <w:pPr>
      <w:widowControl/>
      <w:jc w:val="left"/>
    </w:pPr>
    <w:rPr>
      <w:rFonts w:ascii="宋体" w:hAnsi="Courier New" w:eastAsiaTheme="minorEastAsia" w:cstheme="minorBidi"/>
      <w:szCs w:val="21"/>
    </w:rPr>
  </w:style>
  <w:style w:type="paragraph" w:customStyle="1" w:styleId="48">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9">
    <w:name w:val="正文_2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0">
    <w:name w:val="正文_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1">
    <w:name w:val="Normal_15"/>
    <w:qFormat/>
    <w:uiPriority w:val="0"/>
    <w:pPr>
      <w:widowControl w:val="0"/>
      <w:jc w:val="both"/>
    </w:pPr>
    <w:rPr>
      <w:rFonts w:ascii="Calibri" w:hAnsi="Calibri" w:eastAsia="宋体" w:cs="Times New Roman"/>
      <w:kern w:val="2"/>
      <w:sz w:val="21"/>
      <w:szCs w:val="22"/>
      <w:lang w:val="en-US" w:eastAsia="zh-CN" w:bidi="ar-SA"/>
    </w:rPr>
  </w:style>
  <w:style w:type="character" w:customStyle="1" w:styleId="52">
    <w:name w:val="标题 7 Char"/>
    <w:basedOn w:val="21"/>
    <w:link w:val="6"/>
    <w:qFormat/>
    <w:uiPriority w:val="0"/>
    <w:rPr>
      <w:rFonts w:ascii="Times New Roman" w:hAnsi="Times New Roman" w:eastAsia="宋体" w:cs="Times New Roman"/>
      <w:b/>
      <w:bCs/>
      <w:sz w:val="24"/>
      <w:szCs w:val="24"/>
    </w:rPr>
  </w:style>
  <w:style w:type="character" w:customStyle="1" w:styleId="53">
    <w:name w:val="纯文本 Char2"/>
    <w:qFormat/>
    <w:uiPriority w:val="0"/>
    <w:rPr>
      <w:rFonts w:ascii="宋体" w:hAnsi="Courier New" w:eastAsia="宋体"/>
    </w:rPr>
  </w:style>
  <w:style w:type="character" w:customStyle="1" w:styleId="54">
    <w:name w:val="正文缩进 Char"/>
    <w:link w:val="8"/>
    <w:qFormat/>
    <w:uiPriority w:val="0"/>
    <w:rPr>
      <w:rFonts w:ascii="Times New Roman" w:hAnsi="Times New Roman" w:eastAsia="宋体" w:cs="Times New Roman"/>
      <w:szCs w:val="20"/>
    </w:rPr>
  </w:style>
  <w:style w:type="character" w:customStyle="1" w:styleId="55">
    <w:name w:val="标题 1 Char"/>
    <w:basedOn w:val="21"/>
    <w:qFormat/>
    <w:uiPriority w:val="0"/>
    <w:rPr>
      <w:rFonts w:ascii="Times New Roman" w:hAnsi="Times New Roman" w:eastAsia="宋体" w:cs="Times New Roman"/>
      <w:b/>
      <w:bCs/>
      <w:kern w:val="44"/>
      <w:sz w:val="44"/>
      <w:szCs w:val="44"/>
    </w:rPr>
  </w:style>
  <w:style w:type="character" w:customStyle="1" w:styleId="56">
    <w:name w:val="标题 2 Char"/>
    <w:basedOn w:val="21"/>
    <w:link w:val="4"/>
    <w:semiHidden/>
    <w:qFormat/>
    <w:uiPriority w:val="9"/>
    <w:rPr>
      <w:rFonts w:asciiTheme="majorHAnsi" w:hAnsiTheme="majorHAnsi" w:eastAsiaTheme="majorEastAsia" w:cstheme="majorBidi"/>
      <w:b/>
      <w:bCs/>
      <w:sz w:val="32"/>
      <w:szCs w:val="32"/>
    </w:rPr>
  </w:style>
  <w:style w:type="character" w:customStyle="1" w:styleId="57">
    <w:name w:val="font61"/>
    <w:basedOn w:val="21"/>
    <w:qFormat/>
    <w:uiPriority w:val="0"/>
    <w:rPr>
      <w:rFonts w:hint="eastAsia" w:ascii="宋体" w:hAnsi="宋体" w:eastAsia="宋体" w:cs="宋体"/>
      <w:color w:val="FF0000"/>
      <w:sz w:val="22"/>
      <w:szCs w:val="22"/>
      <w:u w:val="none"/>
    </w:rPr>
  </w:style>
  <w:style w:type="character" w:customStyle="1" w:styleId="58">
    <w:name w:val="font81"/>
    <w:basedOn w:val="21"/>
    <w:qFormat/>
    <w:uiPriority w:val="0"/>
    <w:rPr>
      <w:rFonts w:hint="eastAsia" w:ascii="宋体" w:hAnsi="宋体" w:eastAsia="宋体" w:cs="宋体"/>
      <w:color w:val="000000"/>
      <w:sz w:val="22"/>
      <w:szCs w:val="22"/>
      <w:u w:val="none"/>
    </w:rPr>
  </w:style>
  <w:style w:type="character" w:customStyle="1" w:styleId="59">
    <w:name w:val="font11"/>
    <w:basedOn w:val="21"/>
    <w:qFormat/>
    <w:uiPriority w:val="0"/>
    <w:rPr>
      <w:rFonts w:ascii="Wingdings 2" w:hAnsi="Wingdings 2" w:eastAsia="Wingdings 2" w:cs="Wingdings 2"/>
      <w:color w:val="000000"/>
      <w:sz w:val="22"/>
      <w:szCs w:val="22"/>
      <w:u w:val="none"/>
    </w:rPr>
  </w:style>
  <w:style w:type="character" w:customStyle="1" w:styleId="60">
    <w:name w:val="font71"/>
    <w:basedOn w:val="21"/>
    <w:qFormat/>
    <w:uiPriority w:val="0"/>
    <w:rPr>
      <w:rFonts w:ascii="宋体" w:hAnsi="宋体" w:eastAsia="宋体" w:cs="宋体"/>
      <w:color w:val="000000"/>
      <w:sz w:val="22"/>
      <w:szCs w:val="22"/>
      <w:u w:val="none"/>
    </w:rPr>
  </w:style>
  <w:style w:type="character" w:customStyle="1" w:styleId="61">
    <w:name w:val="font21"/>
    <w:basedOn w:val="21"/>
    <w:qFormat/>
    <w:uiPriority w:val="0"/>
    <w:rPr>
      <w:rFonts w:hint="eastAsia" w:ascii="宋体" w:hAnsi="宋体" w:eastAsia="宋体" w:cs="宋体"/>
      <w:b/>
      <w:color w:val="000000"/>
      <w:sz w:val="22"/>
      <w:szCs w:val="22"/>
      <w:u w:val="none"/>
    </w:rPr>
  </w:style>
  <w:style w:type="paragraph" w:customStyle="1" w:styleId="62">
    <w:name w:val="表内文字"/>
    <w:basedOn w:val="1"/>
    <w:qFormat/>
    <w:uiPriority w:val="0"/>
    <w:pPr>
      <w:tabs>
        <w:tab w:val="left" w:pos="1418"/>
      </w:tabs>
      <w:spacing w:line="360" w:lineRule="auto"/>
      <w:jc w:val="center"/>
    </w:pPr>
    <w:rPr>
      <w:rFonts w:hint="eastAsia" w:ascii="仿宋_GB2312" w:eastAsia="仿宋_GB2312"/>
      <w:spacing w:val="-20"/>
      <w:kern w:val="0"/>
      <w:sz w:val="24"/>
    </w:rPr>
  </w:style>
  <w:style w:type="paragraph" w:customStyle="1" w:styleId="63">
    <w:name w:val="正文 A"/>
    <w:qFormat/>
    <w:uiPriority w:val="0"/>
    <w:pPr>
      <w:widowControl w:val="0"/>
      <w:pBdr>
        <w:top w:val="none" w:color="auto" w:sz="0" w:space="0"/>
        <w:left w:val="none" w:color="auto" w:sz="0" w:space="0"/>
        <w:bottom w:val="none" w:color="auto" w:sz="0" w:space="0"/>
        <w:right w:val="none" w:color="auto" w:sz="0" w:space="0"/>
        <w:between w:val="none" w:color="auto" w:sz="0" w:space="0"/>
      </w:pBdr>
      <w:jc w:val="both"/>
    </w:pPr>
    <w:rPr>
      <w:rFonts w:ascii="Calibri" w:hAnsi="Calibri" w:eastAsia="Calibri" w:cs="Calibri"/>
      <w:color w:val="000000"/>
      <w:kern w:val="2"/>
      <w:sz w:val="21"/>
      <w:szCs w:val="21"/>
      <w:u w:val="none" w:color="000000"/>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90.jpeg"/><Relationship Id="rId98" Type="http://schemas.openxmlformats.org/officeDocument/2006/relationships/image" Target="media/image89.jpeg"/><Relationship Id="rId97" Type="http://schemas.openxmlformats.org/officeDocument/2006/relationships/image" Target="media/image88.jpeg"/><Relationship Id="rId96" Type="http://schemas.openxmlformats.org/officeDocument/2006/relationships/image" Target="media/image87.jpeg"/><Relationship Id="rId95" Type="http://schemas.openxmlformats.org/officeDocument/2006/relationships/image" Target="media/image86.jpeg"/><Relationship Id="rId94" Type="http://schemas.openxmlformats.org/officeDocument/2006/relationships/image" Target="media/image85.jpeg"/><Relationship Id="rId93" Type="http://schemas.openxmlformats.org/officeDocument/2006/relationships/image" Target="media/image84.png"/><Relationship Id="rId92" Type="http://schemas.openxmlformats.org/officeDocument/2006/relationships/image" Target="media/image83.png"/><Relationship Id="rId91" Type="http://schemas.openxmlformats.org/officeDocument/2006/relationships/image" Target="media/image82.png"/><Relationship Id="rId90" Type="http://schemas.openxmlformats.org/officeDocument/2006/relationships/image" Target="media/image81.png"/><Relationship Id="rId9" Type="http://schemas.openxmlformats.org/officeDocument/2006/relationships/header" Target="header3.xml"/><Relationship Id="rId89" Type="http://schemas.openxmlformats.org/officeDocument/2006/relationships/image" Target="media/image80.jpeg"/><Relationship Id="rId88" Type="http://schemas.openxmlformats.org/officeDocument/2006/relationships/image" Target="media/image79.jpeg"/><Relationship Id="rId87" Type="http://schemas.openxmlformats.org/officeDocument/2006/relationships/image" Target="media/image78.jpeg"/><Relationship Id="rId86" Type="http://schemas.openxmlformats.org/officeDocument/2006/relationships/image" Target="media/image77.jpeg"/><Relationship Id="rId85" Type="http://schemas.openxmlformats.org/officeDocument/2006/relationships/image" Target="media/image76.jpeg"/><Relationship Id="rId84" Type="http://schemas.openxmlformats.org/officeDocument/2006/relationships/image" Target="media/image75.jpeg"/><Relationship Id="rId83" Type="http://schemas.openxmlformats.org/officeDocument/2006/relationships/image" Target="media/image74.jpeg"/><Relationship Id="rId82" Type="http://schemas.openxmlformats.org/officeDocument/2006/relationships/image" Target="media/image73.jpeg"/><Relationship Id="rId81" Type="http://schemas.openxmlformats.org/officeDocument/2006/relationships/image" Target="media/image72.jpeg"/><Relationship Id="rId80" Type="http://schemas.openxmlformats.org/officeDocument/2006/relationships/image" Target="media/image71.jpeg"/><Relationship Id="rId8" Type="http://schemas.openxmlformats.org/officeDocument/2006/relationships/footer" Target="footer4.xml"/><Relationship Id="rId79" Type="http://schemas.openxmlformats.org/officeDocument/2006/relationships/image" Target="media/image70.jpeg"/><Relationship Id="rId78" Type="http://schemas.openxmlformats.org/officeDocument/2006/relationships/image" Target="media/image69.jpe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jpe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footer" Target="footer3.xml"/><Relationship Id="rId69" Type="http://schemas.openxmlformats.org/officeDocument/2006/relationships/image" Target="media/image60.jpe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2.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footer" Target="foot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jpe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4" Type="http://schemas.openxmlformats.org/officeDocument/2006/relationships/fontTable" Target="fontTable.xml"/><Relationship Id="rId173" Type="http://schemas.openxmlformats.org/officeDocument/2006/relationships/customXml" Target="../customXml/item2.xml"/><Relationship Id="rId172" Type="http://schemas.openxmlformats.org/officeDocument/2006/relationships/numbering" Target="numbering.xml"/><Relationship Id="rId171" Type="http://schemas.openxmlformats.org/officeDocument/2006/relationships/customXml" Target="../customXml/item1.xml"/><Relationship Id="rId170" Type="http://schemas.openxmlformats.org/officeDocument/2006/relationships/image" Target="media/image160.png"/><Relationship Id="rId17" Type="http://schemas.openxmlformats.org/officeDocument/2006/relationships/image" Target="media/image8.png"/><Relationship Id="rId169" Type="http://schemas.openxmlformats.org/officeDocument/2006/relationships/image" Target="media/image159.png"/><Relationship Id="rId168" Type="http://schemas.openxmlformats.org/officeDocument/2006/relationships/image" Target="media/image158.jpeg"/><Relationship Id="rId167" Type="http://schemas.openxmlformats.org/officeDocument/2006/relationships/image" Target="media/image157.jpeg"/><Relationship Id="rId166" Type="http://schemas.openxmlformats.org/officeDocument/2006/relationships/image" Target="media/image156.jpeg"/><Relationship Id="rId165" Type="http://schemas.openxmlformats.org/officeDocument/2006/relationships/image" Target="media/image155.jpeg"/><Relationship Id="rId164" Type="http://schemas.openxmlformats.org/officeDocument/2006/relationships/image" Target="media/image154.png"/><Relationship Id="rId163" Type="http://schemas.openxmlformats.org/officeDocument/2006/relationships/image" Target="media/image153.png"/><Relationship Id="rId162" Type="http://schemas.openxmlformats.org/officeDocument/2006/relationships/image" Target="media/image152.png"/><Relationship Id="rId161" Type="http://schemas.openxmlformats.org/officeDocument/2006/relationships/image" Target="media/image151.png"/><Relationship Id="rId160" Type="http://schemas.openxmlformats.org/officeDocument/2006/relationships/image" Target="media/image150.png"/><Relationship Id="rId16" Type="http://schemas.openxmlformats.org/officeDocument/2006/relationships/image" Target="media/image7.jpeg"/><Relationship Id="rId159" Type="http://schemas.openxmlformats.org/officeDocument/2006/relationships/image" Target="media/image149.png"/><Relationship Id="rId158" Type="http://schemas.openxmlformats.org/officeDocument/2006/relationships/image" Target="media/image148.jpeg"/><Relationship Id="rId157" Type="http://schemas.openxmlformats.org/officeDocument/2006/relationships/image" Target="media/image147.jpeg"/><Relationship Id="rId156" Type="http://schemas.openxmlformats.org/officeDocument/2006/relationships/image" Target="media/image146.jpeg"/><Relationship Id="rId155" Type="http://schemas.openxmlformats.org/officeDocument/2006/relationships/image" Target="media/image145.jpeg"/><Relationship Id="rId154" Type="http://schemas.openxmlformats.org/officeDocument/2006/relationships/image" Target="media/image144.jpeg"/><Relationship Id="rId153" Type="http://schemas.openxmlformats.org/officeDocument/2006/relationships/image" Target="media/image143.png"/><Relationship Id="rId152" Type="http://schemas.openxmlformats.org/officeDocument/2006/relationships/image" Target="media/image142.jpeg"/><Relationship Id="rId151" Type="http://schemas.openxmlformats.org/officeDocument/2006/relationships/image" Target="media/image1.tiff"/><Relationship Id="rId150" Type="http://schemas.openxmlformats.org/officeDocument/2006/relationships/image" Target="media/image141.png"/><Relationship Id="rId15" Type="http://schemas.openxmlformats.org/officeDocument/2006/relationships/image" Target="media/image6.png"/><Relationship Id="rId149" Type="http://schemas.openxmlformats.org/officeDocument/2006/relationships/image" Target="media/image140.png"/><Relationship Id="rId148" Type="http://schemas.openxmlformats.org/officeDocument/2006/relationships/image" Target="media/image139.jpeg"/><Relationship Id="rId147" Type="http://schemas.openxmlformats.org/officeDocument/2006/relationships/image" Target="media/image138.png"/><Relationship Id="rId146" Type="http://schemas.openxmlformats.org/officeDocument/2006/relationships/image" Target="media/image137.png"/><Relationship Id="rId145" Type="http://schemas.openxmlformats.org/officeDocument/2006/relationships/image" Target="media/image136.jpeg"/><Relationship Id="rId144" Type="http://schemas.openxmlformats.org/officeDocument/2006/relationships/image" Target="media/image135.jpeg"/><Relationship Id="rId143" Type="http://schemas.openxmlformats.org/officeDocument/2006/relationships/image" Target="media/image134.jpeg"/><Relationship Id="rId142" Type="http://schemas.openxmlformats.org/officeDocument/2006/relationships/image" Target="media/image133.jpeg"/><Relationship Id="rId141" Type="http://schemas.openxmlformats.org/officeDocument/2006/relationships/image" Target="media/image132.jpeg"/><Relationship Id="rId140" Type="http://schemas.openxmlformats.org/officeDocument/2006/relationships/image" Target="media/image131.jpeg"/><Relationship Id="rId14" Type="http://schemas.openxmlformats.org/officeDocument/2006/relationships/image" Target="media/image5.png"/><Relationship Id="rId139" Type="http://schemas.openxmlformats.org/officeDocument/2006/relationships/image" Target="media/image130.jpeg"/><Relationship Id="rId138" Type="http://schemas.openxmlformats.org/officeDocument/2006/relationships/image" Target="media/image129.jpeg"/><Relationship Id="rId137" Type="http://schemas.openxmlformats.org/officeDocument/2006/relationships/image" Target="media/image128.jpeg"/><Relationship Id="rId136" Type="http://schemas.openxmlformats.org/officeDocument/2006/relationships/image" Target="media/image127.jpeg"/><Relationship Id="rId135" Type="http://schemas.openxmlformats.org/officeDocument/2006/relationships/image" Target="media/image126.jpeg"/><Relationship Id="rId134" Type="http://schemas.openxmlformats.org/officeDocument/2006/relationships/image" Target="media/image125.jpeg"/><Relationship Id="rId133" Type="http://schemas.openxmlformats.org/officeDocument/2006/relationships/image" Target="media/image124.jpeg"/><Relationship Id="rId132" Type="http://schemas.openxmlformats.org/officeDocument/2006/relationships/image" Target="media/image123.jpeg"/><Relationship Id="rId131" Type="http://schemas.openxmlformats.org/officeDocument/2006/relationships/image" Target="media/image122.jpeg"/><Relationship Id="rId130" Type="http://schemas.openxmlformats.org/officeDocument/2006/relationships/image" Target="media/image121.jpeg"/><Relationship Id="rId13" Type="http://schemas.openxmlformats.org/officeDocument/2006/relationships/image" Target="media/image4.jpeg"/><Relationship Id="rId129" Type="http://schemas.openxmlformats.org/officeDocument/2006/relationships/image" Target="media/image120.jpeg"/><Relationship Id="rId128" Type="http://schemas.openxmlformats.org/officeDocument/2006/relationships/image" Target="media/image119.jpeg"/><Relationship Id="rId127" Type="http://schemas.openxmlformats.org/officeDocument/2006/relationships/image" Target="media/image118.jpeg"/><Relationship Id="rId126" Type="http://schemas.openxmlformats.org/officeDocument/2006/relationships/image" Target="media/image117.jpeg"/><Relationship Id="rId125" Type="http://schemas.openxmlformats.org/officeDocument/2006/relationships/image" Target="media/image116.jpeg"/><Relationship Id="rId124" Type="http://schemas.openxmlformats.org/officeDocument/2006/relationships/image" Target="media/image115.jpeg"/><Relationship Id="rId123" Type="http://schemas.openxmlformats.org/officeDocument/2006/relationships/image" Target="media/image114.jpeg"/><Relationship Id="rId122" Type="http://schemas.openxmlformats.org/officeDocument/2006/relationships/image" Target="media/image113.jpeg"/><Relationship Id="rId121" Type="http://schemas.openxmlformats.org/officeDocument/2006/relationships/image" Target="media/image112.jpeg"/><Relationship Id="rId120" Type="http://schemas.openxmlformats.org/officeDocument/2006/relationships/image" Target="media/image111.jpeg"/><Relationship Id="rId12" Type="http://schemas.openxmlformats.org/officeDocument/2006/relationships/image" Target="media/image3.png"/><Relationship Id="rId119" Type="http://schemas.openxmlformats.org/officeDocument/2006/relationships/image" Target="media/image110.jpeg"/><Relationship Id="rId118" Type="http://schemas.openxmlformats.org/officeDocument/2006/relationships/image" Target="media/image109.jpeg"/><Relationship Id="rId117" Type="http://schemas.openxmlformats.org/officeDocument/2006/relationships/image" Target="media/image108.png"/><Relationship Id="rId116" Type="http://schemas.openxmlformats.org/officeDocument/2006/relationships/image" Target="media/image107.jpeg"/><Relationship Id="rId115" Type="http://schemas.openxmlformats.org/officeDocument/2006/relationships/image" Target="media/image106.jpeg"/><Relationship Id="rId114" Type="http://schemas.openxmlformats.org/officeDocument/2006/relationships/image" Target="media/image105.jpeg"/><Relationship Id="rId113" Type="http://schemas.openxmlformats.org/officeDocument/2006/relationships/image" Target="media/image104.jpeg"/><Relationship Id="rId112" Type="http://schemas.openxmlformats.org/officeDocument/2006/relationships/image" Target="media/image103.jpeg"/><Relationship Id="rId111" Type="http://schemas.openxmlformats.org/officeDocument/2006/relationships/image" Target="media/image102.jpeg"/><Relationship Id="rId110" Type="http://schemas.openxmlformats.org/officeDocument/2006/relationships/image" Target="media/image101.jpeg"/><Relationship Id="rId11" Type="http://schemas.openxmlformats.org/officeDocument/2006/relationships/theme" Target="theme/theme1.xml"/><Relationship Id="rId109" Type="http://schemas.openxmlformats.org/officeDocument/2006/relationships/image" Target="media/image100.jpeg"/><Relationship Id="rId108" Type="http://schemas.openxmlformats.org/officeDocument/2006/relationships/image" Target="media/image99.jpeg"/><Relationship Id="rId107" Type="http://schemas.openxmlformats.org/officeDocument/2006/relationships/image" Target="media/image98.jpeg"/><Relationship Id="rId106" Type="http://schemas.openxmlformats.org/officeDocument/2006/relationships/image" Target="media/image97.jpeg"/><Relationship Id="rId105" Type="http://schemas.openxmlformats.org/officeDocument/2006/relationships/image" Target="media/image96.jpeg"/><Relationship Id="rId104" Type="http://schemas.openxmlformats.org/officeDocument/2006/relationships/image" Target="media/image95.jpeg"/><Relationship Id="rId103" Type="http://schemas.openxmlformats.org/officeDocument/2006/relationships/image" Target="media/image94.jpeg"/><Relationship Id="rId102" Type="http://schemas.openxmlformats.org/officeDocument/2006/relationships/image" Target="media/image93.jpeg"/><Relationship Id="rId101" Type="http://schemas.openxmlformats.org/officeDocument/2006/relationships/image" Target="media/image92.jpeg"/><Relationship Id="rId100" Type="http://schemas.openxmlformats.org/officeDocument/2006/relationships/image" Target="media/image91.jpeg"/><Relationship Id="rId10" Type="http://schemas.openxmlformats.org/officeDocument/2006/relationships/footer" Target="footer5.xml"/><Relationship Id="rId1" Type="http://schemas.openxmlformats.org/officeDocument/2006/relationships/styles" Target="styles.xml"/></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4098" textRotate="1"/>
    <customShpInfo spid="_x0000_s4099"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28D713-130C-4160-B5E6-AC7004C648ED}">
  <ds:schemaRefs/>
</ds:datastoreItem>
</file>

<file path=docProps/app.xml><?xml version="1.0" encoding="utf-8"?>
<Properties xmlns="http://schemas.openxmlformats.org/officeDocument/2006/extended-properties" xmlns:vt="http://schemas.openxmlformats.org/officeDocument/2006/docPropsVTypes">
  <Template>Normal</Template>
  <Pages>41</Pages>
  <Words>3090</Words>
  <Characters>17616</Characters>
  <Lines>146</Lines>
  <Paragraphs>41</Paragraphs>
  <TotalTime>14</TotalTime>
  <ScaleCrop>false</ScaleCrop>
  <LinksUpToDate>false</LinksUpToDate>
  <CharactersWithSpaces>20665</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2019-02-28T07:12:00Z</dcterms:created>
  <dc:creator>ASUS</dc:creator>
  <cp:lastModifiedBy>123</cp:lastModifiedBy>
  <cp:lastPrinted>2019-08-14T06:28:00Z</cp:lastPrinted>
  <dcterms:modified xsi:type="dcterms:W3CDTF">2019-08-23T03:27:50Z</dcterms:modified>
  <cp:revision>233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