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rPr>
          <w:b/>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28"/>
          <w:szCs w:val="28"/>
        </w:rPr>
      </w:pPr>
      <w:r>
        <w:rPr>
          <w:rFonts w:hint="eastAsia"/>
          <w:b/>
          <w:sz w:val="28"/>
          <w:szCs w:val="28"/>
        </w:rPr>
        <w:t>三门县客运中心及三门湾科创广场周边区块交通规划研究采购项目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rFonts w:ascii="宋体" w:hAnsi="宋体"/>
          <w:b/>
          <w:bCs/>
          <w:sz w:val="30"/>
          <w:szCs w:val="30"/>
        </w:rPr>
      </w:pPr>
      <w:r>
        <w:rPr>
          <w:rFonts w:hint="eastAsia" w:ascii="宋体" w:hAnsi="宋体"/>
          <w:b/>
          <w:bCs/>
          <w:sz w:val="30"/>
          <w:szCs w:val="30"/>
        </w:rPr>
        <w:t>竞争性磋商文件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rFonts w:ascii="宋体" w:hAnsi="宋体"/>
          <w:b/>
          <w:bCs/>
          <w:sz w:val="30"/>
          <w:szCs w:val="30"/>
        </w:rPr>
      </w:pPr>
    </w:p>
    <w:p>
      <w:pPr>
        <w:autoSpaceDE w:val="0"/>
        <w:autoSpaceDN w:val="0"/>
        <w:adjustRightInd w:val="0"/>
        <w:spacing w:line="360" w:lineRule="auto"/>
        <w:jc w:val="center"/>
        <w:rPr>
          <w:rFonts w:ascii="黑体" w:eastAsia="黑体"/>
          <w:b/>
          <w:bCs/>
          <w:sz w:val="32"/>
          <w:szCs w:val="32"/>
          <w:lang w:val="zh-CN"/>
        </w:rPr>
      </w:pPr>
      <w:r>
        <w:rPr>
          <w:rFonts w:hint="eastAsia" w:ascii="宋体" w:hAnsi="宋体"/>
          <w:b/>
          <w:bCs/>
          <w:sz w:val="32"/>
          <w:szCs w:val="32"/>
        </w:rPr>
        <w:t>项目编号：浙信备-2019-011号</w:t>
      </w:r>
    </w:p>
    <w:p>
      <w:pPr>
        <w:tabs>
          <w:tab w:val="left" w:pos="1440"/>
        </w:tabs>
        <w:spacing w:line="360" w:lineRule="auto"/>
        <w:rPr>
          <w:rFonts w:ascii="宋体" w:hAnsi="宋体"/>
          <w:b/>
        </w:rPr>
      </w:pPr>
    </w:p>
    <w:p>
      <w:pPr>
        <w:tabs>
          <w:tab w:val="left" w:pos="1440"/>
        </w:tabs>
        <w:spacing w:line="360" w:lineRule="auto"/>
        <w:rPr>
          <w:rFonts w:ascii="宋体" w:hAnsi="宋体"/>
          <w:b/>
        </w:rPr>
      </w:pPr>
    </w:p>
    <w:p>
      <w:pPr>
        <w:pStyle w:val="14"/>
        <w:spacing w:before="0" w:beforeAutospacing="0" w:after="0" w:afterAutospacing="0" w:line="360" w:lineRule="auto"/>
        <w:jc w:val="center"/>
        <w:rPr>
          <w:rFonts w:hint="default"/>
          <w:sz w:val="36"/>
          <w:szCs w:val="36"/>
        </w:rPr>
      </w:pPr>
    </w:p>
    <w:p>
      <w:pPr>
        <w:tabs>
          <w:tab w:val="left" w:pos="1440"/>
        </w:tabs>
        <w:spacing w:line="360" w:lineRule="auto"/>
        <w:ind w:firstLine="1338" w:firstLineChars="446"/>
        <w:rPr>
          <w:rFonts w:ascii="宋体" w:hAnsi="宋体"/>
          <w:bCs/>
          <w:sz w:val="30"/>
        </w:rPr>
      </w:pPr>
    </w:p>
    <w:p>
      <w:pPr>
        <w:tabs>
          <w:tab w:val="left" w:pos="1440"/>
        </w:tabs>
        <w:spacing w:line="360" w:lineRule="auto"/>
        <w:rPr>
          <w:rFonts w:ascii="宋体" w:hAnsi="宋体"/>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ind w:firstLine="640" w:firstLineChars="200"/>
        <w:jc w:val="left"/>
        <w:rPr>
          <w:rFonts w:ascii="宋体" w:hAnsi="宋体"/>
          <w:sz w:val="32"/>
          <w:szCs w:val="32"/>
        </w:rPr>
      </w:pPr>
      <w:r>
        <w:rPr>
          <w:rFonts w:hint="eastAsia" w:ascii="宋体" w:hAnsi="宋体"/>
          <w:sz w:val="32"/>
          <w:szCs w:val="32"/>
        </w:rPr>
        <w:t>采购单位：台州市北部湾区经济开发有限公司</w:t>
      </w:r>
    </w:p>
    <w:p>
      <w:pPr>
        <w:spacing w:line="360" w:lineRule="auto"/>
        <w:ind w:firstLine="640" w:firstLineChars="200"/>
        <w:jc w:val="left"/>
        <w:rPr>
          <w:rFonts w:ascii="宋体" w:hAnsi="宋体"/>
          <w:sz w:val="32"/>
          <w:szCs w:val="32"/>
        </w:rPr>
      </w:pPr>
      <w:r>
        <w:rPr>
          <w:rFonts w:hint="eastAsia" w:ascii="宋体" w:hAnsi="宋体"/>
          <w:sz w:val="32"/>
          <w:szCs w:val="32"/>
        </w:rPr>
        <w:t>采购代理机构：浙江信达工程咨询有限公司</w:t>
      </w:r>
    </w:p>
    <w:p>
      <w:pPr>
        <w:spacing w:line="360" w:lineRule="auto"/>
        <w:ind w:firstLine="520" w:firstLineChars="200"/>
        <w:rPr>
          <w:rFonts w:ascii="宋体" w:hAnsi="宋体"/>
          <w:spacing w:val="-20"/>
          <w:sz w:val="30"/>
          <w:szCs w:val="30"/>
        </w:rPr>
      </w:pPr>
    </w:p>
    <w:p>
      <w:pPr>
        <w:pStyle w:val="2"/>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640" w:firstLineChars="750"/>
        <w:rPr>
          <w:rFonts w:ascii="宋体" w:hAnsi="宋体"/>
          <w:spacing w:val="16"/>
          <w:sz w:val="32"/>
          <w:szCs w:val="20"/>
        </w:rPr>
      </w:pPr>
      <w:r>
        <w:rPr>
          <w:rFonts w:hint="eastAsia" w:ascii="宋体" w:hAnsi="宋体"/>
          <w:spacing w:val="16"/>
          <w:sz w:val="32"/>
          <w:szCs w:val="20"/>
        </w:rPr>
        <w:t xml:space="preserve">二 ○ 一 九 年 </w:t>
      </w:r>
      <w:r>
        <w:rPr>
          <w:rFonts w:hint="eastAsia" w:ascii="宋体" w:hAnsi="宋体"/>
          <w:spacing w:val="16"/>
          <w:sz w:val="32"/>
          <w:szCs w:val="20"/>
          <w:lang w:eastAsia="zh-CN"/>
        </w:rPr>
        <w:t>三</w:t>
      </w:r>
      <w:r>
        <w:rPr>
          <w:rFonts w:hint="eastAsia" w:ascii="宋体" w:hAnsi="宋体"/>
          <w:spacing w:val="16"/>
          <w:sz w:val="32"/>
          <w:szCs w:val="20"/>
        </w:rPr>
        <w:t xml:space="preserve"> 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Pr>
          <w:rFonts w:ascii="宋体" w:hAnsi="宋体"/>
          <w:b/>
          <w:sz w:val="36"/>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b/>
          <w:sz w:val="36"/>
        </w:rPr>
      </w:pPr>
      <w:r>
        <w:rPr>
          <w:rFonts w:hint="eastAsia" w:ascii="宋体" w:hAnsi="宋体"/>
          <w:b/>
          <w:sz w:val="36"/>
        </w:rPr>
        <w:t>谈判文件目录</w:t>
      </w:r>
    </w:p>
    <w:p>
      <w:pPr>
        <w:pStyle w:val="12"/>
        <w:tabs>
          <w:tab w:val="right" w:leader="dot" w:pos="9184"/>
          <w:tab w:val="clear" w:pos="9515"/>
        </w:tabs>
      </w:pPr>
      <w:r>
        <w:rPr>
          <w:rFonts w:ascii="宋体"/>
          <w:szCs w:val="21"/>
        </w:rPr>
        <w:fldChar w:fldCharType="begin"/>
      </w:r>
      <w:r>
        <w:rPr>
          <w:rFonts w:ascii="宋体"/>
          <w:szCs w:val="21"/>
        </w:rPr>
        <w:instrText xml:space="preserve"> TOC \o "1-2" \h \z \u </w:instrText>
      </w:r>
      <w:r>
        <w:rPr>
          <w:rFonts w:ascii="宋体"/>
          <w:szCs w:val="21"/>
        </w:rPr>
        <w:fldChar w:fldCharType="separate"/>
      </w:r>
      <w:r>
        <w:rPr>
          <w:rFonts w:ascii="宋体"/>
          <w:szCs w:val="21"/>
        </w:rPr>
        <w:fldChar w:fldCharType="begin"/>
      </w:r>
      <w:r>
        <w:rPr>
          <w:rFonts w:ascii="宋体"/>
          <w:szCs w:val="21"/>
        </w:rPr>
        <w:instrText xml:space="preserve"> HYPERLINK \l _Toc295 </w:instrText>
      </w:r>
      <w:r>
        <w:rPr>
          <w:rFonts w:ascii="宋体"/>
          <w:szCs w:val="21"/>
        </w:rPr>
        <w:fldChar w:fldCharType="separate"/>
      </w:r>
      <w:r>
        <w:rPr>
          <w:rFonts w:hint="eastAsia" w:ascii="宋体"/>
          <w:kern w:val="0"/>
        </w:rPr>
        <w:t>第一章竞争性磋商公告</w:t>
      </w:r>
      <w:r>
        <w:tab/>
      </w:r>
      <w:r>
        <w:fldChar w:fldCharType="begin"/>
      </w:r>
      <w:r>
        <w:instrText xml:space="preserve"> PAGEREF _Toc295 </w:instrText>
      </w:r>
      <w:r>
        <w:fldChar w:fldCharType="separate"/>
      </w:r>
      <w:r>
        <w:t>4</w:t>
      </w:r>
      <w:r>
        <w:fldChar w:fldCharType="end"/>
      </w:r>
      <w:r>
        <w:rPr>
          <w:rFonts w:asci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_Toc24483 </w:instrText>
      </w:r>
      <w:r>
        <w:rPr>
          <w:rFonts w:ascii="宋体" w:hAnsi="宋体"/>
          <w:szCs w:val="21"/>
        </w:rPr>
        <w:fldChar w:fldCharType="separate"/>
      </w:r>
      <w:r>
        <w:rPr>
          <w:rFonts w:hint="eastAsia" w:ascii="宋体" w:hAnsi="宋体" w:cs="宋体"/>
        </w:rPr>
        <w:t>七</w:t>
      </w:r>
      <w:r>
        <w:rPr>
          <w:rFonts w:hint="eastAsia" w:ascii="宋体" w:hAnsi="宋体" w:cs="宋体"/>
          <w:szCs w:val="21"/>
        </w:rPr>
        <w:t>、</w:t>
      </w:r>
      <w:r>
        <w:rPr>
          <w:rFonts w:hint="eastAsia" w:ascii="宋体" w:hAnsi="宋体" w:cs="宋体"/>
          <w:kern w:val="0"/>
          <w:szCs w:val="21"/>
        </w:rPr>
        <w:t>招标文件发售时间及地点：</w:t>
      </w:r>
      <w:r>
        <w:tab/>
      </w:r>
      <w:r>
        <w:fldChar w:fldCharType="begin"/>
      </w:r>
      <w:r>
        <w:instrText xml:space="preserve"> PAGEREF _Toc24483 </w:instrText>
      </w:r>
      <w:r>
        <w:fldChar w:fldCharType="separate"/>
      </w:r>
      <w:r>
        <w:t>4</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_Toc10611 </w:instrText>
      </w:r>
      <w:r>
        <w:rPr>
          <w:rFonts w:ascii="宋体" w:hAnsi="宋体"/>
          <w:szCs w:val="21"/>
        </w:rPr>
        <w:fldChar w:fldCharType="separate"/>
      </w:r>
      <w:r>
        <w:rPr>
          <w:rFonts w:hint="eastAsia" w:ascii="黑体" w:hAnsi="宋体" w:eastAsia="黑体"/>
          <w:szCs w:val="36"/>
        </w:rPr>
        <w:t>第二</w:t>
      </w:r>
      <w:r>
        <w:rPr>
          <w:rFonts w:hint="eastAsia" w:ascii="宋体"/>
          <w:kern w:val="0"/>
        </w:rPr>
        <w:t>章</w:t>
      </w:r>
      <w:r>
        <w:rPr>
          <w:rFonts w:hint="eastAsia" w:ascii="黑体" w:hAnsi="宋体" w:eastAsia="黑体"/>
          <w:bCs/>
          <w:szCs w:val="36"/>
        </w:rPr>
        <w:t>磋商</w:t>
      </w:r>
      <w:r>
        <w:rPr>
          <w:rFonts w:hint="eastAsia" w:ascii="黑体" w:hAnsi="宋体" w:eastAsia="黑体"/>
          <w:szCs w:val="36"/>
        </w:rPr>
        <w:t>需求</w:t>
      </w:r>
      <w:r>
        <w:tab/>
      </w:r>
      <w:r>
        <w:fldChar w:fldCharType="begin"/>
      </w:r>
      <w:r>
        <w:instrText xml:space="preserve"> PAGEREF _Toc10611 </w:instrText>
      </w:r>
      <w:r>
        <w:fldChar w:fldCharType="separate"/>
      </w:r>
      <w:r>
        <w:t>6</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_Toc15336 </w:instrText>
      </w:r>
      <w:r>
        <w:rPr>
          <w:rFonts w:ascii="宋体" w:hAnsi="宋体"/>
          <w:szCs w:val="21"/>
        </w:rPr>
        <w:fldChar w:fldCharType="separate"/>
      </w:r>
      <w:r>
        <w:rPr>
          <w:rFonts w:hint="eastAsia" w:ascii="黑体" w:hAnsi="黑体" w:eastAsia="黑体"/>
          <w:szCs w:val="28"/>
        </w:rPr>
        <w:t>一、 项目背景</w:t>
      </w:r>
      <w:r>
        <w:tab/>
      </w:r>
      <w:r>
        <w:fldChar w:fldCharType="begin"/>
      </w:r>
      <w:r>
        <w:instrText xml:space="preserve"> PAGEREF _Toc15336 </w:instrText>
      </w:r>
      <w:r>
        <w:fldChar w:fldCharType="separate"/>
      </w:r>
      <w:r>
        <w:t>6</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_Toc5581 </w:instrText>
      </w:r>
      <w:r>
        <w:rPr>
          <w:rFonts w:ascii="宋体" w:hAnsi="宋体"/>
          <w:szCs w:val="21"/>
        </w:rPr>
        <w:fldChar w:fldCharType="separate"/>
      </w:r>
      <w:r>
        <w:rPr>
          <w:rFonts w:hint="eastAsia" w:ascii="黑体" w:hAnsi="黑体" w:eastAsia="黑体"/>
          <w:szCs w:val="28"/>
        </w:rPr>
        <w:t>二、研究范围</w:t>
      </w:r>
      <w:r>
        <w:tab/>
      </w:r>
      <w:r>
        <w:fldChar w:fldCharType="begin"/>
      </w:r>
      <w:r>
        <w:instrText xml:space="preserve"> PAGEREF _Toc5581 </w:instrText>
      </w:r>
      <w:r>
        <w:fldChar w:fldCharType="separate"/>
      </w:r>
      <w:r>
        <w:t>6</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_Toc29054 </w:instrText>
      </w:r>
      <w:r>
        <w:rPr>
          <w:rFonts w:ascii="宋体" w:hAnsi="宋体"/>
          <w:szCs w:val="21"/>
        </w:rPr>
        <w:fldChar w:fldCharType="separate"/>
      </w:r>
      <w:r>
        <w:rPr>
          <w:rFonts w:hint="eastAsia" w:ascii="黑体" w:hAnsi="黑体" w:eastAsia="黑体"/>
          <w:szCs w:val="28"/>
        </w:rPr>
        <w:t>三、成果构成</w:t>
      </w:r>
      <w:r>
        <w:tab/>
      </w:r>
      <w:r>
        <w:fldChar w:fldCharType="begin"/>
      </w:r>
      <w:r>
        <w:instrText xml:space="preserve"> PAGEREF _Toc29054 </w:instrText>
      </w:r>
      <w:r>
        <w:fldChar w:fldCharType="separate"/>
      </w:r>
      <w:r>
        <w:t>7</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_Toc2749 </w:instrText>
      </w:r>
      <w:r>
        <w:rPr>
          <w:rFonts w:ascii="宋体" w:hAnsi="宋体"/>
          <w:szCs w:val="21"/>
        </w:rPr>
        <w:fldChar w:fldCharType="separate"/>
      </w:r>
      <w:r>
        <w:rPr>
          <w:rFonts w:hint="eastAsia" w:ascii="宋体" w:hAnsi="宋体"/>
        </w:rPr>
        <w:t>1、规划成果</w:t>
      </w:r>
      <w:r>
        <w:tab/>
      </w:r>
      <w:r>
        <w:fldChar w:fldCharType="begin"/>
      </w:r>
      <w:r>
        <w:instrText xml:space="preserve"> PAGEREF _Toc2749 </w:instrText>
      </w:r>
      <w:r>
        <w:fldChar w:fldCharType="separate"/>
      </w:r>
      <w:r>
        <w:t>7</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_Toc16572 </w:instrText>
      </w:r>
      <w:r>
        <w:rPr>
          <w:rFonts w:ascii="宋体" w:hAnsi="宋体"/>
          <w:szCs w:val="21"/>
        </w:rPr>
        <w:fldChar w:fldCharType="separate"/>
      </w:r>
      <w:r>
        <w:rPr>
          <w:rFonts w:hint="eastAsia" w:ascii="黑体" w:hAnsi="黑体" w:eastAsia="黑体"/>
          <w:szCs w:val="28"/>
        </w:rPr>
        <w:t>四、其他要求</w:t>
      </w:r>
      <w:r>
        <w:tab/>
      </w:r>
      <w:r>
        <w:fldChar w:fldCharType="begin"/>
      </w:r>
      <w:r>
        <w:instrText xml:space="preserve"> PAGEREF _Toc16572 </w:instrText>
      </w:r>
      <w:r>
        <w:fldChar w:fldCharType="separate"/>
      </w:r>
      <w:r>
        <w:t>7</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_Toc17791 </w:instrText>
      </w:r>
      <w:r>
        <w:rPr>
          <w:rFonts w:ascii="宋体" w:hAnsi="宋体"/>
          <w:szCs w:val="21"/>
        </w:rPr>
        <w:fldChar w:fldCharType="separate"/>
      </w:r>
      <w:r>
        <w:rPr>
          <w:rFonts w:hint="eastAsia" w:ascii="黑体" w:hAnsi="宋体" w:eastAsia="黑体"/>
          <w:szCs w:val="36"/>
        </w:rPr>
        <w:t>第三章磋商供应商须知</w:t>
      </w:r>
      <w:r>
        <w:tab/>
      </w:r>
      <w:r>
        <w:fldChar w:fldCharType="begin"/>
      </w:r>
      <w:r>
        <w:instrText xml:space="preserve"> PAGEREF _Toc17791 </w:instrText>
      </w:r>
      <w:r>
        <w:fldChar w:fldCharType="separate"/>
      </w:r>
      <w:r>
        <w:t>8</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_Toc32545 </w:instrText>
      </w:r>
      <w:r>
        <w:rPr>
          <w:rFonts w:ascii="宋体" w:hAnsi="宋体"/>
          <w:szCs w:val="21"/>
        </w:rPr>
        <w:fldChar w:fldCharType="separate"/>
      </w:r>
      <w:r>
        <w:rPr>
          <w:rFonts w:hint="eastAsia" w:ascii="宋体"/>
          <w:kern w:val="0"/>
        </w:rPr>
        <w:t>一、总  则</w:t>
      </w:r>
      <w:r>
        <w:tab/>
      </w:r>
      <w:r>
        <w:fldChar w:fldCharType="begin"/>
      </w:r>
      <w:r>
        <w:instrText xml:space="preserve"> PAGEREF _Toc32545 </w:instrText>
      </w:r>
      <w:r>
        <w:fldChar w:fldCharType="separate"/>
      </w:r>
      <w:r>
        <w:t>10</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_Toc1511 </w:instrText>
      </w:r>
      <w:r>
        <w:rPr>
          <w:rFonts w:ascii="宋体" w:hAnsi="宋体"/>
          <w:szCs w:val="21"/>
        </w:rPr>
        <w:fldChar w:fldCharType="separate"/>
      </w:r>
      <w:r>
        <w:rPr>
          <w:rFonts w:hint="eastAsia" w:ascii="宋体"/>
          <w:kern w:val="0"/>
        </w:rPr>
        <w:t>二、磋商文件</w:t>
      </w:r>
      <w:r>
        <w:tab/>
      </w:r>
      <w:r>
        <w:fldChar w:fldCharType="begin"/>
      </w:r>
      <w:r>
        <w:instrText xml:space="preserve"> PAGEREF _Toc1511 </w:instrText>
      </w:r>
      <w:r>
        <w:fldChar w:fldCharType="separate"/>
      </w:r>
      <w:r>
        <w:t>12</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_Toc29761 </w:instrText>
      </w:r>
      <w:r>
        <w:rPr>
          <w:rFonts w:ascii="宋体" w:hAnsi="宋体"/>
          <w:szCs w:val="21"/>
        </w:rPr>
        <w:fldChar w:fldCharType="separate"/>
      </w:r>
      <w:r>
        <w:rPr>
          <w:rFonts w:hint="eastAsia" w:ascii="宋体"/>
          <w:kern w:val="0"/>
        </w:rPr>
        <w:t>三、响应文件的编制</w:t>
      </w:r>
      <w:r>
        <w:tab/>
      </w:r>
      <w:r>
        <w:fldChar w:fldCharType="begin"/>
      </w:r>
      <w:r>
        <w:instrText xml:space="preserve"> PAGEREF _Toc29761 </w:instrText>
      </w:r>
      <w:r>
        <w:fldChar w:fldCharType="separate"/>
      </w:r>
      <w:r>
        <w:t>12</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_Toc2077 </w:instrText>
      </w:r>
      <w:r>
        <w:rPr>
          <w:rFonts w:ascii="宋体" w:hAnsi="宋体"/>
          <w:szCs w:val="21"/>
        </w:rPr>
        <w:fldChar w:fldCharType="separate"/>
      </w:r>
      <w:r>
        <w:rPr>
          <w:rFonts w:hint="eastAsia" w:ascii="宋体"/>
          <w:kern w:val="0"/>
        </w:rPr>
        <w:t>四、磋商保证金：</w:t>
      </w:r>
      <w:r>
        <w:tab/>
      </w:r>
      <w:r>
        <w:fldChar w:fldCharType="begin"/>
      </w:r>
      <w:r>
        <w:instrText xml:space="preserve"> PAGEREF _Toc2077 </w:instrText>
      </w:r>
      <w:r>
        <w:fldChar w:fldCharType="separate"/>
      </w:r>
      <w:r>
        <w:t>15</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_Toc15102 </w:instrText>
      </w:r>
      <w:r>
        <w:rPr>
          <w:rFonts w:ascii="宋体" w:hAnsi="宋体"/>
          <w:szCs w:val="21"/>
        </w:rPr>
        <w:fldChar w:fldCharType="separate"/>
      </w:r>
      <w:r>
        <w:rPr>
          <w:rFonts w:hint="eastAsia" w:ascii="宋体"/>
          <w:kern w:val="0"/>
        </w:rPr>
        <w:t>五、无效磋商文件及废标确认</w:t>
      </w:r>
      <w:r>
        <w:tab/>
      </w:r>
      <w:r>
        <w:fldChar w:fldCharType="begin"/>
      </w:r>
      <w:r>
        <w:instrText xml:space="preserve"> PAGEREF _Toc15102 </w:instrText>
      </w:r>
      <w:r>
        <w:fldChar w:fldCharType="separate"/>
      </w:r>
      <w:r>
        <w:t>15</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_Toc30061 </w:instrText>
      </w:r>
      <w:r>
        <w:rPr>
          <w:rFonts w:ascii="宋体" w:hAnsi="宋体"/>
          <w:szCs w:val="21"/>
        </w:rPr>
        <w:fldChar w:fldCharType="separate"/>
      </w:r>
      <w:r>
        <w:rPr>
          <w:rFonts w:hint="eastAsia" w:ascii="宋体"/>
          <w:kern w:val="0"/>
        </w:rPr>
        <w:t>六、开标</w:t>
      </w:r>
      <w:r>
        <w:tab/>
      </w:r>
      <w:r>
        <w:fldChar w:fldCharType="begin"/>
      </w:r>
      <w:r>
        <w:instrText xml:space="preserve"> PAGEREF _Toc30061 </w:instrText>
      </w:r>
      <w:r>
        <w:fldChar w:fldCharType="separate"/>
      </w:r>
      <w:r>
        <w:t>16</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_Toc12700 </w:instrText>
      </w:r>
      <w:r>
        <w:rPr>
          <w:rFonts w:ascii="宋体" w:hAnsi="宋体"/>
          <w:szCs w:val="21"/>
        </w:rPr>
        <w:fldChar w:fldCharType="separate"/>
      </w:r>
      <w:r>
        <w:rPr>
          <w:rFonts w:hint="eastAsia" w:ascii="宋体"/>
          <w:kern w:val="0"/>
        </w:rPr>
        <w:t>七、评审</w:t>
      </w:r>
      <w:r>
        <w:tab/>
      </w:r>
      <w:r>
        <w:fldChar w:fldCharType="begin"/>
      </w:r>
      <w:r>
        <w:instrText xml:space="preserve"> PAGEREF _Toc12700 </w:instrText>
      </w:r>
      <w:r>
        <w:fldChar w:fldCharType="separate"/>
      </w:r>
      <w:r>
        <w:t>17</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_Toc19595 </w:instrText>
      </w:r>
      <w:r>
        <w:rPr>
          <w:rFonts w:ascii="宋体" w:hAnsi="宋体"/>
          <w:szCs w:val="21"/>
        </w:rPr>
        <w:fldChar w:fldCharType="separate"/>
      </w:r>
      <w:r>
        <w:rPr>
          <w:rFonts w:hint="eastAsia" w:ascii="宋体"/>
          <w:kern w:val="0"/>
        </w:rPr>
        <w:t>七、定标</w:t>
      </w:r>
      <w:r>
        <w:tab/>
      </w:r>
      <w:r>
        <w:fldChar w:fldCharType="begin"/>
      </w:r>
      <w:r>
        <w:instrText xml:space="preserve"> PAGEREF _Toc19595 </w:instrText>
      </w:r>
      <w:r>
        <w:fldChar w:fldCharType="separate"/>
      </w:r>
      <w:r>
        <w:t>19</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_Toc6008 </w:instrText>
      </w:r>
      <w:r>
        <w:rPr>
          <w:rFonts w:ascii="宋体" w:hAnsi="宋体"/>
          <w:szCs w:val="21"/>
        </w:rPr>
        <w:fldChar w:fldCharType="separate"/>
      </w:r>
      <w:r>
        <w:rPr>
          <w:rFonts w:hint="eastAsia" w:ascii="宋体"/>
          <w:kern w:val="0"/>
        </w:rPr>
        <w:t>八、授予合同</w:t>
      </w:r>
      <w:r>
        <w:tab/>
      </w:r>
      <w:r>
        <w:fldChar w:fldCharType="begin"/>
      </w:r>
      <w:r>
        <w:instrText xml:space="preserve"> PAGEREF _Toc6008 </w:instrText>
      </w:r>
      <w:r>
        <w:fldChar w:fldCharType="separate"/>
      </w:r>
      <w:r>
        <w:t>19</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_Toc1269 </w:instrText>
      </w:r>
      <w:r>
        <w:rPr>
          <w:rFonts w:ascii="宋体" w:hAnsi="宋体"/>
          <w:szCs w:val="21"/>
        </w:rPr>
        <w:fldChar w:fldCharType="separate"/>
      </w:r>
      <w:r>
        <w:rPr>
          <w:rFonts w:hint="eastAsia" w:ascii="黑体" w:hAnsi="宋体" w:eastAsia="黑体"/>
          <w:bCs/>
          <w:szCs w:val="36"/>
        </w:rPr>
        <w:t>第四章  评审办法及评审标准</w:t>
      </w:r>
      <w:r>
        <w:tab/>
      </w:r>
      <w:r>
        <w:fldChar w:fldCharType="begin"/>
      </w:r>
      <w:r>
        <w:instrText xml:space="preserve"> PAGEREF _Toc1269 </w:instrText>
      </w:r>
      <w:r>
        <w:fldChar w:fldCharType="separate"/>
      </w:r>
      <w:r>
        <w:t>21</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_Toc11619 </w:instrText>
      </w:r>
      <w:r>
        <w:rPr>
          <w:rFonts w:ascii="宋体" w:hAnsi="宋体"/>
          <w:szCs w:val="21"/>
        </w:rPr>
        <w:fldChar w:fldCharType="separate"/>
      </w:r>
      <w:r>
        <w:rPr>
          <w:rFonts w:hint="eastAsia" w:ascii="黑体" w:hAnsi="宋体" w:eastAsia="黑体"/>
          <w:bCs/>
          <w:szCs w:val="36"/>
        </w:rPr>
        <w:t>第五章　</w:t>
      </w:r>
      <w:r>
        <w:rPr>
          <w:rFonts w:hint="eastAsia" w:ascii="黑体" w:hAnsi="宋体" w:eastAsia="黑体"/>
          <w:bCs/>
          <w:szCs w:val="32"/>
        </w:rPr>
        <w:t>合同主要协议条款</w:t>
      </w:r>
      <w:r>
        <w:tab/>
      </w:r>
      <w:r>
        <w:fldChar w:fldCharType="begin"/>
      </w:r>
      <w:r>
        <w:instrText xml:space="preserve"> PAGEREF _Toc11619 </w:instrText>
      </w:r>
      <w:r>
        <w:fldChar w:fldCharType="separate"/>
      </w:r>
      <w:r>
        <w:t>24</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_Toc3671 </w:instrText>
      </w:r>
      <w:r>
        <w:rPr>
          <w:rFonts w:ascii="宋体" w:hAnsi="宋体"/>
          <w:szCs w:val="21"/>
        </w:rPr>
        <w:fldChar w:fldCharType="separate"/>
      </w:r>
      <w:r>
        <w:rPr>
          <w:rFonts w:hint="eastAsia" w:ascii="宋体" w:hAnsi="宋体" w:cs="宋体"/>
        </w:rPr>
        <w:t>1、现状分析</w:t>
      </w:r>
      <w:r>
        <w:tab/>
      </w:r>
      <w:r>
        <w:fldChar w:fldCharType="begin"/>
      </w:r>
      <w:r>
        <w:instrText xml:space="preserve"> PAGEREF _Toc3671 </w:instrText>
      </w:r>
      <w:r>
        <w:fldChar w:fldCharType="separate"/>
      </w:r>
      <w:r>
        <w:t>24</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_Toc5621 </w:instrText>
      </w:r>
      <w:r>
        <w:rPr>
          <w:rFonts w:ascii="宋体" w:hAnsi="宋体"/>
          <w:szCs w:val="21"/>
        </w:rPr>
        <w:fldChar w:fldCharType="separate"/>
      </w:r>
      <w:r>
        <w:rPr>
          <w:rFonts w:hint="eastAsia" w:ascii="宋体" w:hAnsi="宋体" w:cs="宋体"/>
        </w:rPr>
        <w:t>2、规划分析</w:t>
      </w:r>
      <w:r>
        <w:tab/>
      </w:r>
      <w:r>
        <w:fldChar w:fldCharType="begin"/>
      </w:r>
      <w:r>
        <w:instrText xml:space="preserve"> PAGEREF _Toc5621 </w:instrText>
      </w:r>
      <w:r>
        <w:fldChar w:fldCharType="separate"/>
      </w:r>
      <w:r>
        <w:t>24</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_Toc5149 </w:instrText>
      </w:r>
      <w:r>
        <w:rPr>
          <w:rFonts w:ascii="宋体" w:hAnsi="宋体"/>
          <w:szCs w:val="21"/>
        </w:rPr>
        <w:fldChar w:fldCharType="separate"/>
      </w:r>
      <w:r>
        <w:rPr>
          <w:rFonts w:hint="eastAsia" w:ascii="宋体" w:hAnsi="宋体" w:cs="宋体"/>
        </w:rPr>
        <w:t>3、交通影响范围内主要规划内容</w:t>
      </w:r>
      <w:r>
        <w:tab/>
      </w:r>
      <w:r>
        <w:fldChar w:fldCharType="begin"/>
      </w:r>
      <w:r>
        <w:instrText xml:space="preserve"> PAGEREF _Toc5149 </w:instrText>
      </w:r>
      <w:r>
        <w:fldChar w:fldCharType="separate"/>
      </w:r>
      <w:r>
        <w:t>24</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_Toc23889 </w:instrText>
      </w:r>
      <w:r>
        <w:rPr>
          <w:rFonts w:ascii="宋体" w:hAnsi="宋体"/>
          <w:szCs w:val="21"/>
        </w:rPr>
        <w:fldChar w:fldCharType="separate"/>
      </w:r>
      <w:r>
        <w:rPr>
          <w:rFonts w:hint="eastAsia" w:ascii="宋体" w:hAnsi="宋体" w:cs="宋体"/>
        </w:rPr>
        <w:t>4、交通协调范围内主要规划内容</w:t>
      </w:r>
      <w:r>
        <w:tab/>
      </w:r>
      <w:r>
        <w:fldChar w:fldCharType="begin"/>
      </w:r>
      <w:r>
        <w:instrText xml:space="preserve"> PAGEREF _Toc23889 </w:instrText>
      </w:r>
      <w:r>
        <w:fldChar w:fldCharType="separate"/>
      </w:r>
      <w:r>
        <w:t>24</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_Toc28316 </w:instrText>
      </w:r>
      <w:r>
        <w:rPr>
          <w:rFonts w:ascii="宋体" w:hAnsi="宋体"/>
          <w:szCs w:val="21"/>
        </w:rPr>
        <w:fldChar w:fldCharType="separate"/>
      </w:r>
      <w:r>
        <w:rPr>
          <w:rFonts w:hint="eastAsia" w:ascii="宋体" w:hAnsi="宋体" w:cs="宋体"/>
        </w:rPr>
        <w:t>5、道路网优化</w:t>
      </w:r>
      <w:r>
        <w:tab/>
      </w:r>
      <w:r>
        <w:fldChar w:fldCharType="begin"/>
      </w:r>
      <w:r>
        <w:instrText xml:space="preserve"> PAGEREF _Toc28316 </w:instrText>
      </w:r>
      <w:r>
        <w:fldChar w:fldCharType="separate"/>
      </w:r>
      <w:r>
        <w:t>24</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_Toc3124 </w:instrText>
      </w:r>
      <w:r>
        <w:rPr>
          <w:rFonts w:ascii="宋体" w:hAnsi="宋体"/>
          <w:szCs w:val="21"/>
        </w:rPr>
        <w:fldChar w:fldCharType="separate"/>
      </w:r>
      <w:r>
        <w:rPr>
          <w:rFonts w:hint="eastAsia" w:ascii="黑体" w:hAnsi="宋体" w:eastAsia="黑体"/>
          <w:bCs/>
          <w:szCs w:val="36"/>
        </w:rPr>
        <w:t>第五</w:t>
      </w:r>
      <w:r>
        <w:rPr>
          <w:rFonts w:hint="eastAsia" w:ascii="宋体"/>
          <w:kern w:val="0"/>
        </w:rPr>
        <w:t>章</w:t>
      </w:r>
      <w:r>
        <w:rPr>
          <w:rFonts w:hint="eastAsia" w:ascii="黑体" w:hAnsi="宋体" w:eastAsia="黑体"/>
          <w:bCs/>
          <w:szCs w:val="36"/>
        </w:rPr>
        <w:t>：   应提交的有关格式</w:t>
      </w:r>
      <w:r>
        <w:tab/>
      </w:r>
      <w:r>
        <w:fldChar w:fldCharType="begin"/>
      </w:r>
      <w:r>
        <w:instrText xml:space="preserve"> PAGEREF _Toc3124 </w:instrText>
      </w:r>
      <w:r>
        <w:fldChar w:fldCharType="separate"/>
      </w:r>
      <w:r>
        <w:t>27</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_Toc13942 </w:instrText>
      </w:r>
      <w:r>
        <w:rPr>
          <w:rFonts w:ascii="宋体" w:hAnsi="宋体"/>
          <w:szCs w:val="21"/>
        </w:rPr>
        <w:fldChar w:fldCharType="separate"/>
      </w:r>
      <w:r>
        <w:rPr>
          <w:rFonts w:hint="eastAsia" w:ascii="宋体" w:hAnsi="宋体"/>
          <w:szCs w:val="30"/>
        </w:rPr>
        <w:t>一、技术文件</w:t>
      </w:r>
      <w:r>
        <w:tab/>
      </w:r>
      <w:r>
        <w:fldChar w:fldCharType="begin"/>
      </w:r>
      <w:r>
        <w:instrText xml:space="preserve"> PAGEREF _Toc13942 </w:instrText>
      </w:r>
      <w:r>
        <w:fldChar w:fldCharType="separate"/>
      </w:r>
      <w:r>
        <w:t>28</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_Toc2111 </w:instrText>
      </w:r>
      <w:r>
        <w:rPr>
          <w:rFonts w:ascii="宋体" w:hAnsi="宋体"/>
          <w:szCs w:val="21"/>
        </w:rPr>
        <w:fldChar w:fldCharType="separate"/>
      </w:r>
      <w:r>
        <w:rPr>
          <w:rFonts w:hint="eastAsia" w:ascii="宋体" w:hAnsi="宋体"/>
        </w:rPr>
        <w:t>附件1</w:t>
      </w:r>
      <w:r>
        <w:tab/>
      </w:r>
      <w:r>
        <w:fldChar w:fldCharType="begin"/>
      </w:r>
      <w:r>
        <w:instrText xml:space="preserve"> PAGEREF _Toc2111 </w:instrText>
      </w:r>
      <w:r>
        <w:fldChar w:fldCharType="separate"/>
      </w:r>
      <w:r>
        <w:t>28</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_Toc21542 </w:instrText>
      </w:r>
      <w:r>
        <w:rPr>
          <w:rFonts w:ascii="宋体" w:hAnsi="宋体"/>
          <w:szCs w:val="21"/>
        </w:rPr>
        <w:fldChar w:fldCharType="separate"/>
      </w:r>
      <w:r>
        <w:rPr>
          <w:rFonts w:hint="eastAsia" w:ascii="宋体" w:hAnsi="宋体"/>
        </w:rPr>
        <w:t>附件2：</w:t>
      </w:r>
      <w:r>
        <w:tab/>
      </w:r>
      <w:r>
        <w:fldChar w:fldCharType="begin"/>
      </w:r>
      <w:r>
        <w:instrText xml:space="preserve"> PAGEREF _Toc21542 </w:instrText>
      </w:r>
      <w:r>
        <w:fldChar w:fldCharType="separate"/>
      </w:r>
      <w:r>
        <w:t>29</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_Toc21473 </w:instrText>
      </w:r>
      <w:r>
        <w:rPr>
          <w:rFonts w:ascii="宋体" w:hAnsi="宋体"/>
          <w:szCs w:val="21"/>
        </w:rPr>
        <w:fldChar w:fldCharType="separate"/>
      </w:r>
      <w:r>
        <w:rPr>
          <w:rFonts w:hint="eastAsia" w:ascii="宋体" w:hAnsi="宋体"/>
        </w:rPr>
        <w:t>附件3</w:t>
      </w:r>
      <w:r>
        <w:tab/>
      </w:r>
      <w:r>
        <w:fldChar w:fldCharType="begin"/>
      </w:r>
      <w:r>
        <w:instrText xml:space="preserve"> PAGEREF _Toc21473 </w:instrText>
      </w:r>
      <w:r>
        <w:fldChar w:fldCharType="separate"/>
      </w:r>
      <w:r>
        <w:t>30</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_Toc29904 </w:instrText>
      </w:r>
      <w:r>
        <w:rPr>
          <w:rFonts w:ascii="宋体" w:hAnsi="宋体"/>
          <w:szCs w:val="21"/>
        </w:rPr>
        <w:fldChar w:fldCharType="separate"/>
      </w:r>
      <w:r>
        <w:rPr>
          <w:rFonts w:hint="eastAsia" w:ascii="宋体" w:hAnsi="宋体"/>
        </w:rPr>
        <w:t>附件4</w:t>
      </w:r>
      <w:r>
        <w:tab/>
      </w:r>
      <w:r>
        <w:fldChar w:fldCharType="begin"/>
      </w:r>
      <w:r>
        <w:instrText xml:space="preserve"> PAGEREF _Toc29904 </w:instrText>
      </w:r>
      <w:r>
        <w:fldChar w:fldCharType="separate"/>
      </w:r>
      <w:r>
        <w:t>31</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_Toc4687 </w:instrText>
      </w:r>
      <w:r>
        <w:rPr>
          <w:rFonts w:ascii="宋体" w:hAnsi="宋体"/>
          <w:szCs w:val="21"/>
        </w:rPr>
        <w:fldChar w:fldCharType="separate"/>
      </w:r>
      <w:r>
        <w:rPr>
          <w:rFonts w:hint="eastAsia" w:ascii="宋体" w:hAnsi="宋体"/>
        </w:rPr>
        <w:t>附件5</w:t>
      </w:r>
      <w:r>
        <w:tab/>
      </w:r>
      <w:r>
        <w:fldChar w:fldCharType="begin"/>
      </w:r>
      <w:r>
        <w:instrText xml:space="preserve"> PAGEREF _Toc4687 </w:instrText>
      </w:r>
      <w:r>
        <w:fldChar w:fldCharType="separate"/>
      </w:r>
      <w:r>
        <w:t>32</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_Toc22230 </w:instrText>
      </w:r>
      <w:r>
        <w:rPr>
          <w:rFonts w:ascii="宋体" w:hAnsi="宋体"/>
          <w:szCs w:val="21"/>
        </w:rPr>
        <w:fldChar w:fldCharType="separate"/>
      </w:r>
      <w:r>
        <w:rPr>
          <w:rFonts w:hint="eastAsia" w:ascii="宋体" w:hAnsi="宋体"/>
        </w:rPr>
        <w:t>附件6</w:t>
      </w:r>
      <w:r>
        <w:tab/>
      </w:r>
      <w:r>
        <w:fldChar w:fldCharType="begin"/>
      </w:r>
      <w:r>
        <w:instrText xml:space="preserve"> PAGEREF _Toc22230 </w:instrText>
      </w:r>
      <w:r>
        <w:fldChar w:fldCharType="separate"/>
      </w:r>
      <w:r>
        <w:t>33</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_Toc6246 </w:instrText>
      </w:r>
      <w:r>
        <w:rPr>
          <w:rFonts w:ascii="宋体" w:hAnsi="宋体"/>
          <w:szCs w:val="21"/>
        </w:rPr>
        <w:fldChar w:fldCharType="separate"/>
      </w:r>
      <w:r>
        <w:rPr>
          <w:rFonts w:hint="eastAsia" w:ascii="宋体" w:hAnsi="宋体"/>
          <w:szCs w:val="32"/>
        </w:rPr>
        <w:t>二、报价文件</w:t>
      </w:r>
      <w:r>
        <w:tab/>
      </w:r>
      <w:r>
        <w:fldChar w:fldCharType="begin"/>
      </w:r>
      <w:r>
        <w:instrText xml:space="preserve"> PAGEREF _Toc6246 </w:instrText>
      </w:r>
      <w:r>
        <w:fldChar w:fldCharType="separate"/>
      </w:r>
      <w:r>
        <w:t>35</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_Toc13241 </w:instrText>
      </w:r>
      <w:r>
        <w:rPr>
          <w:rFonts w:ascii="宋体" w:hAnsi="宋体"/>
          <w:szCs w:val="21"/>
        </w:rPr>
        <w:fldChar w:fldCharType="separate"/>
      </w:r>
      <w:r>
        <w:rPr>
          <w:rFonts w:hint="eastAsia" w:ascii="宋体" w:hAnsi="宋体"/>
        </w:rPr>
        <w:t>附件1</w:t>
      </w:r>
      <w:r>
        <w:tab/>
      </w:r>
      <w:r>
        <w:fldChar w:fldCharType="begin"/>
      </w:r>
      <w:r>
        <w:instrText xml:space="preserve"> PAGEREF _Toc13241 </w:instrText>
      </w:r>
      <w:r>
        <w:fldChar w:fldCharType="separate"/>
      </w:r>
      <w:r>
        <w:t>35</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_Toc22891 </w:instrText>
      </w:r>
      <w:r>
        <w:rPr>
          <w:rFonts w:ascii="宋体" w:hAnsi="宋体"/>
          <w:szCs w:val="21"/>
        </w:rPr>
        <w:fldChar w:fldCharType="separate"/>
      </w:r>
      <w:r>
        <w:rPr>
          <w:rFonts w:ascii="宋体" w:hAnsi="宋体"/>
        </w:rPr>
        <w:t>附件</w:t>
      </w:r>
      <w:r>
        <w:rPr>
          <w:rFonts w:hint="eastAsia" w:ascii="宋体" w:hAnsi="宋体"/>
        </w:rPr>
        <w:t>2</w:t>
      </w:r>
      <w:r>
        <w:rPr>
          <w:rFonts w:ascii="宋体" w:hAnsi="宋体"/>
        </w:rPr>
        <w:t>：</w:t>
      </w:r>
      <w:r>
        <w:tab/>
      </w:r>
      <w:r>
        <w:fldChar w:fldCharType="begin"/>
      </w:r>
      <w:r>
        <w:instrText xml:space="preserve"> PAGEREF _Toc22891 </w:instrText>
      </w:r>
      <w:r>
        <w:fldChar w:fldCharType="separate"/>
      </w:r>
      <w:r>
        <w:t>36</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_Toc31304 </w:instrText>
      </w:r>
      <w:r>
        <w:rPr>
          <w:rFonts w:ascii="宋体" w:hAnsi="宋体"/>
          <w:szCs w:val="21"/>
        </w:rPr>
        <w:fldChar w:fldCharType="separate"/>
      </w:r>
      <w:r>
        <w:rPr>
          <w:rFonts w:ascii="宋体" w:hAnsi="宋体"/>
        </w:rPr>
        <w:t>附件</w:t>
      </w:r>
      <w:r>
        <w:rPr>
          <w:rFonts w:hint="eastAsia" w:ascii="宋体" w:hAnsi="宋体"/>
        </w:rPr>
        <w:t>3</w:t>
      </w:r>
      <w:r>
        <w:rPr>
          <w:rFonts w:ascii="宋体" w:hAnsi="宋体"/>
        </w:rPr>
        <w:t>：</w:t>
      </w:r>
      <w:r>
        <w:tab/>
      </w:r>
      <w:r>
        <w:fldChar w:fldCharType="begin"/>
      </w:r>
      <w:r>
        <w:instrText xml:space="preserve"> PAGEREF _Toc31304 </w:instrText>
      </w:r>
      <w:r>
        <w:fldChar w:fldCharType="separate"/>
      </w:r>
      <w:r>
        <w:t>37</w:t>
      </w:r>
      <w:r>
        <w:fldChar w:fldCharType="end"/>
      </w:r>
      <w:r>
        <w:rPr>
          <w:rFonts w:ascii="宋体" w:hAnsi="宋体"/>
          <w:szCs w:val="21"/>
        </w:rPr>
        <w:fldChar w:fldCharType="end"/>
      </w:r>
    </w:p>
    <w:p>
      <w:pPr>
        <w:pStyle w:val="12"/>
        <w:tabs>
          <w:tab w:val="right" w:leader="dot" w:pos="9184"/>
          <w:tab w:val="clear" w:pos="9515"/>
        </w:tabs>
      </w:pPr>
      <w:r>
        <w:rPr>
          <w:rFonts w:ascii="宋体" w:hAnsi="宋体"/>
          <w:szCs w:val="21"/>
        </w:rPr>
        <w:fldChar w:fldCharType="begin"/>
      </w:r>
      <w:r>
        <w:rPr>
          <w:rFonts w:ascii="宋体" w:hAnsi="宋体"/>
          <w:szCs w:val="21"/>
        </w:rPr>
        <w:instrText xml:space="preserve"> HYPERLINK \l _Toc14085 </w:instrText>
      </w:r>
      <w:r>
        <w:rPr>
          <w:rFonts w:ascii="宋体" w:hAnsi="宋体"/>
          <w:szCs w:val="21"/>
        </w:rPr>
        <w:fldChar w:fldCharType="separate"/>
      </w:r>
      <w:r>
        <w:rPr>
          <w:szCs w:val="32"/>
        </w:rPr>
        <w:t>第</w:t>
      </w:r>
      <w:r>
        <w:rPr>
          <w:rFonts w:hint="eastAsia"/>
          <w:szCs w:val="32"/>
        </w:rPr>
        <w:t>六章</w:t>
      </w:r>
      <w:r>
        <w:rPr>
          <w:szCs w:val="32"/>
        </w:rPr>
        <w:t>　</w:t>
      </w:r>
      <w:r>
        <w:rPr>
          <w:rFonts w:hint="eastAsia"/>
          <w:szCs w:val="32"/>
        </w:rPr>
        <w:t xml:space="preserve">  谈判</w:t>
      </w:r>
      <w:r>
        <w:rPr>
          <w:szCs w:val="32"/>
        </w:rPr>
        <w:t>文件格式</w:t>
      </w:r>
      <w:r>
        <w:tab/>
      </w:r>
      <w:r>
        <w:fldChar w:fldCharType="begin"/>
      </w:r>
      <w:r>
        <w:instrText xml:space="preserve"> PAGEREF _Toc14085 </w:instrText>
      </w:r>
      <w:r>
        <w:fldChar w:fldCharType="separate"/>
      </w:r>
      <w:r>
        <w:t>38</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_Toc25408 </w:instrText>
      </w:r>
      <w:r>
        <w:rPr>
          <w:rFonts w:ascii="宋体" w:hAnsi="宋体"/>
          <w:szCs w:val="21"/>
        </w:rPr>
        <w:fldChar w:fldCharType="separate"/>
      </w:r>
      <w:r>
        <w:rPr>
          <w:rFonts w:hint="eastAsia" w:ascii="宋体"/>
          <w:lang w:val="zh-CN"/>
        </w:rPr>
        <w:t>投标文件封面</w:t>
      </w:r>
      <w:r>
        <w:tab/>
      </w:r>
      <w:r>
        <w:fldChar w:fldCharType="begin"/>
      </w:r>
      <w:r>
        <w:instrText xml:space="preserve"> PAGEREF _Toc25408 </w:instrText>
      </w:r>
      <w:r>
        <w:fldChar w:fldCharType="separate"/>
      </w:r>
      <w:r>
        <w:t>38</w:t>
      </w:r>
      <w:r>
        <w:fldChar w:fldCharType="end"/>
      </w:r>
      <w:r>
        <w:rPr>
          <w:rFonts w:ascii="宋体" w:hAnsi="宋体"/>
          <w:szCs w:val="21"/>
        </w:rPr>
        <w:fldChar w:fldCharType="end"/>
      </w:r>
    </w:p>
    <w:p>
      <w:pPr>
        <w:pStyle w:val="13"/>
        <w:tabs>
          <w:tab w:val="right" w:leader="dot" w:pos="9184"/>
          <w:tab w:val="clear" w:pos="9515"/>
        </w:tabs>
      </w:pPr>
      <w:r>
        <w:rPr>
          <w:rFonts w:ascii="宋体" w:hAnsi="宋体"/>
          <w:szCs w:val="21"/>
        </w:rPr>
        <w:fldChar w:fldCharType="begin"/>
      </w:r>
      <w:r>
        <w:rPr>
          <w:rFonts w:ascii="宋体" w:hAnsi="宋体"/>
          <w:szCs w:val="21"/>
        </w:rPr>
        <w:instrText xml:space="preserve"> HYPERLINK \l _Toc13806 </w:instrText>
      </w:r>
      <w:r>
        <w:rPr>
          <w:rFonts w:ascii="宋体" w:hAnsi="宋体"/>
          <w:szCs w:val="21"/>
        </w:rPr>
        <w:fldChar w:fldCharType="separate"/>
      </w:r>
      <w:r>
        <w:rPr>
          <w:rFonts w:hint="eastAsia" w:hAnsi="宋体"/>
        </w:rPr>
        <w:t>外包装封面</w:t>
      </w:r>
      <w:r>
        <w:tab/>
      </w:r>
      <w:r>
        <w:fldChar w:fldCharType="begin"/>
      </w:r>
      <w:r>
        <w:instrText xml:space="preserve"> PAGEREF _Toc13806 </w:instrText>
      </w:r>
      <w:r>
        <w:fldChar w:fldCharType="separate"/>
      </w:r>
      <w:r>
        <w:t>39</w:t>
      </w:r>
      <w:r>
        <w:fldChar w:fldCharType="end"/>
      </w:r>
      <w:r>
        <w:rPr>
          <w:rFonts w:ascii="宋体" w:hAnsi="宋体"/>
          <w:szCs w:val="21"/>
        </w:rPr>
        <w:fldChar w:fldCharType="end"/>
      </w:r>
    </w:p>
    <w:p>
      <w:pPr>
        <w:spacing w:line="360" w:lineRule="auto"/>
        <w:ind w:left="360"/>
        <w:rPr>
          <w:rFonts w:ascii="新宋体" w:hAnsi="新宋体" w:eastAsia="新宋体"/>
          <w:b/>
          <w:sz w:val="28"/>
          <w:szCs w:val="28"/>
        </w:rPr>
      </w:pPr>
      <w:r>
        <w:rPr>
          <w:rFonts w:ascii="宋体" w:hAnsi="宋体"/>
          <w:szCs w:val="21"/>
        </w:rPr>
        <w:fldChar w:fldCharType="end"/>
      </w:r>
    </w:p>
    <w:p>
      <w:pPr>
        <w:spacing w:line="640" w:lineRule="exact"/>
        <w:jc w:val="center"/>
        <w:outlineLvl w:val="0"/>
        <w:rPr>
          <w:rFonts w:ascii="宋体"/>
          <w:b/>
          <w:kern w:val="0"/>
          <w:sz w:val="36"/>
        </w:rPr>
      </w:pPr>
      <w:r>
        <w:rPr>
          <w:rFonts w:ascii="宋体"/>
          <w:b/>
          <w:kern w:val="0"/>
          <w:sz w:val="36"/>
        </w:rPr>
        <w:br w:type="page"/>
      </w:r>
      <w:bookmarkStart w:id="0" w:name="_Toc295"/>
      <w:r>
        <w:rPr>
          <w:rFonts w:hint="eastAsia" w:ascii="宋体"/>
          <w:b/>
          <w:kern w:val="0"/>
          <w:sz w:val="36"/>
        </w:rPr>
        <w:t>第一章竞争性磋商公告</w:t>
      </w:r>
      <w:bookmarkEnd w:id="0"/>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ascii="宋体" w:hAnsi="宋体"/>
          <w:sz w:val="24"/>
        </w:rPr>
      </w:pPr>
      <w:r>
        <w:rPr>
          <w:rFonts w:hint="eastAsia" w:ascii="宋体"/>
          <w:kern w:val="0"/>
          <w:sz w:val="24"/>
        </w:rPr>
        <w:t>根据《中华人民共和国政府采购法》和财政部第18号《政府采购货物和服务招标投标管理办法》有关规定, 受采购方</w:t>
      </w:r>
      <w:r>
        <w:rPr>
          <w:rFonts w:hint="eastAsia" w:ascii="宋体"/>
          <w:kern w:val="0"/>
          <w:sz w:val="24"/>
          <w:u w:val="single"/>
        </w:rPr>
        <w:t>台州市北部湾区经济开发有限公司</w:t>
      </w:r>
      <w:r>
        <w:rPr>
          <w:rFonts w:hint="eastAsia" w:ascii="宋体"/>
          <w:kern w:val="0"/>
          <w:sz w:val="24"/>
        </w:rPr>
        <w:t>的委托，现就</w:t>
      </w:r>
      <w:r>
        <w:rPr>
          <w:rFonts w:hint="eastAsia" w:ascii="宋体" w:hAnsi="宋体"/>
          <w:sz w:val="24"/>
          <w:u w:val="single"/>
        </w:rPr>
        <w:t>三门县客运中心及三门湾科创广场周边区块交通规划研究采购项目</w:t>
      </w:r>
      <w:r>
        <w:rPr>
          <w:rFonts w:hint="eastAsia" w:ascii="宋体"/>
          <w:kern w:val="0"/>
          <w:sz w:val="24"/>
        </w:rPr>
        <w:t>进行竟争性磋商采购，</w:t>
      </w:r>
      <w:r>
        <w:rPr>
          <w:rFonts w:hint="eastAsia" w:ascii="宋体" w:hAnsi="宋体"/>
          <w:sz w:val="24"/>
        </w:rPr>
        <w:t>凡具备本项目报价人的要求且能够及时提供相关服务的供应商均可参加。有关事项公告如下：</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kern w:val="0"/>
          <w:sz w:val="24"/>
        </w:rPr>
      </w:pPr>
      <w:r>
        <w:rPr>
          <w:rFonts w:hint="eastAsia" w:ascii="宋体"/>
          <w:b/>
          <w:kern w:val="0"/>
          <w:sz w:val="24"/>
        </w:rPr>
        <w:t>一、项目编号</w:t>
      </w:r>
      <w:r>
        <w:rPr>
          <w:rFonts w:hint="eastAsia" w:ascii="宋体"/>
          <w:kern w:val="0"/>
          <w:sz w:val="24"/>
        </w:rPr>
        <w:t>：浙信备-2019－011号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kern w:val="0"/>
          <w:sz w:val="24"/>
        </w:rPr>
      </w:pPr>
      <w:r>
        <w:rPr>
          <w:rFonts w:hint="eastAsia" w:ascii="宋体"/>
          <w:b/>
          <w:kern w:val="0"/>
          <w:sz w:val="24"/>
        </w:rPr>
        <w:t>二、谈判项目概况：</w:t>
      </w:r>
      <w:r>
        <w:rPr>
          <w:rFonts w:hint="eastAsia" w:ascii="宋体"/>
          <w:kern w:val="0"/>
          <w:sz w:val="24"/>
        </w:rPr>
        <w:t>三门县客运中心及三门湾科创广场周边区块交通规划研究采购项目，具体详见谈判文件第二章磋商需求。</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kern w:val="0"/>
          <w:sz w:val="24"/>
        </w:rPr>
      </w:pPr>
      <w:r>
        <w:rPr>
          <w:rFonts w:hint="eastAsia" w:ascii="宋体"/>
          <w:b/>
          <w:kern w:val="0"/>
          <w:sz w:val="24"/>
        </w:rPr>
        <w:t>三、预算金额</w:t>
      </w:r>
      <w:r>
        <w:rPr>
          <w:rFonts w:hint="eastAsia" w:ascii="宋体"/>
          <w:kern w:val="0"/>
          <w:sz w:val="24"/>
        </w:rPr>
        <w:t>：</w:t>
      </w:r>
      <w:r>
        <w:rPr>
          <w:rFonts w:hint="eastAsia" w:ascii="宋体"/>
          <w:kern w:val="0"/>
          <w:sz w:val="24"/>
          <w:u w:val="single"/>
        </w:rPr>
        <w:t>29.8</w:t>
      </w:r>
      <w:r>
        <w:rPr>
          <w:rFonts w:hint="eastAsia" w:ascii="宋体"/>
          <w:kern w:val="0"/>
          <w:sz w:val="24"/>
        </w:rPr>
        <w:t>万元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kern w:val="0"/>
          <w:sz w:val="24"/>
        </w:rPr>
      </w:pPr>
      <w:r>
        <w:rPr>
          <w:rFonts w:hint="eastAsia" w:ascii="宋体"/>
          <w:b/>
          <w:kern w:val="0"/>
          <w:sz w:val="24"/>
        </w:rPr>
        <w:t>四、服务期：</w:t>
      </w:r>
      <w:r>
        <w:rPr>
          <w:rFonts w:hint="eastAsia" w:ascii="宋体"/>
          <w:kern w:val="0"/>
          <w:sz w:val="24"/>
        </w:rPr>
        <w:t>签订合同之日起20个日历天内完成，地点：三门县</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b/>
          <w:kern w:val="0"/>
          <w:sz w:val="24"/>
        </w:rPr>
      </w:pPr>
      <w:r>
        <w:rPr>
          <w:rFonts w:hint="eastAsia" w:ascii="宋体"/>
          <w:b/>
          <w:kern w:val="0"/>
          <w:sz w:val="24"/>
        </w:rPr>
        <w:t>五、合格磋商供应商的资格条件：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kern w:val="0"/>
          <w:sz w:val="24"/>
        </w:rPr>
      </w:pPr>
      <w:r>
        <w:rPr>
          <w:rFonts w:hint="eastAsia" w:ascii="宋体"/>
          <w:kern w:val="0"/>
          <w:sz w:val="24"/>
        </w:rPr>
        <w:t>1）具备城乡规</w:t>
      </w:r>
      <w:r>
        <w:rPr>
          <w:rFonts w:hint="eastAsia" w:ascii="宋体"/>
          <w:color w:val="auto"/>
          <w:kern w:val="0"/>
          <w:sz w:val="24"/>
        </w:rPr>
        <w:t>划甲级资质</w:t>
      </w:r>
      <w:r>
        <w:rPr>
          <w:rFonts w:hint="eastAsia" w:ascii="宋体"/>
          <w:kern w:val="0"/>
          <w:sz w:val="24"/>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kern w:val="0"/>
          <w:sz w:val="24"/>
        </w:rPr>
      </w:pPr>
      <w:r>
        <w:rPr>
          <w:rFonts w:hint="eastAsia" w:ascii="宋体"/>
          <w:kern w:val="0"/>
          <w:sz w:val="24"/>
        </w:rPr>
        <w:t>2）本项目不接受联合体投标。</w:t>
      </w:r>
    </w:p>
    <w:p>
      <w:pPr>
        <w:tabs>
          <w:tab w:val="left" w:pos="180"/>
          <w:tab w:val="left" w:pos="360"/>
          <w:tab w:val="left" w:pos="540"/>
          <w:tab w:val="left" w:pos="8280"/>
        </w:tabs>
        <w:adjustRightInd w:val="0"/>
        <w:spacing w:line="360" w:lineRule="auto"/>
        <w:rPr>
          <w:rFonts w:ascii="宋体" w:hAnsi="宋体" w:cs="宋体"/>
          <w:b/>
          <w:sz w:val="24"/>
        </w:rPr>
      </w:pPr>
      <w:r>
        <w:rPr>
          <w:rFonts w:hint="eastAsia" w:ascii="宋体" w:hAnsi="宋体" w:cs="宋体"/>
          <w:b/>
          <w:sz w:val="24"/>
        </w:rPr>
        <w:t>六、投标截止及开标时间、地点：</w:t>
      </w:r>
    </w:p>
    <w:p>
      <w:pPr>
        <w:tabs>
          <w:tab w:val="left" w:pos="180"/>
          <w:tab w:val="left" w:pos="360"/>
          <w:tab w:val="left" w:pos="540"/>
          <w:tab w:val="left" w:pos="8280"/>
        </w:tabs>
        <w:adjustRightInd w:val="0"/>
        <w:spacing w:line="360" w:lineRule="auto"/>
        <w:ind w:firstLine="480" w:firstLineChars="200"/>
        <w:rPr>
          <w:rFonts w:ascii="宋体" w:hAnsi="宋体" w:cs="宋体"/>
          <w:sz w:val="24"/>
        </w:rPr>
      </w:pPr>
      <w:r>
        <w:rPr>
          <w:rFonts w:hint="eastAsia" w:ascii="宋体" w:hAnsi="宋体" w:cs="宋体"/>
          <w:sz w:val="24"/>
        </w:rPr>
        <w:t>1、本次招标将于：2019年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09</w:t>
      </w:r>
      <w:r>
        <w:rPr>
          <w:rFonts w:hint="eastAsia" w:ascii="宋体" w:hAnsi="宋体" w:cs="宋体"/>
          <w:sz w:val="24"/>
        </w:rPr>
        <w:t>日下午3时00分</w:t>
      </w:r>
      <w:r>
        <w:rPr>
          <w:rFonts w:hint="eastAsia" w:ascii="宋体" w:hAnsi="宋体" w:cs="宋体"/>
          <w:color w:val="auto"/>
          <w:sz w:val="24"/>
        </w:rPr>
        <w:t>在</w:t>
      </w:r>
      <w:r>
        <w:rPr>
          <w:rFonts w:hint="eastAsia"/>
          <w:color w:val="auto"/>
          <w:sz w:val="24"/>
        </w:rPr>
        <w:t>台州市北部湾区经济开发有限公司会议室（三门县广场路99号一楼西会议室）</w:t>
      </w:r>
      <w:r>
        <w:rPr>
          <w:rFonts w:hint="eastAsia" w:ascii="宋体" w:hAnsi="宋体" w:cs="宋体"/>
          <w:color w:val="auto"/>
          <w:sz w:val="24"/>
        </w:rPr>
        <w:t>开标，请在</w:t>
      </w:r>
      <w:r>
        <w:rPr>
          <w:rFonts w:hint="eastAsia" w:ascii="宋体" w:hAnsi="宋体" w:cs="宋体"/>
          <w:sz w:val="24"/>
        </w:rPr>
        <w:t>此时间前将投标文件送达开标地点，逾期或不符合规定的投标文件恕不接受。</w:t>
      </w:r>
    </w:p>
    <w:p>
      <w:pPr>
        <w:widowControl/>
        <w:spacing w:line="420" w:lineRule="exact"/>
        <w:ind w:right="60"/>
        <w:jc w:val="left"/>
        <w:outlineLvl w:val="0"/>
        <w:rPr>
          <w:rFonts w:ascii="宋体" w:cs="宋体"/>
          <w:b/>
          <w:color w:val="000000"/>
          <w:kern w:val="0"/>
          <w:szCs w:val="21"/>
        </w:rPr>
      </w:pPr>
      <w:bookmarkStart w:id="1" w:name="_Toc24483"/>
      <w:r>
        <w:rPr>
          <w:rFonts w:hint="eastAsia" w:ascii="宋体" w:hAnsi="宋体" w:cs="宋体"/>
          <w:b/>
          <w:sz w:val="24"/>
        </w:rPr>
        <w:t>七</w:t>
      </w:r>
      <w:r>
        <w:rPr>
          <w:rFonts w:hint="eastAsia" w:ascii="宋体" w:hAnsi="宋体" w:cs="宋体"/>
          <w:b/>
          <w:szCs w:val="21"/>
        </w:rPr>
        <w:t>、</w:t>
      </w:r>
      <w:r>
        <w:rPr>
          <w:rFonts w:hint="eastAsia" w:ascii="宋体" w:hAnsi="宋体" w:cs="宋体"/>
          <w:b/>
          <w:color w:val="000000"/>
          <w:kern w:val="0"/>
          <w:szCs w:val="21"/>
          <w:lang w:eastAsia="zh-CN"/>
        </w:rPr>
        <w:t>投标报名</w:t>
      </w:r>
      <w:r>
        <w:rPr>
          <w:rFonts w:hint="eastAsia" w:ascii="宋体" w:hAnsi="宋体" w:cs="宋体"/>
          <w:b/>
          <w:color w:val="000000"/>
          <w:kern w:val="0"/>
          <w:szCs w:val="21"/>
        </w:rPr>
        <w:t>时间及地点：</w:t>
      </w:r>
      <w:bookmarkEnd w:id="1"/>
    </w:p>
    <w:p>
      <w:pPr>
        <w:tabs>
          <w:tab w:val="left" w:pos="180"/>
          <w:tab w:val="left" w:pos="360"/>
          <w:tab w:val="left" w:pos="540"/>
          <w:tab w:val="left" w:pos="8280"/>
        </w:tabs>
        <w:adjustRightInd w:val="0"/>
        <w:spacing w:line="360" w:lineRule="auto"/>
        <w:ind w:firstLine="480" w:firstLineChars="200"/>
        <w:rPr>
          <w:rFonts w:ascii="宋体" w:hAnsi="宋体" w:cs="宋体"/>
          <w:sz w:val="24"/>
        </w:rPr>
      </w:pPr>
      <w:r>
        <w:rPr>
          <w:rFonts w:hint="eastAsia" w:ascii="宋体" w:hAnsi="宋体" w:cs="宋体"/>
          <w:sz w:val="24"/>
        </w:rPr>
        <w:t>时间：</w:t>
      </w:r>
      <w:bookmarkStart w:id="2" w:name="B19_招标文件发售起始日期"/>
      <w:r>
        <w:rPr>
          <w:rFonts w:hint="eastAsia" w:ascii="宋体" w:hAnsi="宋体" w:cs="宋体"/>
          <w:sz w:val="24"/>
        </w:rPr>
        <w:t>2019年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bookmarkEnd w:id="2"/>
      <w:r>
        <w:rPr>
          <w:rFonts w:hint="eastAsia" w:ascii="宋体" w:hAnsi="宋体" w:cs="宋体"/>
          <w:sz w:val="24"/>
          <w:lang w:val="en-US" w:eastAsia="zh-CN"/>
        </w:rPr>
        <w:t>--</w:t>
      </w:r>
      <w:r>
        <w:rPr>
          <w:rFonts w:hint="eastAsia" w:ascii="宋体" w:hAnsi="宋体" w:cs="宋体"/>
          <w:sz w:val="24"/>
        </w:rPr>
        <w:t>2019年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日8：00至17:00</w:t>
      </w:r>
    </w:p>
    <w:p>
      <w:pPr>
        <w:tabs>
          <w:tab w:val="left" w:pos="180"/>
          <w:tab w:val="left" w:pos="360"/>
          <w:tab w:val="left" w:pos="540"/>
          <w:tab w:val="left" w:pos="8280"/>
        </w:tabs>
        <w:adjustRightInd w:val="0"/>
        <w:spacing w:line="360" w:lineRule="auto"/>
        <w:ind w:firstLine="480" w:firstLineChars="200"/>
        <w:rPr>
          <w:rFonts w:ascii="宋体" w:hAnsi="宋体" w:cs="宋体"/>
          <w:sz w:val="24"/>
        </w:rPr>
      </w:pPr>
      <w:r>
        <w:rPr>
          <w:rFonts w:hint="eastAsia" w:ascii="宋体" w:hAnsi="宋体" w:cs="宋体"/>
          <w:sz w:val="24"/>
        </w:rPr>
        <w:t>地点：招标代理机构浙江信达工程咨询有限公司（三门县广场路2号金鼎豪庭一单位1701室）</w:t>
      </w:r>
    </w:p>
    <w:p>
      <w:pPr>
        <w:tabs>
          <w:tab w:val="left" w:pos="180"/>
          <w:tab w:val="left" w:pos="360"/>
          <w:tab w:val="left" w:pos="540"/>
          <w:tab w:val="left" w:pos="8280"/>
        </w:tabs>
        <w:adjustRightInd w:val="0"/>
        <w:spacing w:line="360" w:lineRule="auto"/>
        <w:ind w:firstLine="480" w:firstLineChars="200"/>
        <w:rPr>
          <w:rFonts w:ascii="宋体" w:hAnsi="宋体" w:cs="宋体"/>
          <w:sz w:val="24"/>
        </w:rPr>
      </w:pPr>
      <w:r>
        <w:rPr>
          <w:rFonts w:hint="eastAsia" w:ascii="宋体" w:hAnsi="宋体" w:cs="宋体"/>
          <w:sz w:val="24"/>
        </w:rPr>
        <w:t>报名时需携带公司介绍信或法人委托书原件、营业执照、资质证书复印件（均需加盖公章，原件携带备查）</w:t>
      </w:r>
    </w:p>
    <w:p>
      <w:pPr>
        <w:tabs>
          <w:tab w:val="left" w:pos="180"/>
          <w:tab w:val="left" w:pos="360"/>
          <w:tab w:val="left" w:pos="540"/>
          <w:tab w:val="left" w:pos="8280"/>
        </w:tabs>
        <w:adjustRightInd w:val="0"/>
        <w:spacing w:line="360" w:lineRule="auto"/>
        <w:ind w:firstLine="480" w:firstLineChars="200"/>
        <w:rPr>
          <w:rFonts w:ascii="宋体" w:hAnsi="宋体" w:cs="宋体"/>
          <w:sz w:val="24"/>
        </w:rPr>
      </w:pPr>
      <w:r>
        <w:rPr>
          <w:rFonts w:hint="eastAsia" w:ascii="宋体" w:hAnsi="宋体" w:cs="宋体"/>
          <w:sz w:val="24"/>
        </w:rPr>
        <w:t>标书售价(元)：每份300元，售后不退。</w:t>
      </w:r>
    </w:p>
    <w:p>
      <w:pPr>
        <w:tabs>
          <w:tab w:val="left" w:pos="180"/>
          <w:tab w:val="left" w:pos="360"/>
          <w:tab w:val="left" w:pos="540"/>
          <w:tab w:val="left" w:pos="8280"/>
        </w:tabs>
        <w:adjustRightInd w:val="0"/>
        <w:spacing w:line="360" w:lineRule="auto"/>
        <w:rPr>
          <w:rFonts w:ascii="宋体" w:hAnsi="宋体" w:cs="宋体"/>
          <w:b/>
          <w:sz w:val="24"/>
        </w:rPr>
      </w:pPr>
      <w:r>
        <w:rPr>
          <w:rFonts w:hint="eastAsia" w:ascii="宋体" w:hAnsi="宋体" w:cs="宋体"/>
          <w:b/>
          <w:sz w:val="24"/>
        </w:rPr>
        <w:t>八、投标保证金：</w:t>
      </w:r>
    </w:p>
    <w:p>
      <w:pPr>
        <w:tabs>
          <w:tab w:val="left" w:pos="180"/>
          <w:tab w:val="left" w:pos="360"/>
          <w:tab w:val="left" w:pos="540"/>
          <w:tab w:val="left" w:pos="8280"/>
        </w:tabs>
        <w:adjustRightInd w:val="0"/>
        <w:spacing w:line="360" w:lineRule="auto"/>
        <w:ind w:firstLine="480" w:firstLineChars="200"/>
        <w:rPr>
          <w:rFonts w:ascii="宋体" w:hAnsi="宋体" w:cs="宋体"/>
          <w:sz w:val="24"/>
        </w:rPr>
      </w:pPr>
      <w:r>
        <w:rPr>
          <w:rFonts w:hint="eastAsia" w:ascii="宋体" w:hAnsi="宋体" w:cs="宋体"/>
          <w:sz w:val="24"/>
        </w:rPr>
        <w:t>1、投标保证金的形式：现金，开标时带至开标现场。</w:t>
      </w:r>
    </w:p>
    <w:p>
      <w:pPr>
        <w:tabs>
          <w:tab w:val="left" w:pos="180"/>
          <w:tab w:val="left" w:pos="360"/>
          <w:tab w:val="left" w:pos="540"/>
          <w:tab w:val="left" w:pos="8280"/>
        </w:tabs>
        <w:adjustRightInd w:val="0"/>
        <w:spacing w:line="360" w:lineRule="auto"/>
        <w:ind w:firstLine="480" w:firstLineChars="200"/>
        <w:rPr>
          <w:rFonts w:ascii="宋体" w:hAnsi="宋体" w:cs="宋体"/>
          <w:sz w:val="24"/>
        </w:rPr>
      </w:pPr>
      <w:r>
        <w:rPr>
          <w:rFonts w:hint="eastAsia" w:ascii="宋体" w:hAnsi="宋体" w:cs="宋体"/>
          <w:sz w:val="24"/>
        </w:rPr>
        <w:t>2、投标保证金金额：人民币贰仟元整（¥2000元）。</w:t>
      </w:r>
    </w:p>
    <w:p>
      <w:pPr>
        <w:tabs>
          <w:tab w:val="left" w:pos="180"/>
          <w:tab w:val="left" w:pos="360"/>
          <w:tab w:val="left" w:pos="540"/>
          <w:tab w:val="left" w:pos="8280"/>
        </w:tabs>
        <w:adjustRightInd w:val="0"/>
        <w:spacing w:line="360" w:lineRule="auto"/>
        <w:ind w:firstLine="480" w:firstLineChars="200"/>
        <w:rPr>
          <w:rFonts w:ascii="宋体" w:hAnsi="宋体" w:cs="宋体"/>
          <w:sz w:val="24"/>
        </w:rPr>
      </w:pPr>
      <w:r>
        <w:rPr>
          <w:rFonts w:hint="eastAsia" w:ascii="宋体" w:hAnsi="宋体" w:cs="宋体"/>
          <w:sz w:val="24"/>
        </w:rPr>
        <w:t>3、投标保证金缴纳截止时间 ：同投标截止时间。</w:t>
      </w:r>
    </w:p>
    <w:p>
      <w:pPr>
        <w:tabs>
          <w:tab w:val="left" w:pos="180"/>
          <w:tab w:val="left" w:pos="360"/>
          <w:tab w:val="left" w:pos="540"/>
          <w:tab w:val="left" w:pos="8280"/>
        </w:tabs>
        <w:adjustRightInd w:val="0"/>
        <w:spacing w:line="360" w:lineRule="auto"/>
        <w:ind w:firstLine="480" w:firstLineChars="200"/>
        <w:rPr>
          <w:rFonts w:ascii="宋体" w:hAnsi="宋体" w:cs="宋体"/>
          <w:color w:val="000000"/>
          <w:kern w:val="0"/>
          <w:sz w:val="24"/>
        </w:rPr>
      </w:pPr>
      <w:r>
        <w:rPr>
          <w:rFonts w:hint="eastAsia" w:ascii="宋体" w:hAnsi="宋体" w:cs="宋体"/>
          <w:sz w:val="24"/>
        </w:rPr>
        <w:t>4、投标保证金的有效期：同投标有效期。</w:t>
      </w:r>
    </w:p>
    <w:p>
      <w:pPr>
        <w:tabs>
          <w:tab w:val="left" w:pos="180"/>
          <w:tab w:val="left" w:pos="360"/>
          <w:tab w:val="left" w:pos="540"/>
          <w:tab w:val="left" w:pos="8280"/>
        </w:tabs>
        <w:adjustRightInd w:val="0"/>
        <w:spacing w:line="360" w:lineRule="auto"/>
        <w:rPr>
          <w:rFonts w:ascii="宋体" w:hAnsi="宋体" w:cs="宋体"/>
          <w:b/>
          <w:sz w:val="24"/>
        </w:rPr>
      </w:pPr>
      <w:r>
        <w:rPr>
          <w:rFonts w:hint="eastAsia" w:ascii="宋体" w:hAnsi="宋体" w:cs="宋体"/>
          <w:b/>
          <w:sz w:val="24"/>
        </w:rPr>
        <w:t>九、项目咨询：</w:t>
      </w:r>
    </w:p>
    <w:p>
      <w:pPr>
        <w:tabs>
          <w:tab w:val="left" w:pos="180"/>
          <w:tab w:val="left" w:pos="360"/>
          <w:tab w:val="left" w:pos="540"/>
          <w:tab w:val="left" w:pos="8280"/>
        </w:tabs>
        <w:adjustRightInd w:val="0"/>
        <w:spacing w:line="360" w:lineRule="auto"/>
        <w:ind w:firstLine="480" w:firstLineChars="200"/>
        <w:rPr>
          <w:rFonts w:ascii="宋体" w:hAnsi="宋体" w:cs="宋体"/>
          <w:sz w:val="24"/>
        </w:rPr>
      </w:pPr>
      <w:r>
        <w:rPr>
          <w:rFonts w:hint="eastAsia" w:ascii="宋体" w:hAnsi="宋体" w:cs="宋体"/>
          <w:sz w:val="24"/>
        </w:rPr>
        <w:t>采购方联系人：蔡锋       联系电话：0576-83300515</w:t>
      </w:r>
    </w:p>
    <w:p>
      <w:pPr>
        <w:tabs>
          <w:tab w:val="left" w:pos="180"/>
          <w:tab w:val="left" w:pos="360"/>
          <w:tab w:val="left" w:pos="540"/>
          <w:tab w:val="left" w:pos="8280"/>
        </w:tabs>
        <w:adjustRightInd w:val="0"/>
        <w:spacing w:line="360" w:lineRule="auto"/>
        <w:ind w:firstLine="480" w:firstLineChars="200"/>
        <w:rPr>
          <w:rFonts w:ascii="宋体" w:hAnsi="宋体" w:cs="宋体"/>
          <w:sz w:val="24"/>
        </w:rPr>
      </w:pPr>
    </w:p>
    <w:p>
      <w:pPr>
        <w:ind w:firstLine="480"/>
        <w:rPr>
          <w:rFonts w:ascii="宋体" w:hAnsi="宋体" w:cs="宋体"/>
          <w:sz w:val="24"/>
        </w:rPr>
      </w:pPr>
      <w:r>
        <w:rPr>
          <w:rFonts w:hint="eastAsia" w:ascii="宋体" w:hAnsi="宋体" w:cs="宋体"/>
          <w:sz w:val="24"/>
        </w:rPr>
        <w:t xml:space="preserve">代理方联系人：陈锐       联系电话：0576-83302325   </w:t>
      </w:r>
    </w:p>
    <w:p>
      <w:pPr>
        <w:pStyle w:val="2"/>
        <w:ind w:firstLine="480"/>
      </w:pPr>
    </w:p>
    <w:p>
      <w:pPr>
        <w:rPr>
          <w:rFonts w:ascii="宋体" w:hAnsi="宋体" w:cs="宋体"/>
          <w:sz w:val="24"/>
        </w:rPr>
      </w:pPr>
    </w:p>
    <w:p>
      <w:pPr>
        <w:ind w:right="-693" w:rightChars="-330"/>
        <w:rPr>
          <w:rFonts w:ascii="宋体" w:hAnsi="宋体"/>
          <w:sz w:val="28"/>
          <w:szCs w:val="28"/>
        </w:rPr>
      </w:pPr>
      <w:r>
        <w:rPr>
          <w:rFonts w:hint="eastAsia" w:ascii="宋体" w:hAnsi="宋体" w:cs="宋体"/>
          <w:color w:val="000000"/>
          <w:sz w:val="24"/>
        </w:rPr>
        <w:t xml:space="preserve">                                  </w:t>
      </w:r>
      <w:r>
        <w:rPr>
          <w:rFonts w:hint="eastAsia" w:ascii="宋体" w:hAnsi="宋体" w:cs="宋体"/>
          <w:color w:val="000000"/>
          <w:sz w:val="24"/>
          <w:lang w:eastAsia="zh-CN"/>
        </w:rPr>
        <w:t>招</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标</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人：</w:t>
      </w:r>
      <w:r>
        <w:rPr>
          <w:rFonts w:hint="eastAsia" w:ascii="宋体" w:hAnsi="宋体" w:cs="宋体"/>
          <w:color w:val="000000"/>
          <w:sz w:val="24"/>
        </w:rPr>
        <w:t>台州市北部湾区经济开发有限公司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lang w:val="en-US" w:eastAsia="zh-CN"/>
        </w:rPr>
        <w:t xml:space="preserve">                         招标代理机构： </w:t>
      </w:r>
      <w:r>
        <w:rPr>
          <w:rFonts w:hint="eastAsia" w:ascii="宋体" w:hAnsi="宋体" w:cs="宋体"/>
          <w:color w:val="000000"/>
          <w:sz w:val="24"/>
        </w:rPr>
        <w:t>浙江信达工程咨询工程有限公司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s="宋体"/>
          <w:color w:val="000000"/>
          <w:sz w:val="24"/>
        </w:rPr>
      </w:pPr>
      <w:r>
        <w:rPr>
          <w:rFonts w:hint="eastAsia" w:ascii="宋体" w:hAnsi="宋体" w:cs="宋体"/>
          <w:color w:val="000000"/>
          <w:sz w:val="24"/>
        </w:rPr>
        <w:t xml:space="preserve">                                                     2019年</w:t>
      </w:r>
      <w:r>
        <w:rPr>
          <w:rFonts w:hint="eastAsia" w:ascii="宋体" w:hAnsi="宋体" w:cs="宋体"/>
          <w:color w:val="000000"/>
          <w:sz w:val="24"/>
          <w:lang w:val="en-US" w:eastAsia="zh-CN"/>
        </w:rPr>
        <w:t>03</w:t>
      </w:r>
      <w:r>
        <w:rPr>
          <w:rFonts w:hint="eastAsia" w:ascii="宋体" w:hAnsi="宋体" w:cs="宋体"/>
          <w:color w:val="000000"/>
          <w:sz w:val="24"/>
        </w:rPr>
        <w:t>月</w:t>
      </w:r>
      <w:r>
        <w:rPr>
          <w:rFonts w:hint="eastAsia" w:ascii="宋体" w:hAnsi="宋体" w:cs="宋体"/>
          <w:color w:val="000000"/>
          <w:sz w:val="24"/>
          <w:lang w:val="en-US" w:eastAsia="zh-CN"/>
        </w:rPr>
        <w:t>20</w:t>
      </w:r>
      <w:r>
        <w:rPr>
          <w:rFonts w:hint="eastAsia" w:ascii="宋体" w:hAnsi="宋体" w:cs="宋体"/>
          <w:color w:val="000000"/>
          <w:sz w:val="24"/>
        </w:rPr>
        <w:t>日</w:t>
      </w:r>
    </w:p>
    <w:p>
      <w:pPr>
        <w:snapToGrid w:val="0"/>
        <w:spacing w:line="360" w:lineRule="auto"/>
        <w:ind w:right="420"/>
        <w:rPr>
          <w:rFonts w:ascii="黑体" w:hAnsi="宋体" w:eastAsia="黑体"/>
          <w:b/>
          <w:sz w:val="36"/>
          <w:szCs w:val="36"/>
        </w:rPr>
      </w:pPr>
      <w:r>
        <w:rPr>
          <w:rFonts w:ascii="宋体"/>
          <w:kern w:val="0"/>
          <w:szCs w:val="21"/>
        </w:rPr>
        <w:br w:type="page"/>
      </w:r>
    </w:p>
    <w:p>
      <w:pPr>
        <w:tabs>
          <w:tab w:val="left" w:pos="180"/>
          <w:tab w:val="left" w:pos="360"/>
          <w:tab w:val="left" w:pos="540"/>
          <w:tab w:val="left" w:pos="8280"/>
        </w:tabs>
        <w:autoSpaceDE w:val="0"/>
        <w:autoSpaceDN w:val="0"/>
        <w:adjustRightInd w:val="0"/>
        <w:spacing w:line="360" w:lineRule="auto"/>
        <w:ind w:right="23"/>
        <w:jc w:val="center"/>
        <w:outlineLvl w:val="0"/>
        <w:rPr>
          <w:rFonts w:ascii="黑体" w:hAnsi="宋体" w:eastAsia="黑体"/>
          <w:b/>
          <w:sz w:val="24"/>
        </w:rPr>
      </w:pPr>
      <w:bookmarkStart w:id="3" w:name="_Toc10611"/>
      <w:r>
        <w:rPr>
          <w:rFonts w:hint="eastAsia" w:ascii="黑体" w:hAnsi="宋体" w:eastAsia="黑体"/>
          <w:b/>
          <w:sz w:val="36"/>
          <w:szCs w:val="36"/>
        </w:rPr>
        <w:t>第二</w:t>
      </w:r>
      <w:r>
        <w:rPr>
          <w:rFonts w:hint="eastAsia" w:ascii="宋体"/>
          <w:b/>
          <w:kern w:val="0"/>
          <w:sz w:val="36"/>
        </w:rPr>
        <w:t>章</w:t>
      </w:r>
      <w:r>
        <w:rPr>
          <w:rFonts w:hint="eastAsia" w:ascii="黑体" w:hAnsi="宋体" w:eastAsia="黑体"/>
          <w:b/>
          <w:bCs/>
          <w:sz w:val="36"/>
          <w:szCs w:val="36"/>
        </w:rPr>
        <w:t>磋商</w:t>
      </w:r>
      <w:r>
        <w:rPr>
          <w:rFonts w:hint="eastAsia" w:ascii="黑体" w:hAnsi="宋体" w:eastAsia="黑体"/>
          <w:b/>
          <w:sz w:val="36"/>
          <w:szCs w:val="36"/>
        </w:rPr>
        <w:t>需求</w:t>
      </w:r>
      <w:bookmarkEnd w:id="3"/>
    </w:p>
    <w:p>
      <w:pPr>
        <w:pStyle w:val="3"/>
        <w:numPr>
          <w:ilvl w:val="0"/>
          <w:numId w:val="2"/>
        </w:numPr>
        <w:tabs>
          <w:tab w:val="left" w:pos="425"/>
          <w:tab w:val="clear" w:pos="432"/>
        </w:tabs>
        <w:spacing w:before="200" w:after="200"/>
        <w:rPr>
          <w:rFonts w:hint="eastAsia" w:ascii="黑体" w:hAnsi="黑体" w:eastAsia="黑体"/>
          <w:sz w:val="28"/>
          <w:szCs w:val="28"/>
        </w:rPr>
      </w:pPr>
      <w:bookmarkStart w:id="4" w:name="_Toc15336"/>
      <w:r>
        <w:rPr>
          <w:rFonts w:hint="eastAsia" w:ascii="黑体" w:hAnsi="黑体" w:eastAsia="黑体"/>
          <w:sz w:val="28"/>
          <w:szCs w:val="28"/>
        </w:rPr>
        <w:t>项目背景</w:t>
      </w:r>
      <w:bookmarkEnd w:id="4"/>
    </w:p>
    <w:p>
      <w:pPr>
        <w:numPr>
          <w:ilvl w:val="0"/>
          <w:numId w:val="0"/>
        </w:numPr>
        <w:ind w:firstLine="720" w:firstLineChars="300"/>
        <w:rPr>
          <w:rFonts w:hint="eastAsia" w:eastAsiaTheme="minorEastAsia"/>
          <w:lang w:eastAsia="zh-CN"/>
        </w:rPr>
      </w:pPr>
      <w:r>
        <w:rPr>
          <w:rFonts w:hint="eastAsia" w:ascii="宋体"/>
          <w:kern w:val="0"/>
          <w:sz w:val="24"/>
          <w:lang w:val="en-US" w:eastAsia="zh-CN"/>
        </w:rPr>
        <w:t>在规划实施过程中，</w:t>
      </w:r>
      <w:r>
        <w:rPr>
          <w:rFonts w:hint="eastAsia" w:ascii="宋体"/>
          <w:kern w:val="0"/>
          <w:sz w:val="24"/>
        </w:rPr>
        <w:t>三门县客运中心及三门湾科创广场周边区块</w:t>
      </w:r>
      <w:r>
        <w:rPr>
          <w:rFonts w:hint="eastAsia" w:ascii="宋体"/>
          <w:kern w:val="0"/>
          <w:sz w:val="24"/>
          <w:lang w:eastAsia="zh-CN"/>
        </w:rPr>
        <w:t>部分用地和建筑功能发生调整，对区块交通组织产生重大影响。</w:t>
      </w:r>
    </w:p>
    <w:p>
      <w:pPr>
        <w:spacing w:line="360" w:lineRule="auto"/>
        <w:ind w:firstLine="480" w:firstLineChars="200"/>
        <w:rPr>
          <w:rFonts w:ascii="宋体"/>
          <w:sz w:val="24"/>
        </w:rPr>
      </w:pPr>
      <w:r>
        <w:rPr>
          <w:rFonts w:hint="eastAsia" w:ascii="宋体"/>
          <w:sz w:val="24"/>
        </w:rPr>
        <w:t>（1）客运中心减小规模，在原址新建行政服务中心。</w:t>
      </w:r>
    </w:p>
    <w:p>
      <w:pPr>
        <w:spacing w:line="360" w:lineRule="auto"/>
        <w:ind w:firstLine="480" w:firstLineChars="200"/>
        <w:rPr>
          <w:rFonts w:ascii="宋体"/>
          <w:sz w:val="24"/>
        </w:rPr>
      </w:pPr>
      <w:r>
        <w:rPr>
          <w:rFonts w:hint="eastAsia" w:ascii="宋体"/>
          <w:sz w:val="24"/>
        </w:rPr>
        <w:t>根据县政府关于县行政审批服务中心搬迁工作部署，明确迁建至客运中心地块。将对客运中心地块的人流吸引强度、交通流向、交通出行方式等发生重点变化。多种交通流线，公路客运、公交、上班、办事车流集中，需要组织交通影响分析对各种性质的流线进行组织，使其各行其道，避免相互干扰。</w:t>
      </w:r>
    </w:p>
    <w:p>
      <w:pPr>
        <w:numPr>
          <w:ilvl w:val="0"/>
          <w:numId w:val="3"/>
        </w:numPr>
        <w:spacing w:line="360" w:lineRule="auto"/>
        <w:ind w:firstLine="480" w:firstLineChars="200"/>
        <w:rPr>
          <w:rFonts w:ascii="宋体"/>
          <w:sz w:val="24"/>
        </w:rPr>
      </w:pPr>
      <w:r>
        <w:rPr>
          <w:rFonts w:hint="eastAsia" w:ascii="宋体"/>
          <w:sz w:val="24"/>
        </w:rPr>
        <w:t>三门湾科创广场创建。</w:t>
      </w:r>
    </w:p>
    <w:p>
      <w:pPr>
        <w:spacing w:line="360" w:lineRule="auto"/>
        <w:ind w:firstLine="480" w:firstLineChars="200"/>
        <w:rPr>
          <w:rFonts w:ascii="宋体"/>
          <w:sz w:val="24"/>
        </w:rPr>
      </w:pPr>
      <w:r>
        <w:rPr>
          <w:rFonts w:hint="eastAsia" w:ascii="宋体"/>
          <w:sz w:val="24"/>
        </w:rPr>
        <w:t>在客运中心的周边区域内，多个建筑的使用功能发生转变，由原来的工业、市场，转变为科研办公用地。同时部分用地存在对外服务功能，各个地块的停车需求、出行需求、吸引客流都会发生较大的变化。需要组织交通影响分析对设施规模和交通流量进行测算评价，提出具体设置方案和改善措施。</w:t>
      </w:r>
    </w:p>
    <w:p>
      <w:pPr>
        <w:ind w:firstLine="560" w:firstLineChars="200"/>
        <w:jc w:val="center"/>
        <w:rPr>
          <w:rFonts w:ascii="宋体"/>
          <w:sz w:val="28"/>
        </w:rPr>
      </w:pPr>
      <w:r>
        <w:rPr>
          <w:rFonts w:ascii="宋体"/>
          <w:sz w:val="28"/>
        </w:rPr>
        <w:drawing>
          <wp:inline distT="0" distB="0" distL="114300" distR="114300">
            <wp:extent cx="4585970" cy="2136775"/>
            <wp:effectExtent l="0" t="0" r="5080" b="15875"/>
            <wp:docPr id="1" name="图片 1" descr="44305333566390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43053335663906280"/>
                    <pic:cNvPicPr>
                      <a:picLocks noChangeAspect="1"/>
                    </pic:cNvPicPr>
                  </pic:nvPicPr>
                  <pic:blipFill>
                    <a:blip r:embed="rId7"/>
                    <a:srcRect l="9502" t="22777" r="6177" b="13873"/>
                    <a:stretch>
                      <a:fillRect/>
                    </a:stretch>
                  </pic:blipFill>
                  <pic:spPr>
                    <a:xfrm>
                      <a:off x="0" y="0"/>
                      <a:ext cx="4585970" cy="2136775"/>
                    </a:xfrm>
                    <a:prstGeom prst="rect">
                      <a:avLst/>
                    </a:prstGeom>
                    <a:noFill/>
                    <a:ln w="9525">
                      <a:noFill/>
                    </a:ln>
                  </pic:spPr>
                </pic:pic>
              </a:graphicData>
            </a:graphic>
          </wp:inline>
        </w:drawing>
      </w:r>
    </w:p>
    <w:p>
      <w:pPr>
        <w:pStyle w:val="3"/>
        <w:numPr>
          <w:ilvl w:val="0"/>
          <w:numId w:val="0"/>
        </w:numPr>
        <w:tabs>
          <w:tab w:val="left" w:pos="425"/>
          <w:tab w:val="clear" w:pos="432"/>
        </w:tabs>
        <w:spacing w:before="200" w:after="200"/>
        <w:ind w:firstLine="562" w:firstLineChars="200"/>
        <w:rPr>
          <w:rFonts w:ascii="黑体" w:hAnsi="黑体" w:eastAsia="黑体"/>
          <w:sz w:val="28"/>
          <w:szCs w:val="28"/>
        </w:rPr>
      </w:pPr>
      <w:bookmarkStart w:id="5" w:name="_Toc5581"/>
      <w:r>
        <w:rPr>
          <w:rFonts w:hint="eastAsia" w:ascii="黑体" w:hAnsi="黑体" w:eastAsia="黑体"/>
          <w:sz w:val="28"/>
          <w:szCs w:val="28"/>
        </w:rPr>
        <w:t>二、研究范围</w:t>
      </w:r>
      <w:bookmarkEnd w:id="5"/>
    </w:p>
    <w:p>
      <w:pPr>
        <w:tabs>
          <w:tab w:val="left" w:pos="540"/>
        </w:tabs>
        <w:spacing w:line="360" w:lineRule="auto"/>
        <w:ind w:firstLine="480" w:firstLineChars="200"/>
        <w:rPr>
          <w:rFonts w:ascii="宋体"/>
          <w:sz w:val="24"/>
        </w:rPr>
      </w:pPr>
      <w:r>
        <w:rPr>
          <w:rFonts w:hint="eastAsia" w:ascii="宋体"/>
          <w:sz w:val="24"/>
        </w:rPr>
        <w:t>本次规划研究主要是客运中心区块（含客运站、行政服务中心)，和周边高新技术企业孵化园、富聚胶带制造有限公司、装饰城市场等科创广场地块的交通研究。</w:t>
      </w:r>
    </w:p>
    <w:p>
      <w:pPr>
        <w:pStyle w:val="3"/>
        <w:numPr>
          <w:ilvl w:val="0"/>
          <w:numId w:val="0"/>
        </w:numPr>
        <w:tabs>
          <w:tab w:val="left" w:pos="425"/>
          <w:tab w:val="clear" w:pos="432"/>
        </w:tabs>
        <w:spacing w:before="200" w:after="200"/>
        <w:ind w:firstLine="562" w:firstLineChars="200"/>
        <w:rPr>
          <w:rFonts w:ascii="黑体" w:hAnsi="黑体" w:eastAsia="黑体"/>
          <w:sz w:val="28"/>
          <w:szCs w:val="28"/>
        </w:rPr>
      </w:pPr>
      <w:bookmarkStart w:id="6" w:name="_Toc513109834"/>
      <w:bookmarkStart w:id="7" w:name="_Toc328659301"/>
      <w:bookmarkStart w:id="8" w:name="_Toc29054"/>
      <w:r>
        <w:rPr>
          <w:rFonts w:hint="eastAsia" w:ascii="黑体" w:hAnsi="黑体" w:eastAsia="黑体"/>
          <w:sz w:val="28"/>
          <w:szCs w:val="28"/>
        </w:rPr>
        <w:t>三、成果</w:t>
      </w:r>
      <w:bookmarkEnd w:id="6"/>
      <w:bookmarkEnd w:id="7"/>
      <w:r>
        <w:rPr>
          <w:rFonts w:hint="eastAsia" w:ascii="黑体" w:hAnsi="黑体" w:eastAsia="黑体"/>
          <w:sz w:val="28"/>
          <w:szCs w:val="28"/>
        </w:rPr>
        <w:t>构成</w:t>
      </w:r>
      <w:bookmarkEnd w:id="8"/>
    </w:p>
    <w:p>
      <w:pPr>
        <w:spacing w:line="360" w:lineRule="auto"/>
        <w:jc w:val="left"/>
        <w:outlineLvl w:val="0"/>
        <w:rPr>
          <w:rFonts w:ascii="宋体" w:hAnsi="宋体"/>
          <w:b/>
          <w:sz w:val="24"/>
        </w:rPr>
      </w:pPr>
      <w:bookmarkStart w:id="9" w:name="_Toc513109835"/>
      <w:bookmarkStart w:id="10" w:name="_Toc2749"/>
      <w:r>
        <w:rPr>
          <w:rFonts w:hint="eastAsia" w:ascii="宋体" w:hAnsi="宋体"/>
          <w:b/>
          <w:sz w:val="24"/>
        </w:rPr>
        <w:t>1、规划成果</w:t>
      </w:r>
      <w:bookmarkEnd w:id="9"/>
      <w:bookmarkEnd w:id="10"/>
    </w:p>
    <w:p>
      <w:pPr>
        <w:spacing w:line="360" w:lineRule="auto"/>
        <w:ind w:firstLine="480" w:firstLineChars="200"/>
        <w:rPr>
          <w:rFonts w:ascii="宋体"/>
          <w:sz w:val="24"/>
        </w:rPr>
      </w:pPr>
      <w:r>
        <w:rPr>
          <w:rFonts w:hint="eastAsia" w:ascii="宋体"/>
          <w:sz w:val="24"/>
        </w:rPr>
        <w:t>规划成果构成如下：</w:t>
      </w:r>
    </w:p>
    <w:p>
      <w:pPr>
        <w:numPr>
          <w:ilvl w:val="0"/>
          <w:numId w:val="4"/>
        </w:numPr>
        <w:spacing w:line="360" w:lineRule="auto"/>
        <w:rPr>
          <w:rFonts w:ascii="宋体"/>
          <w:sz w:val="24"/>
        </w:rPr>
      </w:pPr>
      <w:r>
        <w:rPr>
          <w:rFonts w:hint="eastAsia" w:ascii="宋体"/>
          <w:sz w:val="24"/>
        </w:rPr>
        <w:t>规划说明书</w:t>
      </w:r>
    </w:p>
    <w:p>
      <w:pPr>
        <w:numPr>
          <w:ilvl w:val="0"/>
          <w:numId w:val="4"/>
        </w:numPr>
        <w:spacing w:line="360" w:lineRule="auto"/>
        <w:rPr>
          <w:rFonts w:ascii="宋体"/>
          <w:sz w:val="24"/>
        </w:rPr>
      </w:pPr>
      <w:r>
        <w:rPr>
          <w:rFonts w:hint="eastAsia" w:ascii="宋体"/>
          <w:sz w:val="24"/>
        </w:rPr>
        <w:t>规划图纸</w:t>
      </w:r>
    </w:p>
    <w:p>
      <w:pPr>
        <w:pStyle w:val="3"/>
        <w:numPr>
          <w:ilvl w:val="0"/>
          <w:numId w:val="0"/>
        </w:numPr>
        <w:tabs>
          <w:tab w:val="left" w:pos="425"/>
          <w:tab w:val="clear" w:pos="432"/>
        </w:tabs>
        <w:spacing w:before="200" w:after="200"/>
        <w:ind w:firstLine="562" w:firstLineChars="200"/>
        <w:rPr>
          <w:rFonts w:ascii="黑体" w:hAnsi="黑体" w:eastAsia="黑体"/>
          <w:sz w:val="28"/>
          <w:szCs w:val="28"/>
        </w:rPr>
      </w:pPr>
      <w:bookmarkStart w:id="11" w:name="_Toc16572"/>
      <w:bookmarkStart w:id="12" w:name="_Toc501552652"/>
      <w:r>
        <w:rPr>
          <w:rFonts w:hint="eastAsia" w:ascii="黑体" w:hAnsi="黑体" w:eastAsia="黑体"/>
          <w:sz w:val="28"/>
          <w:szCs w:val="28"/>
        </w:rPr>
        <w:t>四、其他要求</w:t>
      </w:r>
      <w:bookmarkEnd w:id="11"/>
      <w:bookmarkEnd w:id="12"/>
    </w:p>
    <w:p>
      <w:pPr>
        <w:tabs>
          <w:tab w:val="left" w:pos="540"/>
        </w:tabs>
        <w:spacing w:line="360" w:lineRule="auto"/>
        <w:ind w:firstLine="480" w:firstLineChars="200"/>
        <w:rPr>
          <w:rFonts w:ascii="宋体"/>
          <w:sz w:val="24"/>
        </w:rPr>
      </w:pPr>
      <w:r>
        <w:rPr>
          <w:rFonts w:hint="eastAsia" w:ascii="宋体" w:hAnsi="宋体" w:cs="宋体"/>
          <w:kern w:val="0"/>
          <w:sz w:val="24"/>
        </w:rPr>
        <w:t>1、服务期：</w:t>
      </w:r>
      <w:r>
        <w:rPr>
          <w:rFonts w:hint="eastAsia" w:ascii="宋体"/>
          <w:sz w:val="24"/>
        </w:rPr>
        <w:t>合同签订，资料收集完成后，2周完成评审方案;收到评审意见后，2周完成研究成果。</w:t>
      </w:r>
    </w:p>
    <w:p>
      <w:pPr>
        <w:spacing w:line="360" w:lineRule="auto"/>
        <w:ind w:firstLine="480" w:firstLineChars="200"/>
        <w:rPr>
          <w:rFonts w:ascii="宋体" w:hAnsi="宋体" w:cs="宋体"/>
          <w:kern w:val="0"/>
          <w:sz w:val="24"/>
        </w:rPr>
      </w:pPr>
      <w:r>
        <w:rPr>
          <w:rFonts w:hint="eastAsia" w:ascii="宋体" w:hAnsi="宋体" w:cs="宋体"/>
          <w:kern w:val="0"/>
          <w:sz w:val="24"/>
        </w:rPr>
        <w:t>2、现场踏勘：供应商自行组织现场踏勘，踏勘现场所发生的费用由供应商自己承担。</w:t>
      </w:r>
    </w:p>
    <w:p>
      <w:pPr>
        <w:spacing w:line="360" w:lineRule="auto"/>
        <w:ind w:firstLine="480" w:firstLineChars="200"/>
        <w:rPr>
          <w:rFonts w:ascii="宋体" w:hAnsi="宋体" w:cs="宋体"/>
          <w:kern w:val="0"/>
          <w:sz w:val="24"/>
        </w:rPr>
      </w:pPr>
      <w:r>
        <w:rPr>
          <w:rFonts w:hint="eastAsia" w:ascii="宋体" w:hAnsi="宋体" w:cs="宋体"/>
          <w:kern w:val="0"/>
          <w:sz w:val="24"/>
        </w:rPr>
        <w:t>3、项目报价要求：包括招标范围内的所有设计、含税金、方案和成果设计阶段的制作、印刷、邮寄、差旅等所有费用，招标人不再另行支付其他任何费用。</w:t>
      </w:r>
    </w:p>
    <w:p>
      <w:pPr>
        <w:spacing w:line="360" w:lineRule="auto"/>
        <w:ind w:firstLine="480" w:firstLineChars="200"/>
        <w:rPr>
          <w:rFonts w:ascii="宋体" w:hAnsi="宋体" w:cs="宋体"/>
          <w:kern w:val="0"/>
          <w:sz w:val="24"/>
        </w:rPr>
      </w:pPr>
      <w:r>
        <w:rPr>
          <w:rFonts w:hint="eastAsia" w:ascii="宋体" w:hAnsi="宋体" w:cs="宋体"/>
          <w:kern w:val="0"/>
          <w:sz w:val="24"/>
        </w:rPr>
        <w:t>合同包含的所有风险责任等各项费用及不可预见费等所需的全部费用，如有漏项，视同已包含在本项目的总报价中。</w:t>
      </w:r>
    </w:p>
    <w:p>
      <w:pPr>
        <w:spacing w:line="360" w:lineRule="auto"/>
        <w:ind w:firstLine="403" w:firstLineChars="168"/>
        <w:rPr>
          <w:rFonts w:ascii="宋体" w:hAnsi="宋体" w:cs="宋体"/>
          <w:kern w:val="0"/>
          <w:sz w:val="24"/>
        </w:rPr>
      </w:pPr>
      <w:r>
        <w:rPr>
          <w:rFonts w:hint="eastAsia" w:ascii="宋体" w:hAnsi="宋体" w:cs="宋体"/>
          <w:kern w:val="0"/>
          <w:sz w:val="24"/>
        </w:rPr>
        <w:t>4、本项目不允许分包或转包。</w:t>
      </w:r>
    </w:p>
    <w:p>
      <w:pPr>
        <w:pStyle w:val="2"/>
      </w:pPr>
    </w:p>
    <w:p>
      <w:pPr>
        <w:tabs>
          <w:tab w:val="left" w:pos="180"/>
          <w:tab w:val="left" w:pos="360"/>
          <w:tab w:val="left" w:pos="540"/>
          <w:tab w:val="left" w:pos="8280"/>
        </w:tabs>
        <w:autoSpaceDE w:val="0"/>
        <w:autoSpaceDN w:val="0"/>
        <w:adjustRightInd w:val="0"/>
        <w:spacing w:line="360" w:lineRule="auto"/>
        <w:ind w:right="23"/>
        <w:jc w:val="center"/>
        <w:outlineLvl w:val="0"/>
        <w:rPr>
          <w:rFonts w:ascii="黑体" w:hAnsi="宋体" w:eastAsia="黑体"/>
          <w:b/>
          <w:sz w:val="36"/>
          <w:szCs w:val="36"/>
        </w:rPr>
      </w:pPr>
      <w:r>
        <w:rPr>
          <w:rFonts w:hAnsi="Courier New"/>
        </w:rPr>
        <w:br w:type="page"/>
      </w:r>
      <w:bookmarkStart w:id="13" w:name="_Toc17791"/>
      <w:r>
        <w:rPr>
          <w:rFonts w:hint="eastAsia" w:ascii="黑体" w:hAnsi="宋体" w:eastAsia="黑体"/>
          <w:b/>
          <w:sz w:val="36"/>
          <w:szCs w:val="36"/>
        </w:rPr>
        <w:t>第三章磋商供应商须知</w:t>
      </w:r>
      <w:bookmarkEnd w:id="13"/>
      <w:bookmarkStart w:id="14" w:name="_Toc360715503"/>
    </w:p>
    <w:p>
      <w:pPr>
        <w:adjustRightInd w:val="0"/>
        <w:snapToGrid w:val="0"/>
        <w:jc w:val="center"/>
        <w:rPr>
          <w:rFonts w:ascii="宋体" w:hAnsi="宋体"/>
          <w:sz w:val="44"/>
          <w:szCs w:val="44"/>
        </w:rPr>
      </w:pPr>
    </w:p>
    <w:p>
      <w:pPr>
        <w:adjustRightInd w:val="0"/>
        <w:snapToGrid w:val="0"/>
        <w:jc w:val="center"/>
        <w:rPr>
          <w:rFonts w:ascii="宋体" w:hAnsi="宋体"/>
          <w:sz w:val="44"/>
          <w:szCs w:val="44"/>
        </w:rPr>
      </w:pPr>
      <w:r>
        <w:rPr>
          <w:rFonts w:hint="eastAsia" w:ascii="宋体" w:hAnsi="宋体"/>
          <w:sz w:val="44"/>
          <w:szCs w:val="44"/>
        </w:rPr>
        <w:t>供应商须知前附表</w:t>
      </w:r>
      <w:bookmarkEnd w:id="14"/>
    </w:p>
    <w:tbl>
      <w:tblPr>
        <w:tblStyle w:val="1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542"/>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751" w:type="dxa"/>
            <w:vAlign w:val="center"/>
          </w:tcPr>
          <w:p>
            <w:pPr>
              <w:jc w:val="center"/>
              <w:rPr>
                <w:rFonts w:ascii="宋体" w:hAnsi="宋体"/>
                <w:szCs w:val="21"/>
              </w:rPr>
            </w:pPr>
            <w:r>
              <w:rPr>
                <w:rFonts w:hint="eastAsia" w:ascii="宋体" w:hAnsi="宋体"/>
                <w:szCs w:val="21"/>
              </w:rPr>
              <w:t>序号</w:t>
            </w:r>
          </w:p>
        </w:tc>
        <w:tc>
          <w:tcPr>
            <w:tcW w:w="2542" w:type="dxa"/>
            <w:vAlign w:val="center"/>
          </w:tcPr>
          <w:p>
            <w:pPr>
              <w:jc w:val="center"/>
              <w:rPr>
                <w:rFonts w:ascii="宋体" w:hAnsi="宋体"/>
                <w:szCs w:val="21"/>
              </w:rPr>
            </w:pPr>
            <w:r>
              <w:rPr>
                <w:rFonts w:hint="eastAsia" w:ascii="宋体" w:hAnsi="宋体"/>
                <w:szCs w:val="21"/>
              </w:rPr>
              <w:t>内  容</w:t>
            </w:r>
          </w:p>
        </w:tc>
        <w:tc>
          <w:tcPr>
            <w:tcW w:w="6346" w:type="dxa"/>
            <w:vAlign w:val="center"/>
          </w:tcPr>
          <w:p>
            <w:pPr>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1</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项目名称</w:t>
            </w:r>
          </w:p>
        </w:tc>
        <w:tc>
          <w:tcPr>
            <w:tcW w:w="6346" w:type="dxa"/>
            <w:tcBorders>
              <w:bottom w:val="single" w:color="auto" w:sz="4" w:space="0"/>
            </w:tcBorders>
            <w:vAlign w:val="center"/>
          </w:tcPr>
          <w:p>
            <w:pPr>
              <w:adjustRightInd w:val="0"/>
              <w:snapToGrid w:val="0"/>
              <w:rPr>
                <w:rFonts w:ascii="宋体" w:hAnsi="宋体"/>
                <w:szCs w:val="21"/>
              </w:rPr>
            </w:pPr>
            <w:r>
              <w:rPr>
                <w:rFonts w:hint="eastAsia" w:ascii="宋体" w:hAnsi="宋体"/>
                <w:szCs w:val="21"/>
              </w:rPr>
              <w:t>三门县客运中心及三门湾科创广场周边区块交通规划研究采购项目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2</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采购单位</w:t>
            </w:r>
          </w:p>
        </w:tc>
        <w:tc>
          <w:tcPr>
            <w:tcW w:w="6346" w:type="dxa"/>
            <w:tcBorders>
              <w:bottom w:val="single" w:color="auto" w:sz="4" w:space="0"/>
            </w:tcBorders>
            <w:vAlign w:val="center"/>
          </w:tcPr>
          <w:p>
            <w:pPr>
              <w:adjustRightInd w:val="0"/>
              <w:snapToGrid w:val="0"/>
              <w:rPr>
                <w:rFonts w:ascii="宋体" w:hAnsi="宋体"/>
                <w:szCs w:val="21"/>
              </w:rPr>
            </w:pPr>
            <w:r>
              <w:rPr>
                <w:rFonts w:hint="eastAsia" w:ascii="宋体" w:hAnsi="宋体"/>
                <w:szCs w:val="21"/>
              </w:rPr>
              <w:t>台州市北部湾区经济开发有限公司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3</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服务地点</w:t>
            </w:r>
          </w:p>
        </w:tc>
        <w:tc>
          <w:tcPr>
            <w:tcW w:w="6346" w:type="dxa"/>
            <w:tcBorders>
              <w:bottom w:val="single" w:color="auto" w:sz="4" w:space="0"/>
            </w:tcBorders>
            <w:vAlign w:val="center"/>
          </w:tcPr>
          <w:p>
            <w:pPr>
              <w:adjustRightInd w:val="0"/>
              <w:snapToGrid w:val="0"/>
              <w:rPr>
                <w:rFonts w:ascii="宋体" w:hAnsi="宋体"/>
                <w:szCs w:val="21"/>
              </w:rPr>
            </w:pPr>
            <w:r>
              <w:rPr>
                <w:rFonts w:hint="eastAsia" w:ascii="宋体" w:hAnsi="宋体"/>
                <w:szCs w:val="21"/>
              </w:rPr>
              <w:t>三门县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4</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采购资金来源</w:t>
            </w:r>
          </w:p>
        </w:tc>
        <w:tc>
          <w:tcPr>
            <w:tcW w:w="6346" w:type="dxa"/>
            <w:tcBorders>
              <w:bottom w:val="single" w:color="auto" w:sz="4" w:space="0"/>
            </w:tcBorders>
            <w:vAlign w:val="center"/>
          </w:tcPr>
          <w:p>
            <w:pPr>
              <w:adjustRightInd w:val="0"/>
              <w:snapToGrid w:val="0"/>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5</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工作内容</w:t>
            </w:r>
          </w:p>
        </w:tc>
        <w:tc>
          <w:tcPr>
            <w:tcW w:w="6346" w:type="dxa"/>
            <w:tcBorders>
              <w:bottom w:val="single" w:color="auto" w:sz="4" w:space="0"/>
            </w:tcBorders>
            <w:vAlign w:val="center"/>
          </w:tcPr>
          <w:p>
            <w:pPr>
              <w:adjustRightInd w:val="0"/>
              <w:snapToGrid w:val="0"/>
              <w:rPr>
                <w:rFonts w:ascii="宋体" w:hAnsi="宋体"/>
              </w:rPr>
            </w:pPr>
            <w:r>
              <w:rPr>
                <w:rFonts w:hint="eastAsia" w:ascii="宋体"/>
                <w:kern w:val="0"/>
                <w:szCs w:val="21"/>
              </w:rPr>
              <w:t>三门县客运中心及三门湾科创广场周边区块交通规划研究采购项目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6</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合格的谈判供应商要求</w:t>
            </w:r>
          </w:p>
        </w:tc>
        <w:tc>
          <w:tcPr>
            <w:tcW w:w="6346" w:type="dxa"/>
            <w:tcBorders>
              <w:bottom w:val="single" w:color="auto" w:sz="4" w:space="0"/>
            </w:tcBorders>
            <w:vAlign w:val="center"/>
          </w:tcPr>
          <w:p>
            <w:pPr>
              <w:adjustRightInd w:val="0"/>
              <w:snapToGrid w:val="0"/>
              <w:rPr>
                <w:rFonts w:ascii="宋体" w:hAnsi="宋体"/>
                <w:color w:val="auto"/>
                <w:szCs w:val="21"/>
              </w:rPr>
            </w:pPr>
            <w:r>
              <w:rPr>
                <w:rFonts w:hint="eastAsia" w:ascii="宋体" w:hAnsi="宋体"/>
                <w:color w:val="auto"/>
                <w:szCs w:val="21"/>
              </w:rPr>
              <w:t>1）具备城乡规划甲级资质。</w:t>
            </w:r>
          </w:p>
          <w:p>
            <w:pPr>
              <w:adjustRightInd w:val="0"/>
              <w:snapToGrid w:val="0"/>
              <w:rPr>
                <w:rFonts w:ascii="宋体"/>
                <w:kern w:val="0"/>
                <w:szCs w:val="21"/>
              </w:rPr>
            </w:pPr>
            <w:r>
              <w:rPr>
                <w:rFonts w:hint="eastAsia" w:ascii="宋体" w:hAnsi="宋体"/>
                <w:color w:val="auto"/>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7</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采购方式</w:t>
            </w:r>
          </w:p>
        </w:tc>
        <w:tc>
          <w:tcPr>
            <w:tcW w:w="6346" w:type="dxa"/>
            <w:tcBorders>
              <w:bottom w:val="single" w:color="auto" w:sz="4" w:space="0"/>
            </w:tcBorders>
            <w:vAlign w:val="center"/>
          </w:tcPr>
          <w:p>
            <w:pPr>
              <w:adjustRightInd w:val="0"/>
              <w:snapToGrid w:val="0"/>
              <w:rPr>
                <w:rFonts w:ascii="宋体" w:hAnsi="宋体"/>
                <w:szCs w:val="21"/>
              </w:rPr>
            </w:pPr>
            <w:r>
              <w:rPr>
                <w:rFonts w:hint="eastAsia" w:ascii="宋体" w:hAnsi="宋体"/>
                <w:szCs w:val="21"/>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8</w:t>
            </w:r>
          </w:p>
        </w:tc>
        <w:tc>
          <w:tcPr>
            <w:tcW w:w="2542" w:type="dxa"/>
            <w:tcBorders>
              <w:bottom w:val="single" w:color="auto" w:sz="4" w:space="0"/>
            </w:tcBorders>
            <w:vAlign w:val="center"/>
          </w:tcPr>
          <w:p>
            <w:pPr>
              <w:jc w:val="center"/>
              <w:rPr>
                <w:rFonts w:ascii="宋体" w:hAnsi="宋体"/>
                <w:b/>
                <w:szCs w:val="21"/>
              </w:rPr>
            </w:pPr>
            <w:r>
              <w:rPr>
                <w:rFonts w:hint="eastAsia" w:ascii="宋体" w:hAnsi="宋体"/>
                <w:b/>
                <w:szCs w:val="21"/>
              </w:rPr>
              <w:t>预算金额</w:t>
            </w:r>
          </w:p>
        </w:tc>
        <w:tc>
          <w:tcPr>
            <w:tcW w:w="6346" w:type="dxa"/>
            <w:tcBorders>
              <w:bottom w:val="single" w:color="auto" w:sz="4" w:space="0"/>
            </w:tcBorders>
            <w:vAlign w:val="center"/>
          </w:tcPr>
          <w:p>
            <w:pPr>
              <w:adjustRightInd w:val="0"/>
              <w:snapToGrid w:val="0"/>
              <w:rPr>
                <w:rFonts w:ascii="宋体" w:hAnsi="宋体"/>
                <w:b/>
                <w:szCs w:val="21"/>
              </w:rPr>
            </w:pPr>
            <w:r>
              <w:rPr>
                <w:rFonts w:hint="eastAsia" w:ascii="宋体" w:hAnsi="宋体"/>
                <w:szCs w:val="21"/>
              </w:rPr>
              <w:t xml:space="preserve">人民币约29.8万元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9</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有效投标报价上限</w:t>
            </w:r>
          </w:p>
        </w:tc>
        <w:tc>
          <w:tcPr>
            <w:tcW w:w="6346" w:type="dxa"/>
            <w:tcBorders>
              <w:bottom w:val="single" w:color="auto" w:sz="4" w:space="0"/>
            </w:tcBorders>
            <w:vAlign w:val="center"/>
          </w:tcPr>
          <w:p>
            <w:pPr>
              <w:adjustRightInd w:val="0"/>
              <w:snapToGrid w:val="0"/>
              <w:rPr>
                <w:rFonts w:ascii="宋体" w:hAnsi="宋体"/>
                <w:szCs w:val="21"/>
                <w:u w:val="single"/>
              </w:rPr>
            </w:pPr>
            <w:r>
              <w:rPr>
                <w:rFonts w:hint="eastAsia" w:ascii="宋体" w:hAnsi="宋体"/>
                <w:szCs w:val="21"/>
              </w:rPr>
              <w:t>预算价为有效投标报价上限价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10</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质量标准</w:t>
            </w:r>
          </w:p>
        </w:tc>
        <w:tc>
          <w:tcPr>
            <w:tcW w:w="6346" w:type="dxa"/>
            <w:tcBorders>
              <w:bottom w:val="single" w:color="auto" w:sz="4" w:space="0"/>
            </w:tcBorders>
            <w:vAlign w:val="center"/>
          </w:tcPr>
          <w:p>
            <w:pPr>
              <w:adjustRightInd w:val="0"/>
              <w:snapToGrid w:val="0"/>
              <w:rPr>
                <w:rFonts w:ascii="宋体" w:hAnsi="宋体"/>
                <w:szCs w:val="21"/>
              </w:rPr>
            </w:pPr>
            <w:r>
              <w:rPr>
                <w:rFonts w:hint="eastAsia" w:ascii="宋体" w:hAnsi="宋体"/>
                <w:szCs w:val="21"/>
              </w:rPr>
              <w:t>合格，符合相关技术标准。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11</w:t>
            </w:r>
          </w:p>
        </w:tc>
        <w:tc>
          <w:tcPr>
            <w:tcW w:w="2542" w:type="dxa"/>
            <w:tcBorders>
              <w:bottom w:val="single" w:color="auto" w:sz="4" w:space="0"/>
            </w:tcBorders>
            <w:vAlign w:val="center"/>
          </w:tcPr>
          <w:p>
            <w:pPr>
              <w:adjustRightInd w:val="0"/>
              <w:snapToGrid w:val="0"/>
              <w:jc w:val="center"/>
              <w:rPr>
                <w:rFonts w:ascii="宋体" w:hAnsi="宋体"/>
                <w:szCs w:val="21"/>
              </w:rPr>
            </w:pPr>
            <w:r>
              <w:rPr>
                <w:rFonts w:hint="eastAsia" w:ascii="宋体" w:hAnsi="宋体"/>
                <w:szCs w:val="21"/>
              </w:rPr>
              <w:t>服务期要求</w:t>
            </w:r>
          </w:p>
        </w:tc>
        <w:tc>
          <w:tcPr>
            <w:tcW w:w="6346" w:type="dxa"/>
            <w:tcBorders>
              <w:bottom w:val="single" w:color="auto" w:sz="4" w:space="0"/>
            </w:tcBorders>
            <w:vAlign w:val="center"/>
          </w:tcPr>
          <w:p>
            <w:pPr>
              <w:adjustRightInd w:val="0"/>
              <w:snapToGrid w:val="0"/>
              <w:rPr>
                <w:rFonts w:ascii="宋体" w:hAnsi="宋体"/>
                <w:szCs w:val="21"/>
              </w:rPr>
            </w:pPr>
            <w:r>
              <w:rPr>
                <w:rFonts w:hint="eastAsia" w:ascii="宋体" w:hAnsi="宋体"/>
                <w:szCs w:val="21"/>
              </w:rPr>
              <w:t>按磋商文件第二章要求完成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751" w:type="dxa"/>
            <w:vAlign w:val="center"/>
          </w:tcPr>
          <w:p>
            <w:pPr>
              <w:jc w:val="center"/>
              <w:rPr>
                <w:rFonts w:ascii="宋体" w:hAnsi="宋体"/>
                <w:szCs w:val="21"/>
              </w:rPr>
            </w:pPr>
            <w:r>
              <w:rPr>
                <w:rFonts w:hint="eastAsia" w:ascii="宋体" w:hAnsi="宋体"/>
                <w:szCs w:val="21"/>
              </w:rPr>
              <w:t>12</w:t>
            </w:r>
          </w:p>
        </w:tc>
        <w:tc>
          <w:tcPr>
            <w:tcW w:w="2542" w:type="dxa"/>
            <w:vAlign w:val="center"/>
          </w:tcPr>
          <w:p>
            <w:pPr>
              <w:jc w:val="center"/>
              <w:rPr>
                <w:rFonts w:ascii="宋体" w:hAnsi="宋体"/>
                <w:szCs w:val="21"/>
              </w:rPr>
            </w:pPr>
            <w:r>
              <w:rPr>
                <w:rFonts w:hint="eastAsia" w:ascii="宋体" w:hAnsi="宋体"/>
                <w:szCs w:val="21"/>
              </w:rPr>
              <w:t>磋商保证金</w:t>
            </w:r>
          </w:p>
        </w:tc>
        <w:tc>
          <w:tcPr>
            <w:tcW w:w="6346" w:type="dxa"/>
            <w:vAlign w:val="center"/>
          </w:tcPr>
          <w:p>
            <w:pPr>
              <w:rPr>
                <w:rFonts w:ascii="宋体" w:hAnsi="宋体"/>
                <w:szCs w:val="21"/>
              </w:rPr>
            </w:pPr>
            <w:r>
              <w:rPr>
                <w:rFonts w:hint="eastAsia" w:ascii="宋体" w:hAnsi="宋体"/>
                <w:szCs w:val="21"/>
              </w:rPr>
              <w:t>人民币2000元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13</w:t>
            </w:r>
          </w:p>
        </w:tc>
        <w:tc>
          <w:tcPr>
            <w:tcW w:w="2542" w:type="dxa"/>
            <w:tcBorders>
              <w:bottom w:val="single" w:color="auto" w:sz="4" w:space="0"/>
            </w:tcBorders>
            <w:vAlign w:val="center"/>
          </w:tcPr>
          <w:p>
            <w:pPr>
              <w:widowControl/>
              <w:spacing w:line="360" w:lineRule="auto"/>
              <w:jc w:val="center"/>
              <w:rPr>
                <w:rFonts w:ascii="宋体" w:hAnsi="宋体"/>
                <w:szCs w:val="21"/>
              </w:rPr>
            </w:pPr>
            <w:r>
              <w:rPr>
                <w:rFonts w:hint="eastAsia" w:ascii="宋体" w:hAnsi="宋体"/>
                <w:szCs w:val="21"/>
              </w:rPr>
              <w:t>磋商响应文件的份数</w:t>
            </w:r>
          </w:p>
        </w:tc>
        <w:tc>
          <w:tcPr>
            <w:tcW w:w="6346" w:type="dxa"/>
            <w:tcBorders>
              <w:bottom w:val="single" w:color="auto" w:sz="4" w:space="0"/>
            </w:tcBorders>
            <w:vAlign w:val="center"/>
          </w:tcPr>
          <w:p>
            <w:pPr>
              <w:widowControl/>
              <w:spacing w:line="360" w:lineRule="auto"/>
              <w:rPr>
                <w:rFonts w:ascii="宋体" w:hAnsi="宋体"/>
                <w:szCs w:val="21"/>
              </w:rPr>
            </w:pPr>
            <w:r>
              <w:rPr>
                <w:bCs/>
                <w:szCs w:val="21"/>
                <w:lang w:val="zh-CN"/>
              </w:rPr>
              <w:t>技术文件共</w:t>
            </w:r>
            <w:r>
              <w:rPr>
                <w:bCs/>
                <w:szCs w:val="21"/>
                <w:u w:val="single"/>
              </w:rPr>
              <w:t>5</w:t>
            </w:r>
            <w:r>
              <w:rPr>
                <w:bCs/>
                <w:szCs w:val="21"/>
                <w:lang w:val="zh-CN"/>
              </w:rPr>
              <w:t>份（一正本四副本，封装成一袋），报价文件共</w:t>
            </w:r>
            <w:r>
              <w:rPr>
                <w:bCs/>
                <w:szCs w:val="21"/>
                <w:u w:val="single"/>
              </w:rPr>
              <w:t xml:space="preserve">5 </w:t>
            </w:r>
            <w:r>
              <w:rPr>
                <w:bCs/>
                <w:szCs w:val="21"/>
                <w:lang w:val="zh-CN"/>
              </w:rPr>
              <w:t>份（一正本四副本，封装成一袋）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14</w:t>
            </w:r>
          </w:p>
        </w:tc>
        <w:tc>
          <w:tcPr>
            <w:tcW w:w="2542" w:type="dxa"/>
            <w:tcBorders>
              <w:bottom w:val="single" w:color="auto" w:sz="4" w:space="0"/>
            </w:tcBorders>
            <w:vAlign w:val="center"/>
          </w:tcPr>
          <w:p>
            <w:pPr>
              <w:widowControl/>
              <w:spacing w:line="360" w:lineRule="auto"/>
              <w:jc w:val="center"/>
              <w:rPr>
                <w:rFonts w:ascii="宋体" w:hAnsi="宋体"/>
                <w:szCs w:val="21"/>
              </w:rPr>
            </w:pPr>
            <w:r>
              <w:rPr>
                <w:rFonts w:hint="eastAsia" w:ascii="宋体" w:hAnsi="宋体"/>
                <w:szCs w:val="21"/>
              </w:rPr>
              <w:t>磋商响应文件的提交</w:t>
            </w:r>
          </w:p>
        </w:tc>
        <w:tc>
          <w:tcPr>
            <w:tcW w:w="6346" w:type="dxa"/>
            <w:tcBorders>
              <w:bottom w:val="single" w:color="auto" w:sz="4" w:space="0"/>
            </w:tcBorders>
          </w:tcPr>
          <w:p>
            <w:pPr>
              <w:widowControl/>
              <w:spacing w:line="360" w:lineRule="auto"/>
              <w:jc w:val="left"/>
              <w:rPr>
                <w:rFonts w:ascii="宋体" w:hAnsi="宋体" w:cs="宋体"/>
                <w:kern w:val="0"/>
                <w:szCs w:val="21"/>
              </w:rPr>
            </w:pPr>
            <w:r>
              <w:rPr>
                <w:rFonts w:hint="eastAsia" w:ascii="宋体" w:hAnsi="宋体" w:cs="宋体"/>
                <w:kern w:val="0"/>
                <w:szCs w:val="21"/>
              </w:rPr>
              <w:t>截止</w:t>
            </w:r>
            <w:r>
              <w:rPr>
                <w:rFonts w:hint="eastAsia" w:ascii="宋体" w:hAnsi="宋体"/>
                <w:szCs w:val="21"/>
              </w:rPr>
              <w:t>时间：2019年</w:t>
            </w:r>
            <w:r>
              <w:rPr>
                <w:rFonts w:hint="eastAsia" w:ascii="宋体" w:hAnsi="宋体"/>
                <w:szCs w:val="21"/>
                <w:lang w:val="en-US" w:eastAsia="zh-CN"/>
              </w:rPr>
              <w:t>04</w:t>
            </w:r>
            <w:r>
              <w:rPr>
                <w:rFonts w:hint="eastAsia" w:ascii="宋体" w:hAnsi="宋体"/>
                <w:szCs w:val="21"/>
              </w:rPr>
              <w:t>月</w:t>
            </w:r>
            <w:r>
              <w:rPr>
                <w:rFonts w:hint="eastAsia" w:ascii="宋体" w:hAnsi="宋体"/>
                <w:szCs w:val="21"/>
                <w:lang w:val="en-US" w:eastAsia="zh-CN"/>
              </w:rPr>
              <w:t>08</w:t>
            </w:r>
            <w:r>
              <w:rPr>
                <w:rFonts w:hint="eastAsia" w:ascii="宋体" w:hAnsi="宋体"/>
                <w:szCs w:val="21"/>
              </w:rPr>
              <w:t>日下午3：00</w:t>
            </w:r>
          </w:p>
          <w:p>
            <w:pPr>
              <w:widowControl/>
              <w:spacing w:line="360" w:lineRule="auto"/>
              <w:jc w:val="left"/>
              <w:rPr>
                <w:rFonts w:ascii="宋体" w:hAnsi="宋体" w:cs="宋体"/>
                <w:kern w:val="0"/>
                <w:szCs w:val="21"/>
              </w:rPr>
            </w:pPr>
            <w:r>
              <w:rPr>
                <w:rFonts w:hint="eastAsia" w:ascii="宋体" w:hAnsi="宋体" w:cs="宋体"/>
                <w:kern w:val="0"/>
                <w:szCs w:val="21"/>
              </w:rPr>
              <w:t>提交地点：台州市北部湾区经济开发有限公司会议室（三门县广场路99号一楼西会议室）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4"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15</w:t>
            </w:r>
          </w:p>
        </w:tc>
        <w:tc>
          <w:tcPr>
            <w:tcW w:w="2542" w:type="dxa"/>
            <w:tcBorders>
              <w:bottom w:val="single" w:color="auto" w:sz="4" w:space="0"/>
            </w:tcBorders>
            <w:vAlign w:val="center"/>
          </w:tcPr>
          <w:p>
            <w:pPr>
              <w:widowControl/>
              <w:spacing w:line="360" w:lineRule="auto"/>
              <w:jc w:val="center"/>
              <w:rPr>
                <w:rFonts w:ascii="宋体" w:hAnsi="宋体"/>
                <w:szCs w:val="21"/>
              </w:rPr>
            </w:pPr>
            <w:r>
              <w:rPr>
                <w:rFonts w:hint="eastAsia" w:ascii="宋体" w:hAnsi="宋体"/>
                <w:szCs w:val="21"/>
              </w:rPr>
              <w:t>磋商时间及地址</w:t>
            </w:r>
          </w:p>
        </w:tc>
        <w:tc>
          <w:tcPr>
            <w:tcW w:w="6346" w:type="dxa"/>
            <w:tcBorders>
              <w:bottom w:val="single" w:color="auto" w:sz="4" w:space="0"/>
            </w:tcBorders>
          </w:tcPr>
          <w:p>
            <w:pPr>
              <w:widowControl/>
              <w:spacing w:line="360" w:lineRule="auto"/>
              <w:jc w:val="left"/>
              <w:rPr>
                <w:rFonts w:ascii="宋体" w:hAnsi="宋体" w:cs="宋体"/>
                <w:kern w:val="0"/>
                <w:szCs w:val="21"/>
              </w:rPr>
            </w:pPr>
            <w:r>
              <w:rPr>
                <w:rFonts w:hint="eastAsia" w:ascii="宋体" w:hAnsi="宋体"/>
                <w:szCs w:val="21"/>
              </w:rPr>
              <w:t>2019年</w:t>
            </w:r>
            <w:r>
              <w:rPr>
                <w:rFonts w:hint="eastAsia" w:ascii="宋体" w:hAnsi="宋体"/>
                <w:szCs w:val="21"/>
                <w:lang w:val="en-US" w:eastAsia="zh-CN"/>
              </w:rPr>
              <w:t>04</w:t>
            </w:r>
            <w:r>
              <w:rPr>
                <w:rFonts w:hint="eastAsia" w:ascii="宋体" w:hAnsi="宋体"/>
                <w:szCs w:val="21"/>
              </w:rPr>
              <w:t>月</w:t>
            </w:r>
            <w:r>
              <w:rPr>
                <w:rFonts w:hint="eastAsia" w:ascii="宋体" w:hAnsi="宋体"/>
                <w:szCs w:val="21"/>
                <w:lang w:val="en-US" w:eastAsia="zh-CN"/>
              </w:rPr>
              <w:t>08</w:t>
            </w:r>
            <w:r>
              <w:rPr>
                <w:rFonts w:hint="eastAsia" w:ascii="宋体" w:hAnsi="宋体"/>
                <w:szCs w:val="21"/>
              </w:rPr>
              <w:t>日下午3：00</w:t>
            </w:r>
          </w:p>
          <w:p>
            <w:pPr>
              <w:widowControl/>
              <w:spacing w:line="360" w:lineRule="auto"/>
              <w:jc w:val="left"/>
              <w:rPr>
                <w:rFonts w:ascii="宋体" w:hAnsi="宋体" w:cs="宋体"/>
                <w:kern w:val="0"/>
                <w:szCs w:val="21"/>
              </w:rPr>
            </w:pPr>
            <w:r>
              <w:rPr>
                <w:rFonts w:hint="eastAsia" w:ascii="宋体" w:hAnsi="宋体"/>
                <w:szCs w:val="21"/>
              </w:rPr>
              <w:t>地点:台州市北部湾区经济开发有限公司会议室（三门县广场路99号一楼西会议室）</w:t>
            </w:r>
          </w:p>
          <w:p>
            <w:pPr>
              <w:widowControl/>
              <w:spacing w:line="360" w:lineRule="auto"/>
              <w:jc w:val="left"/>
              <w:rPr>
                <w:rFonts w:ascii="宋体" w:hAnsi="宋体" w:cs="宋体"/>
                <w:kern w:val="0"/>
                <w:szCs w:val="21"/>
              </w:rPr>
            </w:pPr>
            <w:r>
              <w:rPr>
                <w:rFonts w:hint="eastAsia" w:ascii="宋体" w:hAnsi="宋体" w:cs="宋体"/>
                <w:kern w:val="0"/>
                <w:szCs w:val="21"/>
              </w:rPr>
              <w:t>地址：</w:t>
            </w:r>
            <w:r>
              <w:rPr>
                <w:rFonts w:hint="eastAsia" w:ascii="宋体" w:hAnsi="宋体"/>
                <w:szCs w:val="21"/>
              </w:rPr>
              <w:t>三门县广场路99号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16</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资格审查方式</w:t>
            </w:r>
          </w:p>
        </w:tc>
        <w:tc>
          <w:tcPr>
            <w:tcW w:w="6346" w:type="dxa"/>
            <w:tcBorders>
              <w:bottom w:val="single" w:color="auto" w:sz="4" w:space="0"/>
            </w:tcBorders>
            <w:vAlign w:val="center"/>
          </w:tcPr>
          <w:p>
            <w:pPr>
              <w:adjustRightInd w:val="0"/>
              <w:snapToGrid w:val="0"/>
              <w:rPr>
                <w:rFonts w:ascii="宋体" w:hAns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17</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评标办法</w:t>
            </w:r>
          </w:p>
        </w:tc>
        <w:tc>
          <w:tcPr>
            <w:tcW w:w="6346" w:type="dxa"/>
            <w:tcBorders>
              <w:bottom w:val="single" w:color="auto" w:sz="4" w:space="0"/>
            </w:tcBorders>
            <w:vAlign w:val="center"/>
          </w:tcPr>
          <w:p>
            <w:pPr>
              <w:widowControl/>
              <w:spacing w:line="360" w:lineRule="auto"/>
              <w:rPr>
                <w:rFonts w:ascii="宋体" w:hAns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18</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磋商响应文件密封及装订</w:t>
            </w:r>
          </w:p>
        </w:tc>
        <w:tc>
          <w:tcPr>
            <w:tcW w:w="6346" w:type="dxa"/>
            <w:tcBorders>
              <w:bottom w:val="single" w:color="auto" w:sz="4" w:space="0"/>
            </w:tcBorders>
            <w:vAlign w:val="center"/>
          </w:tcPr>
          <w:p>
            <w:pPr>
              <w:spacing w:line="360" w:lineRule="auto"/>
              <w:rPr>
                <w:rFonts w:ascii="宋体" w:hAnsi="宋体"/>
                <w:szCs w:val="21"/>
                <w:u w:val="single"/>
              </w:rPr>
            </w:pPr>
            <w:r>
              <w:rPr>
                <w:rFonts w:hint="eastAsia" w:ascii="宋体" w:hAnsi="宋体"/>
                <w:szCs w:val="21"/>
              </w:rPr>
              <w:t>资格证明文件、技术文件和报价文件分开装订成册，单独密封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751" w:type="dxa"/>
            <w:tcBorders>
              <w:bottom w:val="single" w:color="auto" w:sz="4" w:space="0"/>
            </w:tcBorders>
            <w:vAlign w:val="center"/>
          </w:tcPr>
          <w:p>
            <w:pPr>
              <w:jc w:val="center"/>
              <w:rPr>
                <w:rFonts w:ascii="宋体" w:hAnsi="宋体"/>
                <w:szCs w:val="21"/>
              </w:rPr>
            </w:pPr>
            <w:r>
              <w:rPr>
                <w:rFonts w:hint="eastAsia" w:ascii="宋体" w:hAnsi="宋体"/>
                <w:szCs w:val="21"/>
              </w:rPr>
              <w:t>19</w:t>
            </w:r>
          </w:p>
        </w:tc>
        <w:tc>
          <w:tcPr>
            <w:tcW w:w="2542" w:type="dxa"/>
            <w:tcBorders>
              <w:bottom w:val="single" w:color="auto" w:sz="4" w:space="0"/>
            </w:tcBorders>
            <w:vAlign w:val="center"/>
          </w:tcPr>
          <w:p>
            <w:pPr>
              <w:jc w:val="center"/>
              <w:rPr>
                <w:rFonts w:ascii="宋体" w:hAnsi="宋体"/>
                <w:szCs w:val="21"/>
              </w:rPr>
            </w:pPr>
            <w:r>
              <w:rPr>
                <w:rFonts w:hint="eastAsia" w:ascii="宋体" w:hAnsi="宋体"/>
                <w:szCs w:val="21"/>
              </w:rPr>
              <w:t>开标顺序</w:t>
            </w:r>
          </w:p>
        </w:tc>
        <w:tc>
          <w:tcPr>
            <w:tcW w:w="6346" w:type="dxa"/>
            <w:tcBorders>
              <w:bottom w:val="single" w:color="auto" w:sz="4" w:space="0"/>
            </w:tcBorders>
            <w:vAlign w:val="center"/>
          </w:tcPr>
          <w:p>
            <w:pPr>
              <w:rPr>
                <w:rFonts w:ascii="宋体" w:hAnsi="宋体"/>
                <w:szCs w:val="21"/>
              </w:rPr>
            </w:pPr>
            <w:r>
              <w:rPr>
                <w:rFonts w:hint="eastAsia" w:ascii="宋体" w:hAnsi="宋体"/>
                <w:bCs/>
              </w:rPr>
              <w:t>先开技术文件，再开报价文件，待技术文件和报价文件评审结束，然后进行磋商，供应商进行最后报价。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51" w:type="dxa"/>
            <w:vAlign w:val="center"/>
          </w:tcPr>
          <w:p>
            <w:pPr>
              <w:jc w:val="center"/>
              <w:rPr>
                <w:rFonts w:ascii="宋体" w:hAnsi="宋体"/>
                <w:szCs w:val="21"/>
              </w:rPr>
            </w:pPr>
            <w:r>
              <w:rPr>
                <w:rFonts w:hint="eastAsia" w:ascii="宋体" w:hAnsi="宋体"/>
                <w:szCs w:val="21"/>
              </w:rPr>
              <w:t>20</w:t>
            </w:r>
          </w:p>
        </w:tc>
        <w:tc>
          <w:tcPr>
            <w:tcW w:w="2542" w:type="dxa"/>
            <w:vAlign w:val="center"/>
          </w:tcPr>
          <w:p>
            <w:pPr>
              <w:widowControl/>
              <w:spacing w:line="360" w:lineRule="auto"/>
              <w:jc w:val="center"/>
              <w:rPr>
                <w:rFonts w:ascii="宋体" w:hAnsi="宋体"/>
                <w:szCs w:val="21"/>
              </w:rPr>
            </w:pPr>
            <w:r>
              <w:rPr>
                <w:rFonts w:hint="eastAsia" w:ascii="宋体" w:hAnsi="宋体"/>
                <w:szCs w:val="21"/>
              </w:rPr>
              <w:t>评标结果公示</w:t>
            </w:r>
          </w:p>
        </w:tc>
        <w:tc>
          <w:tcPr>
            <w:tcW w:w="6346" w:type="dxa"/>
            <w:vAlign w:val="center"/>
          </w:tcPr>
          <w:p>
            <w:pPr>
              <w:rPr>
                <w:rFonts w:ascii="宋体" w:hAnsi="宋体"/>
                <w:szCs w:val="21"/>
              </w:rPr>
            </w:pPr>
            <w:r>
              <w:rPr>
                <w:rFonts w:hint="eastAsia" w:ascii="宋体" w:hAnsi="宋体"/>
                <w:szCs w:val="21"/>
              </w:rPr>
              <w:t>评标结束后，评标结果公示于三门县公共资源交易中心网（http：//www.smztb.com）和浙江政府采购网（http://www.</w:t>
            </w:r>
            <w:r>
              <w:rPr>
                <w:rFonts w:ascii="宋体" w:hAnsi="宋体"/>
                <w:szCs w:val="21"/>
              </w:rPr>
              <w:t xml:space="preserve"> zjzfcg.gov.cn</w:t>
            </w:r>
            <w:r>
              <w:rPr>
                <w:rFonts w:hint="eastAsia" w:ascii="宋体" w:hAnsi="宋体"/>
                <w:szCs w:val="21"/>
              </w:rPr>
              <w:t>），公示期不得少于七个工作日。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51" w:type="dxa"/>
            <w:vAlign w:val="center"/>
          </w:tcPr>
          <w:p>
            <w:pPr>
              <w:jc w:val="center"/>
              <w:rPr>
                <w:rFonts w:ascii="宋体" w:hAnsi="宋体"/>
                <w:szCs w:val="21"/>
              </w:rPr>
            </w:pPr>
            <w:r>
              <w:rPr>
                <w:rFonts w:hint="eastAsia" w:ascii="宋体" w:hAnsi="宋体"/>
                <w:szCs w:val="21"/>
              </w:rPr>
              <w:t>21</w:t>
            </w:r>
          </w:p>
        </w:tc>
        <w:tc>
          <w:tcPr>
            <w:tcW w:w="2542" w:type="dxa"/>
            <w:vAlign w:val="center"/>
          </w:tcPr>
          <w:p>
            <w:pPr>
              <w:widowControl/>
              <w:spacing w:line="360" w:lineRule="auto"/>
              <w:jc w:val="center"/>
              <w:rPr>
                <w:rFonts w:ascii="宋体" w:hAnsi="宋体"/>
                <w:szCs w:val="21"/>
              </w:rPr>
            </w:pPr>
            <w:r>
              <w:rPr>
                <w:rFonts w:hint="eastAsia" w:ascii="宋体" w:hAnsi="宋体"/>
                <w:szCs w:val="21"/>
              </w:rPr>
              <w:t>磋商响应文件有效期</w:t>
            </w:r>
          </w:p>
        </w:tc>
        <w:tc>
          <w:tcPr>
            <w:tcW w:w="6346" w:type="dxa"/>
            <w:vAlign w:val="center"/>
          </w:tcPr>
          <w:p>
            <w:pPr>
              <w:rPr>
                <w:rFonts w:ascii="宋体" w:hAnsi="宋体"/>
                <w:szCs w:val="21"/>
              </w:rPr>
            </w:pPr>
            <w:r>
              <w:rPr>
                <w:rFonts w:hint="eastAsia" w:ascii="宋体" w:hAnsi="宋体"/>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51" w:type="dxa"/>
            <w:vAlign w:val="center"/>
          </w:tcPr>
          <w:p>
            <w:pPr>
              <w:jc w:val="center"/>
              <w:rPr>
                <w:rFonts w:ascii="宋体" w:hAnsi="宋体"/>
                <w:szCs w:val="21"/>
              </w:rPr>
            </w:pPr>
            <w:r>
              <w:rPr>
                <w:rFonts w:hint="eastAsia" w:ascii="宋体" w:hAnsi="宋体"/>
                <w:szCs w:val="21"/>
              </w:rPr>
              <w:t>22</w:t>
            </w:r>
          </w:p>
        </w:tc>
        <w:tc>
          <w:tcPr>
            <w:tcW w:w="2542" w:type="dxa"/>
            <w:vAlign w:val="center"/>
          </w:tcPr>
          <w:p>
            <w:pPr>
              <w:widowControl/>
              <w:spacing w:line="360" w:lineRule="auto"/>
              <w:jc w:val="center"/>
              <w:rPr>
                <w:rFonts w:ascii="宋体" w:hAnsi="宋体"/>
                <w:szCs w:val="21"/>
              </w:rPr>
            </w:pPr>
            <w:r>
              <w:rPr>
                <w:rFonts w:hint="eastAsia" w:ascii="宋体" w:hAnsi="宋体"/>
                <w:szCs w:val="21"/>
              </w:rPr>
              <w:t>签订合同</w:t>
            </w:r>
          </w:p>
        </w:tc>
        <w:tc>
          <w:tcPr>
            <w:tcW w:w="6346" w:type="dxa"/>
            <w:vAlign w:val="center"/>
          </w:tcPr>
          <w:p>
            <w:pPr>
              <w:rPr>
                <w:rFonts w:ascii="宋体" w:hAnsi="宋体"/>
                <w:szCs w:val="21"/>
              </w:rPr>
            </w:pPr>
            <w:r>
              <w:rPr>
                <w:rFonts w:hint="eastAsia" w:ascii="宋体" w:hAnsi="宋体"/>
                <w:szCs w:val="21"/>
              </w:rPr>
              <w:t>中标通知书发出后10日历天内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751" w:type="dxa"/>
            <w:vAlign w:val="center"/>
          </w:tcPr>
          <w:p>
            <w:pPr>
              <w:jc w:val="center"/>
              <w:rPr>
                <w:rFonts w:ascii="宋体" w:hAnsi="宋体"/>
                <w:szCs w:val="21"/>
              </w:rPr>
            </w:pPr>
            <w:r>
              <w:rPr>
                <w:rFonts w:hint="eastAsia" w:ascii="宋体" w:hAnsi="宋体"/>
                <w:szCs w:val="21"/>
              </w:rPr>
              <w:t>23</w:t>
            </w:r>
          </w:p>
        </w:tc>
        <w:tc>
          <w:tcPr>
            <w:tcW w:w="2542" w:type="dxa"/>
            <w:vAlign w:val="center"/>
          </w:tcPr>
          <w:p>
            <w:pPr>
              <w:widowControl/>
              <w:spacing w:line="360" w:lineRule="auto"/>
              <w:jc w:val="center"/>
              <w:rPr>
                <w:rFonts w:ascii="宋体" w:hAnsi="宋体"/>
                <w:szCs w:val="21"/>
              </w:rPr>
            </w:pPr>
            <w:r>
              <w:rPr>
                <w:rFonts w:hint="eastAsia" w:ascii="宋体" w:hAnsi="宋体"/>
                <w:szCs w:val="21"/>
              </w:rPr>
              <w:t>付款方式</w:t>
            </w:r>
          </w:p>
        </w:tc>
        <w:tc>
          <w:tcPr>
            <w:tcW w:w="6346" w:type="dxa"/>
            <w:vAlign w:val="center"/>
          </w:tcPr>
          <w:p>
            <w:pPr>
              <w:snapToGrid w:val="0"/>
              <w:spacing w:line="420" w:lineRule="exact"/>
              <w:jc w:val="left"/>
              <w:rPr>
                <w:rFonts w:ascii="宋体" w:hAnsi="宋体"/>
                <w:kern w:val="0"/>
                <w:szCs w:val="21"/>
              </w:rPr>
            </w:pPr>
            <w:r>
              <w:rPr>
                <w:rFonts w:hint="eastAsia" w:ascii="宋体" w:hAnsi="宋体"/>
                <w:szCs w:val="21"/>
              </w:rPr>
              <w:t>合同签订生效后，支付合同总价的50%作为预付款；制作完成，审核通过后付清。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751" w:type="dxa"/>
            <w:vAlign w:val="center"/>
          </w:tcPr>
          <w:p>
            <w:pPr>
              <w:jc w:val="center"/>
              <w:rPr>
                <w:rFonts w:ascii="宋体" w:hAnsi="宋体"/>
                <w:szCs w:val="21"/>
              </w:rPr>
            </w:pPr>
            <w:r>
              <w:rPr>
                <w:rFonts w:hint="eastAsia" w:ascii="宋体" w:hAnsi="宋体"/>
                <w:szCs w:val="21"/>
              </w:rPr>
              <w:t>24</w:t>
            </w:r>
          </w:p>
        </w:tc>
        <w:tc>
          <w:tcPr>
            <w:tcW w:w="2542" w:type="dxa"/>
            <w:vAlign w:val="center"/>
          </w:tcPr>
          <w:p>
            <w:pPr>
              <w:jc w:val="center"/>
              <w:rPr>
                <w:rFonts w:ascii="宋体" w:hAnsi="宋体"/>
                <w:szCs w:val="21"/>
              </w:rPr>
            </w:pPr>
            <w:r>
              <w:rPr>
                <w:rFonts w:hint="eastAsia" w:ascii="宋体" w:hAnsi="宋体"/>
                <w:szCs w:val="21"/>
              </w:rPr>
              <w:t>解释</w:t>
            </w:r>
          </w:p>
        </w:tc>
        <w:tc>
          <w:tcPr>
            <w:tcW w:w="6346" w:type="dxa"/>
            <w:vAlign w:val="center"/>
          </w:tcPr>
          <w:p>
            <w:pPr>
              <w:rPr>
                <w:rFonts w:ascii="宋体" w:hAnsi="宋体"/>
                <w:szCs w:val="21"/>
              </w:rPr>
            </w:pPr>
            <w:r>
              <w:rPr>
                <w:rFonts w:hint="eastAsia" w:ascii="宋体" w:hAnsi="宋体"/>
                <w:szCs w:val="21"/>
              </w:rPr>
              <w:t>本竞争性磋商文件的解释权属于采购方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51" w:type="dxa"/>
            <w:vAlign w:val="center"/>
          </w:tcPr>
          <w:p>
            <w:pPr>
              <w:jc w:val="center"/>
              <w:rPr>
                <w:rFonts w:ascii="宋体" w:hAnsi="宋体"/>
                <w:szCs w:val="21"/>
              </w:rPr>
            </w:pPr>
            <w:r>
              <w:rPr>
                <w:rFonts w:hint="eastAsia" w:ascii="宋体" w:hAnsi="宋体"/>
                <w:szCs w:val="21"/>
              </w:rPr>
              <w:t>25</w:t>
            </w:r>
          </w:p>
        </w:tc>
        <w:tc>
          <w:tcPr>
            <w:tcW w:w="2542" w:type="dxa"/>
            <w:vAlign w:val="center"/>
          </w:tcPr>
          <w:p>
            <w:pPr>
              <w:jc w:val="center"/>
              <w:rPr>
                <w:rFonts w:ascii="宋体" w:hAnsi="宋体"/>
                <w:szCs w:val="21"/>
              </w:rPr>
            </w:pPr>
            <w:r>
              <w:rPr>
                <w:rFonts w:hint="eastAsia" w:ascii="宋体" w:hAnsi="宋体"/>
                <w:bCs/>
                <w:color w:val="000000"/>
                <w:szCs w:val="21"/>
              </w:rPr>
              <w:t>答疑与澄清</w:t>
            </w:r>
          </w:p>
        </w:tc>
        <w:tc>
          <w:tcPr>
            <w:tcW w:w="6346" w:type="dxa"/>
            <w:vAlign w:val="center"/>
          </w:tcPr>
          <w:p>
            <w:pPr>
              <w:rPr>
                <w:rFonts w:ascii="宋体" w:hAnsi="宋体"/>
                <w:szCs w:val="21"/>
              </w:rPr>
            </w:pPr>
            <w:r>
              <w:rPr>
                <w:rFonts w:hint="eastAsia" w:ascii="宋体" w:hAnsi="宋体"/>
                <w:szCs w:val="21"/>
              </w:rPr>
              <w:t>投标人如发现招标文件及其评标办法中存在含糊不清、相互矛盾、多种含义以及歧视性不公正条款或违法违规等有疑点需要质疑的，</w:t>
            </w:r>
            <w:r>
              <w:rPr>
                <w:rFonts w:ascii="宋体" w:hAnsi="宋体"/>
                <w:szCs w:val="21"/>
              </w:rPr>
              <w:t>可以自收到采购文件之日（发售截止日之后收到采购文件的，以发售截止日为准）或者采购文件公告期限届满之日（</w:t>
            </w:r>
            <w:r>
              <w:rPr>
                <w:rFonts w:hint="eastAsia" w:ascii="宋体" w:hAnsi="宋体"/>
                <w:szCs w:val="21"/>
              </w:rPr>
              <w:t>即</w:t>
            </w:r>
            <w:r>
              <w:rPr>
                <w:rFonts w:ascii="宋体" w:hAnsi="宋体"/>
                <w:szCs w:val="21"/>
              </w:rPr>
              <w:t>为</w:t>
            </w:r>
            <w:r>
              <w:rPr>
                <w:rFonts w:hint="eastAsia" w:ascii="宋体" w:hAnsi="宋体"/>
                <w:szCs w:val="21"/>
              </w:rPr>
              <w:t>招标</w:t>
            </w:r>
            <w:r>
              <w:rPr>
                <w:rFonts w:ascii="宋体" w:hAnsi="宋体"/>
                <w:szCs w:val="21"/>
              </w:rPr>
              <w:t>公告发布后的第6个工作日）起7个工作日内，以书面形式向采购人和采购代理机构提出质疑。</w:t>
            </w:r>
          </w:p>
        </w:tc>
      </w:tr>
    </w:tbl>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outlineLvl w:val="1"/>
        <w:rPr>
          <w:rFonts w:hAnsi="宋体"/>
          <w:b/>
          <w:sz w:val="24"/>
        </w:rPr>
      </w:pPr>
      <w:r>
        <w:rPr>
          <w:rFonts w:hAnsi="宋体"/>
          <w:b/>
          <w:sz w:val="24"/>
        </w:rPr>
        <w:br w:type="page"/>
      </w:r>
      <w:bookmarkStart w:id="15" w:name="_Toc32545"/>
      <w:r>
        <w:rPr>
          <w:rFonts w:hint="eastAsia" w:ascii="宋体"/>
          <w:b/>
          <w:kern w:val="0"/>
          <w:sz w:val="24"/>
        </w:rPr>
        <w:t>一、总  则</w:t>
      </w:r>
      <w:bookmarkEnd w:id="15"/>
    </w:p>
    <w:p>
      <w:pPr>
        <w:spacing w:line="360" w:lineRule="auto"/>
        <w:rPr>
          <w:rFonts w:ascii="宋体" w:hAnsi="宋体"/>
          <w:b/>
          <w:szCs w:val="21"/>
        </w:rPr>
      </w:pPr>
      <w:bookmarkStart w:id="16" w:name="_Toc212690679"/>
      <w:bookmarkStart w:id="17" w:name="_Toc466988631"/>
      <w:r>
        <w:rPr>
          <w:rFonts w:hint="eastAsia" w:ascii="宋体" w:hAnsi="宋体"/>
          <w:b/>
          <w:szCs w:val="21"/>
        </w:rPr>
        <w:t>1.适用范围</w:t>
      </w:r>
      <w:bookmarkEnd w:id="16"/>
      <w:bookmarkEnd w:id="17"/>
    </w:p>
    <w:p>
      <w:pPr>
        <w:spacing w:line="360" w:lineRule="auto"/>
        <w:ind w:firstLine="420" w:firstLineChars="200"/>
        <w:rPr>
          <w:rFonts w:ascii="宋体" w:hAnsi="宋体"/>
          <w:szCs w:val="21"/>
        </w:rPr>
      </w:pPr>
      <w:r>
        <w:rPr>
          <w:rFonts w:hint="eastAsia" w:ascii="宋体" w:hAnsi="宋体"/>
          <w:szCs w:val="21"/>
        </w:rPr>
        <w:t>本磋商文件适用于三门县客运中心及三门湾科创广场周边区块交通规划研究采购项目的磋商、评审、成交、验收、合同履约、付款等（法律、法规另有规定的，从其规定）。</w:t>
      </w:r>
    </w:p>
    <w:p>
      <w:pPr>
        <w:spacing w:line="360" w:lineRule="auto"/>
        <w:rPr>
          <w:rFonts w:ascii="宋体" w:hAnsi="宋体"/>
          <w:b/>
          <w:szCs w:val="21"/>
        </w:rPr>
      </w:pPr>
      <w:bookmarkStart w:id="18" w:name="_Toc466988632"/>
      <w:bookmarkStart w:id="19" w:name="_Toc212690680"/>
      <w:r>
        <w:rPr>
          <w:rFonts w:hint="eastAsia" w:ascii="宋体" w:hAnsi="宋体"/>
          <w:b/>
          <w:szCs w:val="21"/>
        </w:rPr>
        <w:t>2.定义</w:t>
      </w:r>
      <w:bookmarkEnd w:id="18"/>
      <w:bookmarkEnd w:id="19"/>
    </w:p>
    <w:p>
      <w:pPr>
        <w:spacing w:line="360" w:lineRule="auto"/>
        <w:ind w:firstLine="420" w:firstLineChars="200"/>
        <w:rPr>
          <w:rFonts w:ascii="宋体" w:hAnsi="宋体"/>
          <w:szCs w:val="21"/>
        </w:rPr>
      </w:pPr>
      <w:r>
        <w:rPr>
          <w:rFonts w:hint="eastAsia" w:ascii="宋体" w:hAnsi="宋体"/>
          <w:szCs w:val="21"/>
        </w:rPr>
        <w:t>2.1“采购人”系指台州市北部湾区经济开发有限公司和组织本次招标的代理机构。</w:t>
      </w:r>
    </w:p>
    <w:p>
      <w:pPr>
        <w:spacing w:line="360" w:lineRule="auto"/>
        <w:ind w:firstLine="420" w:firstLineChars="200"/>
        <w:rPr>
          <w:rFonts w:ascii="宋体" w:hAnsi="宋体"/>
          <w:szCs w:val="21"/>
        </w:rPr>
      </w:pPr>
      <w:r>
        <w:rPr>
          <w:rFonts w:hint="eastAsia" w:ascii="宋体" w:hAnsi="宋体"/>
          <w:szCs w:val="21"/>
        </w:rPr>
        <w:t>2.2</w:t>
      </w:r>
      <w:r>
        <w:rPr>
          <w:rFonts w:ascii="宋体" w:hAnsi="宋体"/>
          <w:szCs w:val="21"/>
        </w:rPr>
        <w:t>“</w:t>
      </w:r>
      <w:r>
        <w:rPr>
          <w:rFonts w:hint="eastAsia" w:ascii="宋体" w:hAnsi="宋体"/>
          <w:szCs w:val="21"/>
        </w:rPr>
        <w:t>供应商</w:t>
      </w:r>
      <w:r>
        <w:rPr>
          <w:rFonts w:ascii="宋体" w:hAnsi="宋体"/>
          <w:szCs w:val="21"/>
        </w:rPr>
        <w:t>”</w:t>
      </w:r>
      <w:r>
        <w:rPr>
          <w:rFonts w:hint="eastAsia" w:ascii="宋体" w:hAnsi="宋体"/>
          <w:szCs w:val="21"/>
        </w:rPr>
        <w:t>指按照本文件规定获得磋商文件并向采购人提交响应文件的单位。</w:t>
      </w:r>
    </w:p>
    <w:p>
      <w:pPr>
        <w:spacing w:line="360" w:lineRule="auto"/>
        <w:ind w:firstLine="420" w:firstLineChars="200"/>
        <w:rPr>
          <w:rFonts w:ascii="宋体" w:hAnsi="宋体"/>
          <w:szCs w:val="21"/>
        </w:rPr>
      </w:pPr>
      <w:r>
        <w:rPr>
          <w:rFonts w:hint="eastAsia" w:ascii="宋体" w:hAnsi="宋体"/>
          <w:szCs w:val="21"/>
        </w:rPr>
        <w:t>2.3“产品”系指供方按磋商文件规定，须向采购人提供的一切设备、保险、税金、备品备件、工具、手册及其他有关技术资料和材料。</w:t>
      </w:r>
    </w:p>
    <w:p>
      <w:pPr>
        <w:spacing w:line="360" w:lineRule="auto"/>
        <w:ind w:firstLine="420" w:firstLineChars="200"/>
        <w:rPr>
          <w:rFonts w:ascii="宋体" w:hAnsi="宋体"/>
          <w:szCs w:val="21"/>
        </w:rPr>
      </w:pPr>
      <w:r>
        <w:rPr>
          <w:rFonts w:hint="eastAsia" w:ascii="宋体" w:hAnsi="宋体"/>
          <w:szCs w:val="21"/>
        </w:rPr>
        <w:t>2.4“服务”系指磋商文件规定供应商须承担的设备运输、装卸、安装、产品保护、调试、试运行、有关行业专管部门验收、售后服务、维保等工作。</w:t>
      </w:r>
    </w:p>
    <w:p>
      <w:pPr>
        <w:spacing w:line="360" w:lineRule="auto"/>
        <w:ind w:firstLine="420" w:firstLineChars="200"/>
        <w:rPr>
          <w:rFonts w:ascii="宋体" w:hAnsi="宋体"/>
          <w:szCs w:val="21"/>
        </w:rPr>
      </w:pPr>
      <w:r>
        <w:rPr>
          <w:rFonts w:hint="eastAsia" w:ascii="宋体" w:hAnsi="宋体"/>
          <w:szCs w:val="21"/>
        </w:rPr>
        <w:t>2.5“项目”系指供应商按磋商文件规定向采购人提供产品和服务。</w:t>
      </w:r>
    </w:p>
    <w:p>
      <w:pPr>
        <w:spacing w:line="360" w:lineRule="auto"/>
        <w:ind w:firstLine="420" w:firstLineChars="200"/>
        <w:rPr>
          <w:rFonts w:ascii="宋体" w:hAnsi="宋体"/>
          <w:szCs w:val="21"/>
        </w:rPr>
      </w:pPr>
      <w:r>
        <w:rPr>
          <w:rFonts w:hint="eastAsia" w:ascii="宋体" w:hAnsi="宋体"/>
          <w:szCs w:val="21"/>
        </w:rPr>
        <w:t>2.6“书面形式”包括信函、传真、电报、电子文档等。</w:t>
      </w:r>
    </w:p>
    <w:p>
      <w:pPr>
        <w:spacing w:line="360" w:lineRule="auto"/>
        <w:rPr>
          <w:rFonts w:ascii="宋体" w:hAnsi="宋体"/>
          <w:b/>
          <w:szCs w:val="21"/>
        </w:rPr>
      </w:pPr>
      <w:bookmarkStart w:id="20" w:name="_Toc212690681"/>
      <w:bookmarkStart w:id="21" w:name="_Toc466988633"/>
      <w:r>
        <w:rPr>
          <w:rFonts w:hint="eastAsia" w:ascii="宋体" w:hAnsi="宋体"/>
          <w:b/>
          <w:szCs w:val="21"/>
        </w:rPr>
        <w:t>3.采购方式</w:t>
      </w:r>
      <w:bookmarkEnd w:id="20"/>
      <w:bookmarkEnd w:id="21"/>
    </w:p>
    <w:p>
      <w:pPr>
        <w:spacing w:line="360" w:lineRule="auto"/>
        <w:ind w:firstLine="420" w:firstLineChars="200"/>
        <w:rPr>
          <w:rFonts w:ascii="宋体" w:hAnsi="宋体"/>
          <w:szCs w:val="21"/>
        </w:rPr>
      </w:pPr>
      <w:r>
        <w:rPr>
          <w:rFonts w:hint="eastAsia" w:ascii="宋体" w:hAnsi="宋体"/>
          <w:szCs w:val="21"/>
        </w:rPr>
        <w:t>3.1本次采购采用竞争性磋商方式进行。</w:t>
      </w:r>
    </w:p>
    <w:p>
      <w:pPr>
        <w:spacing w:line="360" w:lineRule="auto"/>
        <w:rPr>
          <w:rFonts w:ascii="宋体" w:hAnsi="宋体"/>
          <w:b/>
          <w:szCs w:val="21"/>
        </w:rPr>
      </w:pPr>
      <w:bookmarkStart w:id="22" w:name="_Toc212690684"/>
      <w:bookmarkStart w:id="23" w:name="_Toc466988634"/>
      <w:bookmarkStart w:id="24" w:name="_Toc212690683"/>
      <w:r>
        <w:rPr>
          <w:rFonts w:hint="eastAsia" w:ascii="宋体" w:hAnsi="宋体"/>
          <w:b/>
          <w:szCs w:val="21"/>
        </w:rPr>
        <w:t>4. 磋商委托</w:t>
      </w:r>
      <w:bookmarkEnd w:id="22"/>
      <w:bookmarkEnd w:id="23"/>
    </w:p>
    <w:p>
      <w:pPr>
        <w:spacing w:line="360" w:lineRule="auto"/>
        <w:ind w:firstLine="420" w:firstLineChars="200"/>
        <w:rPr>
          <w:rFonts w:ascii="宋体" w:hAnsi="宋体"/>
          <w:szCs w:val="21"/>
        </w:rPr>
      </w:pPr>
      <w:r>
        <w:rPr>
          <w:rFonts w:hint="eastAsia" w:ascii="宋体" w:hAnsi="宋体"/>
          <w:szCs w:val="21"/>
        </w:rPr>
        <w:t>4.1供应商代表须携带居民身份证。如供应商代表不是法定代表人，须有法定代表人出具的授权委托书。</w:t>
      </w:r>
    </w:p>
    <w:p>
      <w:pPr>
        <w:spacing w:line="360" w:lineRule="auto"/>
        <w:rPr>
          <w:rFonts w:ascii="宋体" w:hAnsi="宋体"/>
          <w:b/>
          <w:szCs w:val="21"/>
        </w:rPr>
      </w:pPr>
      <w:bookmarkStart w:id="25" w:name="_Toc466988635"/>
      <w:r>
        <w:rPr>
          <w:rFonts w:hint="eastAsia" w:ascii="宋体" w:hAnsi="宋体"/>
          <w:b/>
          <w:szCs w:val="21"/>
        </w:rPr>
        <w:t>5.磋商费用</w:t>
      </w:r>
      <w:bookmarkEnd w:id="24"/>
      <w:bookmarkEnd w:id="25"/>
    </w:p>
    <w:p>
      <w:pPr>
        <w:spacing w:line="360" w:lineRule="auto"/>
        <w:ind w:firstLine="420" w:firstLineChars="200"/>
        <w:rPr>
          <w:rFonts w:ascii="宋体" w:hAnsi="宋体"/>
          <w:szCs w:val="21"/>
        </w:rPr>
      </w:pPr>
      <w:r>
        <w:rPr>
          <w:rFonts w:hint="eastAsia" w:ascii="宋体" w:hAnsi="宋体"/>
          <w:szCs w:val="21"/>
        </w:rPr>
        <w:t>5.1无论磋商过程和结果如何，供应商均自行承担与本次磋商有关的全部费用。</w:t>
      </w:r>
    </w:p>
    <w:p>
      <w:pPr>
        <w:spacing w:line="360" w:lineRule="auto"/>
        <w:rPr>
          <w:rFonts w:ascii="宋体" w:hAnsi="宋体"/>
          <w:b/>
          <w:szCs w:val="21"/>
        </w:rPr>
      </w:pPr>
      <w:bookmarkStart w:id="26" w:name="_Toc466988636"/>
      <w:bookmarkStart w:id="27" w:name="_Toc212690685"/>
      <w:r>
        <w:rPr>
          <w:rFonts w:hint="eastAsia" w:ascii="宋体" w:hAnsi="宋体"/>
          <w:b/>
          <w:szCs w:val="21"/>
        </w:rPr>
        <w:t>6.转包与分包</w:t>
      </w:r>
      <w:bookmarkEnd w:id="26"/>
      <w:bookmarkEnd w:id="27"/>
    </w:p>
    <w:p>
      <w:pPr>
        <w:spacing w:line="360" w:lineRule="auto"/>
        <w:ind w:firstLine="420" w:firstLineChars="200"/>
        <w:rPr>
          <w:rFonts w:ascii="宋体" w:hAnsi="宋体"/>
          <w:szCs w:val="21"/>
        </w:rPr>
      </w:pPr>
      <w:r>
        <w:rPr>
          <w:rFonts w:hint="eastAsia" w:ascii="宋体" w:hAnsi="宋体"/>
          <w:szCs w:val="21"/>
        </w:rPr>
        <w:t>6.1本项目不允许转包。</w:t>
      </w:r>
    </w:p>
    <w:p>
      <w:pPr>
        <w:spacing w:line="360" w:lineRule="auto"/>
        <w:ind w:firstLine="420" w:firstLineChars="200"/>
        <w:rPr>
          <w:rFonts w:ascii="宋体" w:hAnsi="宋体"/>
          <w:szCs w:val="21"/>
        </w:rPr>
      </w:pPr>
      <w:r>
        <w:rPr>
          <w:rFonts w:hint="eastAsia" w:ascii="宋体" w:hAnsi="宋体"/>
          <w:szCs w:val="21"/>
        </w:rPr>
        <w:t>6.2本项目不可以分包。</w:t>
      </w:r>
    </w:p>
    <w:p>
      <w:pPr>
        <w:spacing w:line="360" w:lineRule="auto"/>
        <w:rPr>
          <w:rFonts w:ascii="宋体" w:hAnsi="宋体"/>
          <w:b/>
          <w:szCs w:val="21"/>
        </w:rPr>
      </w:pPr>
      <w:bookmarkStart w:id="28" w:name="_Toc466988637"/>
      <w:r>
        <w:rPr>
          <w:rFonts w:hint="eastAsia" w:ascii="宋体" w:hAnsi="宋体"/>
          <w:b/>
          <w:szCs w:val="21"/>
        </w:rPr>
        <w:t>7.特别说明：</w:t>
      </w:r>
      <w:bookmarkEnd w:id="28"/>
    </w:p>
    <w:p>
      <w:pPr>
        <w:spacing w:line="360" w:lineRule="auto"/>
        <w:ind w:firstLine="420" w:firstLineChars="200"/>
        <w:rPr>
          <w:rFonts w:ascii="宋体" w:hAnsi="宋体"/>
          <w:szCs w:val="21"/>
        </w:rPr>
      </w:pPr>
      <w:r>
        <w:rPr>
          <w:rFonts w:hint="eastAsia" w:ascii="宋体" w:hAnsi="宋体"/>
          <w:szCs w:val="21"/>
        </w:rPr>
        <w:t>7.1除采用最低评标价法的项目外，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磋商。</w:t>
      </w:r>
    </w:p>
    <w:p>
      <w:pPr>
        <w:spacing w:line="360" w:lineRule="auto"/>
        <w:ind w:firstLine="420" w:firstLineChars="200"/>
        <w:rPr>
          <w:rFonts w:ascii="宋体" w:hAnsi="宋体"/>
          <w:szCs w:val="21"/>
        </w:rPr>
      </w:pPr>
      <w:r>
        <w:rPr>
          <w:rFonts w:hint="eastAsia" w:ascii="宋体" w:hAnsi="宋体"/>
          <w:szCs w:val="21"/>
        </w:rPr>
        <w:t>7.2供应商磋商所使用的资格、信誉、荣誉、业绩与企业认证必须为本法人所拥有。供应商磋商所使用的采购项目实施人员可以为其控股公司的工作人员。</w:t>
      </w:r>
    </w:p>
    <w:p>
      <w:pPr>
        <w:spacing w:line="360" w:lineRule="auto"/>
        <w:ind w:firstLine="420" w:firstLineChars="200"/>
        <w:rPr>
          <w:rFonts w:ascii="宋体" w:hAnsi="宋体"/>
          <w:szCs w:val="21"/>
        </w:rPr>
      </w:pPr>
      <w:r>
        <w:rPr>
          <w:rFonts w:hint="eastAsia" w:ascii="宋体" w:hAnsi="宋体"/>
          <w:szCs w:val="21"/>
        </w:rPr>
        <w:t>7.3供应商在磋商活动中提供任何虚假材料或从事其他违法活动的，其投标无效，并报监管部门查处；成交后发现的，成交供应商须依照《政府采购供应商投诉处理办法》、《中华人民共和国消费者权益保护法》第49条之规定双倍赔偿采购人。且民事赔偿并不免除违法供应商的行政与刑事责任。</w:t>
      </w:r>
    </w:p>
    <w:p>
      <w:pPr>
        <w:spacing w:line="360" w:lineRule="auto"/>
        <w:ind w:firstLine="420" w:firstLineChars="200"/>
        <w:rPr>
          <w:rFonts w:ascii="宋体" w:hAnsi="宋体"/>
          <w:szCs w:val="21"/>
        </w:rPr>
      </w:pPr>
      <w:r>
        <w:rPr>
          <w:rFonts w:hint="eastAsia" w:ascii="宋体" w:hAnsi="宋体"/>
          <w:szCs w:val="21"/>
        </w:rPr>
        <w:t>7.4供应商应仔细阅读磋商文件的所有内容，按照磋商文件的要求提交响应文件。响应文件应对磋商文件的要求作出实质性响应，并对所提供的全部资料的真实性承担法律责任。</w:t>
      </w:r>
    </w:p>
    <w:p>
      <w:pPr>
        <w:spacing w:line="360" w:lineRule="auto"/>
        <w:ind w:firstLine="420" w:firstLineChars="200"/>
        <w:rPr>
          <w:rFonts w:ascii="宋体" w:hAnsi="宋体"/>
          <w:szCs w:val="21"/>
        </w:rPr>
      </w:pPr>
      <w:r>
        <w:rPr>
          <w:rFonts w:hint="eastAsia" w:ascii="宋体" w:hAnsi="宋体"/>
          <w:szCs w:val="21"/>
        </w:rPr>
        <w:t>7.5为采购项目提供整体设计、规范编制或者项目管理、监理、检测等服务的供应商，不得再参加该采购项目的其他采购活动。</w:t>
      </w:r>
    </w:p>
    <w:p>
      <w:pPr>
        <w:spacing w:line="360" w:lineRule="auto"/>
        <w:ind w:firstLine="420" w:firstLineChars="200"/>
        <w:rPr>
          <w:rFonts w:ascii="宋体" w:hAnsi="宋体"/>
          <w:szCs w:val="21"/>
        </w:rPr>
      </w:pPr>
      <w:r>
        <w:rPr>
          <w:rFonts w:hint="eastAsia" w:ascii="宋体" w:hAnsi="宋体"/>
          <w:szCs w:val="21"/>
        </w:rPr>
        <w:t>7.6根据财库〔2016〕125号《财政部关于在政府采购活动中查询及使用信用记录有关问题的通知》的要求，通过“信用中国”网站（www.creditchina.gov.cn）和中国政府采购网（www.ccgp.gov.cn）等渠道查询相关主体信用记录，截止时间点为投标截止时间。对列入失信被执行人、重大税收违法案件当事人名单、政府采购严重违法失信行为记录名单的供应商，拒绝其参与政府采购活动。</w:t>
      </w:r>
    </w:p>
    <w:p>
      <w:pPr>
        <w:spacing w:line="360" w:lineRule="auto"/>
        <w:ind w:firstLine="420" w:firstLineChars="200"/>
        <w:rPr>
          <w:rFonts w:ascii="宋体" w:hAnsi="宋体"/>
          <w:szCs w:val="21"/>
          <w:u w:val="single"/>
        </w:rPr>
      </w:pPr>
      <w:r>
        <w:rPr>
          <w:rFonts w:hint="eastAsia" w:ascii="宋体" w:hAnsi="宋体"/>
          <w:szCs w:val="21"/>
        </w:rPr>
        <w:t>7.7关于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提供其他小微企业制造的货物的，应同时提供制造商的《小微企业声明函（制造商）》。</w:t>
      </w:r>
      <w:r>
        <w:rPr>
          <w:rFonts w:hint="eastAsia" w:ascii="宋体" w:hAnsi="宋体"/>
          <w:szCs w:val="21"/>
          <w:u w:val="single"/>
        </w:rPr>
        <w:t>具体优惠政策：对于小型微型企业产品的价格给予6%的扣除。</w:t>
      </w:r>
    </w:p>
    <w:p>
      <w:pPr>
        <w:spacing w:line="360" w:lineRule="auto"/>
        <w:rPr>
          <w:rFonts w:ascii="宋体" w:hAnsi="宋体"/>
          <w:b/>
          <w:szCs w:val="21"/>
        </w:rPr>
      </w:pPr>
      <w:bookmarkStart w:id="29" w:name="_Toc466988638"/>
      <w:r>
        <w:rPr>
          <w:rFonts w:hint="eastAsia" w:ascii="宋体" w:hAnsi="宋体"/>
          <w:b/>
          <w:szCs w:val="21"/>
        </w:rPr>
        <w:t>8.质疑和投诉</w:t>
      </w:r>
      <w:bookmarkEnd w:id="29"/>
    </w:p>
    <w:p>
      <w:pPr>
        <w:spacing w:line="360" w:lineRule="auto"/>
        <w:ind w:firstLine="420" w:firstLineChars="200"/>
        <w:rPr>
          <w:rFonts w:ascii="宋体" w:hAnsi="宋体"/>
          <w:szCs w:val="21"/>
        </w:rPr>
      </w:pPr>
      <w:r>
        <w:rPr>
          <w:rFonts w:hint="eastAsia" w:ascii="宋体" w:hAnsi="宋体"/>
          <w:szCs w:val="21"/>
        </w:rPr>
        <w:t>8.1投标人认为采购文件、采购过程和中标结果使自己的权益受到损害的，可以在知道或者应知其权益受到损害之日起七个工作日内，以书面形式向采购代理机构提出质疑。</w:t>
      </w:r>
    </w:p>
    <w:p>
      <w:pPr>
        <w:spacing w:line="360" w:lineRule="auto"/>
        <w:ind w:firstLine="420" w:firstLineChars="200"/>
        <w:rPr>
          <w:rFonts w:ascii="宋体" w:hAnsi="宋体"/>
          <w:szCs w:val="21"/>
        </w:rPr>
      </w:pPr>
      <w:r>
        <w:rPr>
          <w:rFonts w:hint="eastAsia" w:ascii="宋体" w:hAnsi="宋体"/>
          <w:szCs w:val="21"/>
        </w:rPr>
        <w:t>8.2质疑供应商可直接提交、传真或邮寄方式提交质疑书（一式三份），以其他方式提出的质疑，采购代理机构</w:t>
      </w:r>
      <w:r>
        <w:rPr>
          <w:rFonts w:ascii="宋体" w:hAnsi="宋体"/>
          <w:szCs w:val="21"/>
        </w:rPr>
        <w:t>可不予接受、答复。</w:t>
      </w:r>
      <w:r>
        <w:rPr>
          <w:rFonts w:hint="eastAsia" w:ascii="宋体" w:hAnsi="宋体"/>
          <w:szCs w:val="21"/>
        </w:rPr>
        <w:t>其中，以</w:t>
      </w:r>
      <w:r>
        <w:rPr>
          <w:rFonts w:ascii="宋体" w:hAnsi="宋体"/>
          <w:szCs w:val="21"/>
        </w:rPr>
        <w:t>传真方式送达质疑书的，</w:t>
      </w:r>
      <w:r>
        <w:rPr>
          <w:rFonts w:hint="eastAsia" w:ascii="宋体" w:hAnsi="宋体"/>
          <w:szCs w:val="21"/>
        </w:rPr>
        <w:t>应</w:t>
      </w:r>
      <w:r>
        <w:rPr>
          <w:rFonts w:ascii="宋体" w:hAnsi="宋体"/>
          <w:szCs w:val="21"/>
        </w:rPr>
        <w:t>及时将质疑书原件送达</w:t>
      </w:r>
      <w:r>
        <w:rPr>
          <w:rFonts w:hint="eastAsia" w:ascii="宋体" w:hAnsi="宋体"/>
          <w:szCs w:val="21"/>
        </w:rPr>
        <w:t>采购代理机构，采购代理机构</w:t>
      </w:r>
      <w:r>
        <w:rPr>
          <w:rFonts w:ascii="宋体" w:hAnsi="宋体"/>
          <w:szCs w:val="21"/>
        </w:rPr>
        <w:t>以实际收到原件之日作为收到质疑的日期</w:t>
      </w:r>
      <w:r>
        <w:rPr>
          <w:rFonts w:hint="eastAsia" w:ascii="宋体" w:hAnsi="宋体"/>
          <w:szCs w:val="21"/>
        </w:rPr>
        <w:t>（在质疑期限届满前质疑书已经传真成功的，质疑不视为过期）；</w:t>
      </w:r>
      <w:r>
        <w:rPr>
          <w:rFonts w:ascii="宋体" w:hAnsi="宋体"/>
          <w:szCs w:val="21"/>
        </w:rPr>
        <w:t>邮寄方式送达质疑书的，以</w:t>
      </w:r>
      <w:r>
        <w:rPr>
          <w:rFonts w:hint="eastAsia" w:ascii="宋体" w:hAnsi="宋体"/>
          <w:szCs w:val="21"/>
        </w:rPr>
        <w:t>采购代理机构</w:t>
      </w:r>
      <w:r>
        <w:rPr>
          <w:rFonts w:ascii="宋体" w:hAnsi="宋体"/>
          <w:szCs w:val="21"/>
        </w:rPr>
        <w:t>实际收到邮件之日作为收到质疑的日期。</w:t>
      </w:r>
    </w:p>
    <w:p>
      <w:pPr>
        <w:spacing w:line="360" w:lineRule="auto"/>
        <w:ind w:firstLine="420" w:firstLineChars="200"/>
        <w:rPr>
          <w:rFonts w:ascii="宋体" w:hAnsi="宋体"/>
          <w:szCs w:val="21"/>
        </w:rPr>
      </w:pPr>
      <w:r>
        <w:rPr>
          <w:rFonts w:hint="eastAsia" w:ascii="宋体" w:hAnsi="宋体"/>
          <w:szCs w:val="21"/>
        </w:rPr>
        <w:t>8.3采购代理机构在收到质疑供应商的书面质疑后7个工作日内作出书面答复（涉及项目采购需求内容的由采购人答复），质疑人在收到答复后应于1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pPr>
        <w:spacing w:line="360" w:lineRule="auto"/>
        <w:ind w:firstLine="420" w:firstLineChars="200"/>
        <w:rPr>
          <w:rFonts w:ascii="宋体" w:hAnsi="宋体"/>
          <w:szCs w:val="21"/>
        </w:rPr>
      </w:pPr>
      <w:r>
        <w:rPr>
          <w:rFonts w:hint="eastAsia" w:ascii="宋体" w:hAnsi="宋体"/>
          <w:szCs w:val="21"/>
        </w:rPr>
        <w:t>8.4质疑供应商捏造事实、提供虚假材料进行质疑的，采购代理机构报告同级财政部门。情况属实的，列入不良行为记录并在指定的媒体上公告。</w:t>
      </w:r>
    </w:p>
    <w:p>
      <w:pPr>
        <w:spacing w:line="360" w:lineRule="auto"/>
        <w:ind w:firstLine="420" w:firstLineChars="200"/>
        <w:rPr>
          <w:rFonts w:ascii="宋体" w:hAnsi="宋体"/>
          <w:szCs w:val="21"/>
        </w:rPr>
      </w:pPr>
      <w:r>
        <w:rPr>
          <w:rFonts w:hint="eastAsia" w:ascii="宋体" w:hAnsi="宋体"/>
          <w:szCs w:val="21"/>
        </w:rPr>
        <w:t>8.5</w:t>
      </w:r>
      <w:r>
        <w:rPr>
          <w:rFonts w:ascii="宋体" w:hAnsi="宋体"/>
          <w:szCs w:val="21"/>
        </w:rPr>
        <w:t>质疑供应商对采购人、采购代理机构的答复不满意或者采购人、采购代理机构未在规定的时间内作出答复的，可以在答复期满后十五个工作日内向</w:t>
      </w:r>
      <w:r>
        <w:rPr>
          <w:rFonts w:hint="eastAsia" w:ascii="宋体" w:hAnsi="宋体"/>
          <w:szCs w:val="21"/>
        </w:rPr>
        <w:t>三门县财政局</w:t>
      </w:r>
      <w:r>
        <w:rPr>
          <w:rFonts w:ascii="宋体" w:hAnsi="宋体"/>
          <w:szCs w:val="21"/>
        </w:rPr>
        <w:t>投诉。</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outlineLvl w:val="1"/>
        <w:rPr>
          <w:rFonts w:ascii="宋体"/>
          <w:b/>
          <w:kern w:val="0"/>
          <w:sz w:val="24"/>
        </w:rPr>
      </w:pPr>
      <w:bookmarkStart w:id="30" w:name="_Toc1511"/>
      <w:r>
        <w:rPr>
          <w:rFonts w:hint="eastAsia" w:ascii="宋体"/>
          <w:b/>
          <w:kern w:val="0"/>
          <w:sz w:val="24"/>
        </w:rPr>
        <w:t>二、磋商文件</w:t>
      </w:r>
      <w:bookmarkEnd w:id="30"/>
    </w:p>
    <w:p>
      <w:pPr>
        <w:spacing w:line="360" w:lineRule="auto"/>
        <w:rPr>
          <w:rFonts w:ascii="宋体" w:hAnsi="宋体"/>
          <w:b/>
          <w:szCs w:val="21"/>
        </w:rPr>
      </w:pPr>
      <w:r>
        <w:rPr>
          <w:rFonts w:hint="eastAsia" w:ascii="宋体" w:hAnsi="宋体"/>
          <w:b/>
          <w:szCs w:val="21"/>
        </w:rPr>
        <w:t>（一）磋商文件的组成</w:t>
      </w:r>
    </w:p>
    <w:p>
      <w:pPr>
        <w:spacing w:line="360" w:lineRule="auto"/>
        <w:ind w:firstLine="420" w:firstLineChars="200"/>
        <w:rPr>
          <w:rFonts w:ascii="宋体" w:hAnsi="宋体"/>
          <w:szCs w:val="21"/>
        </w:rPr>
      </w:pPr>
      <w:r>
        <w:rPr>
          <w:rFonts w:hint="eastAsia" w:ascii="宋体" w:hAnsi="宋体"/>
          <w:szCs w:val="21"/>
        </w:rPr>
        <w:t>本磋商文件由以下部分组成：</w:t>
      </w:r>
    </w:p>
    <w:p>
      <w:pPr>
        <w:spacing w:line="360" w:lineRule="auto"/>
        <w:ind w:firstLine="420" w:firstLineChars="200"/>
        <w:rPr>
          <w:rFonts w:ascii="宋体" w:hAnsi="宋体"/>
          <w:szCs w:val="21"/>
        </w:rPr>
      </w:pPr>
      <w:r>
        <w:rPr>
          <w:rFonts w:hint="eastAsia" w:ascii="宋体" w:hAnsi="宋体"/>
          <w:szCs w:val="21"/>
        </w:rPr>
        <w:t>（1）竞争性磋商公告；</w:t>
      </w:r>
    </w:p>
    <w:p>
      <w:pPr>
        <w:spacing w:line="360" w:lineRule="auto"/>
        <w:ind w:firstLine="420" w:firstLineChars="200"/>
        <w:rPr>
          <w:rFonts w:ascii="宋体" w:hAnsi="宋体"/>
          <w:szCs w:val="21"/>
        </w:rPr>
      </w:pPr>
      <w:r>
        <w:rPr>
          <w:rFonts w:hint="eastAsia" w:ascii="宋体" w:hAnsi="宋体"/>
          <w:szCs w:val="21"/>
        </w:rPr>
        <w:t>（2）磋商需求；</w:t>
      </w:r>
    </w:p>
    <w:p>
      <w:pPr>
        <w:spacing w:line="360" w:lineRule="auto"/>
        <w:ind w:firstLine="420" w:firstLineChars="200"/>
        <w:rPr>
          <w:rFonts w:ascii="宋体" w:hAnsi="宋体"/>
          <w:szCs w:val="21"/>
        </w:rPr>
      </w:pPr>
      <w:r>
        <w:rPr>
          <w:rFonts w:hint="eastAsia" w:ascii="宋体" w:hAnsi="宋体"/>
          <w:szCs w:val="21"/>
        </w:rPr>
        <w:t>（3）磋商须知及磋商须知前附表；</w:t>
      </w:r>
    </w:p>
    <w:p>
      <w:pPr>
        <w:spacing w:line="360" w:lineRule="auto"/>
        <w:ind w:firstLine="420" w:firstLineChars="200"/>
        <w:rPr>
          <w:rFonts w:ascii="宋体" w:hAnsi="宋体"/>
          <w:szCs w:val="21"/>
        </w:rPr>
      </w:pPr>
      <w:r>
        <w:rPr>
          <w:rFonts w:hint="eastAsia" w:ascii="宋体" w:hAnsi="宋体"/>
          <w:szCs w:val="21"/>
        </w:rPr>
        <w:t>（4）评审办法及标准；</w:t>
      </w:r>
    </w:p>
    <w:p>
      <w:pPr>
        <w:spacing w:line="360" w:lineRule="auto"/>
        <w:ind w:firstLine="420" w:firstLineChars="200"/>
        <w:rPr>
          <w:rFonts w:ascii="宋体" w:hAnsi="宋体"/>
          <w:szCs w:val="21"/>
        </w:rPr>
      </w:pPr>
      <w:r>
        <w:rPr>
          <w:rFonts w:hint="eastAsia" w:ascii="宋体" w:hAnsi="宋体"/>
          <w:szCs w:val="21"/>
        </w:rPr>
        <w:t>（5）合同主要条款；</w:t>
      </w:r>
    </w:p>
    <w:p>
      <w:pPr>
        <w:spacing w:line="360" w:lineRule="auto"/>
        <w:ind w:firstLine="420" w:firstLineChars="200"/>
        <w:rPr>
          <w:rFonts w:ascii="宋体" w:hAnsi="宋体"/>
          <w:szCs w:val="21"/>
        </w:rPr>
      </w:pPr>
      <w:r>
        <w:rPr>
          <w:rFonts w:hint="eastAsia" w:ascii="宋体" w:hAnsi="宋体"/>
          <w:szCs w:val="21"/>
        </w:rPr>
        <w:t>（6）响应文件格式。</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kern w:val="0"/>
          <w:szCs w:val="21"/>
        </w:rPr>
      </w:pPr>
      <w:r>
        <w:rPr>
          <w:rFonts w:hint="eastAsia" w:ascii="宋体"/>
          <w:b/>
          <w:kern w:val="0"/>
          <w:szCs w:val="21"/>
        </w:rPr>
        <w:t>（二）供应商的风险</w:t>
      </w:r>
    </w:p>
    <w:p>
      <w:pPr>
        <w:spacing w:line="360" w:lineRule="auto"/>
        <w:ind w:firstLine="420" w:firstLineChars="200"/>
        <w:rPr>
          <w:rFonts w:ascii="宋体" w:hAnsi="宋体"/>
          <w:szCs w:val="21"/>
        </w:rPr>
      </w:pPr>
      <w:r>
        <w:rPr>
          <w:rFonts w:hint="eastAsia" w:ascii="宋体" w:hAnsi="宋体"/>
          <w:szCs w:val="21"/>
        </w:rPr>
        <w:t>供应商没有按照磋商文件要求提供全部资料，或者供应商没有对磋商文件在各方面作出实质性响应是供应商的风险，并可能导致其投标被拒绝。</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kern w:val="0"/>
          <w:szCs w:val="21"/>
        </w:rPr>
      </w:pPr>
      <w:bookmarkStart w:id="31" w:name="_Toc212690689"/>
      <w:bookmarkStart w:id="32" w:name="_Toc360715516"/>
      <w:r>
        <w:rPr>
          <w:rFonts w:hint="eastAsia" w:ascii="宋体"/>
          <w:b/>
          <w:kern w:val="0"/>
          <w:szCs w:val="21"/>
        </w:rPr>
        <w:t>（三）谈判文件的澄清</w:t>
      </w:r>
      <w:bookmarkEnd w:id="31"/>
      <w:r>
        <w:rPr>
          <w:rFonts w:hint="eastAsia" w:ascii="宋体"/>
          <w:b/>
          <w:kern w:val="0"/>
          <w:szCs w:val="21"/>
        </w:rPr>
        <w:t>与修改</w:t>
      </w:r>
      <w:bookmarkEnd w:id="32"/>
    </w:p>
    <w:p>
      <w:pPr>
        <w:autoSpaceDE w:val="0"/>
        <w:autoSpaceDN w:val="0"/>
        <w:adjustRightInd w:val="0"/>
        <w:spacing w:line="360" w:lineRule="auto"/>
        <w:ind w:firstLine="480"/>
        <w:rPr>
          <w:rFonts w:ascii="宋体" w:hAnsi="宋体"/>
          <w:szCs w:val="21"/>
        </w:rPr>
      </w:pPr>
      <w:r>
        <w:rPr>
          <w:rFonts w:hint="eastAsia" w:ascii="宋体" w:hAnsi="宋体"/>
          <w:szCs w:val="21"/>
        </w:rPr>
        <w:t>1.投标人如发现招标文件及其评标办法中存在含糊不清、相互矛盾、多种含义以及歧视性不公正条款或违法违规等有疑点需要质疑的，</w:t>
      </w:r>
      <w:r>
        <w:rPr>
          <w:rFonts w:ascii="宋体" w:hAnsi="宋体"/>
          <w:szCs w:val="21"/>
        </w:rPr>
        <w:t>可以自收到采购文件之日（发售截止日之后收到采购文件的，以发售截止日为准）或者采购文件公告期限届满之日（</w:t>
      </w:r>
      <w:r>
        <w:rPr>
          <w:rFonts w:hint="eastAsia" w:ascii="宋体" w:hAnsi="宋体"/>
          <w:szCs w:val="21"/>
        </w:rPr>
        <w:t>即</w:t>
      </w:r>
      <w:r>
        <w:rPr>
          <w:rFonts w:ascii="宋体" w:hAnsi="宋体"/>
          <w:szCs w:val="21"/>
        </w:rPr>
        <w:t>为</w:t>
      </w:r>
      <w:r>
        <w:rPr>
          <w:rFonts w:hint="eastAsia" w:ascii="宋体" w:hAnsi="宋体"/>
          <w:szCs w:val="21"/>
        </w:rPr>
        <w:t>招标</w:t>
      </w:r>
      <w:r>
        <w:rPr>
          <w:rFonts w:ascii="宋体" w:hAnsi="宋体"/>
          <w:szCs w:val="21"/>
        </w:rPr>
        <w:t>公告发布后的第6个工作日）起7个工作日内，以书面形式向采购人和采购代理机构提出质疑。</w:t>
      </w:r>
      <w:r>
        <w:rPr>
          <w:rFonts w:hint="eastAsia" w:ascii="宋体" w:hAnsi="宋体"/>
          <w:szCs w:val="21"/>
        </w:rPr>
        <w:t>逾期不得再对招标文件内容提出质疑，并视为对招标文件内容认可。</w:t>
      </w:r>
    </w:p>
    <w:p>
      <w:pPr>
        <w:autoSpaceDE w:val="0"/>
        <w:autoSpaceDN w:val="0"/>
        <w:adjustRightInd w:val="0"/>
        <w:spacing w:line="360" w:lineRule="auto"/>
        <w:ind w:firstLine="480"/>
        <w:rPr>
          <w:rFonts w:ascii="宋体" w:hAnsi="宋体"/>
          <w:szCs w:val="21"/>
        </w:rPr>
      </w:pPr>
      <w:r>
        <w:rPr>
          <w:rFonts w:hint="eastAsia" w:ascii="宋体" w:hAnsi="宋体"/>
          <w:szCs w:val="21"/>
        </w:rPr>
        <w:t>2.采购代理机构对已发出的招标文件进行必要的澄清或者修改，澄清或者修改内容可能影响投标文件编制的，采购代理机构于投标截止时间至少15日前在“浙江省政府采购网”、“三门县公共资源交易中心”网站上发布澄清或更正公告；不足15日的，采购代理机构有权顺延提交投标文件的截止时间。</w:t>
      </w:r>
    </w:p>
    <w:p>
      <w:pPr>
        <w:autoSpaceDE w:val="0"/>
        <w:autoSpaceDN w:val="0"/>
        <w:adjustRightInd w:val="0"/>
        <w:spacing w:line="360" w:lineRule="auto"/>
        <w:ind w:firstLine="480"/>
        <w:rPr>
          <w:rFonts w:ascii="宋体" w:hAnsi="宋体"/>
          <w:szCs w:val="21"/>
        </w:rPr>
      </w:pPr>
      <w:r>
        <w:rPr>
          <w:rFonts w:hint="eastAsia" w:ascii="宋体" w:hAnsi="宋体"/>
          <w:szCs w:val="21"/>
        </w:rPr>
        <w:t>3.当</w:t>
      </w:r>
      <w:r>
        <w:rPr>
          <w:rFonts w:ascii="宋体" w:hAnsi="宋体"/>
          <w:szCs w:val="21"/>
        </w:rPr>
        <w:t>招标文件</w:t>
      </w:r>
      <w:r>
        <w:rPr>
          <w:rFonts w:hint="eastAsia" w:ascii="宋体" w:hAnsi="宋体"/>
          <w:szCs w:val="21"/>
        </w:rPr>
        <w:t>与</w:t>
      </w:r>
      <w:r>
        <w:rPr>
          <w:rFonts w:ascii="宋体" w:hAnsi="宋体"/>
          <w:szCs w:val="21"/>
        </w:rPr>
        <w:t>招标文件的澄清、修改、补充等在同一内容的表述上不一致时，以最后发出的</w:t>
      </w:r>
      <w:r>
        <w:rPr>
          <w:rFonts w:hint="eastAsia" w:ascii="宋体" w:hAnsi="宋体"/>
          <w:szCs w:val="21"/>
        </w:rPr>
        <w:t>书面文件</w:t>
      </w:r>
      <w:r>
        <w:rPr>
          <w:rFonts w:ascii="宋体" w:hAnsi="宋体"/>
          <w:szCs w:val="21"/>
        </w:rPr>
        <w:t>为准。</w:t>
      </w:r>
    </w:p>
    <w:p>
      <w:pPr>
        <w:pStyle w:val="2"/>
        <w:numPr>
          <w:ilvl w:val="1"/>
          <w:numId w:val="0"/>
        </w:numPr>
        <w:tabs>
          <w:tab w:val="left" w:pos="574"/>
        </w:tabs>
        <w:spacing w:after="0" w:line="360" w:lineRule="auto"/>
        <w:ind w:firstLine="420" w:firstLineChars="200"/>
        <w:rPr>
          <w:rFonts w:ascii="宋体" w:hAnsi="宋体"/>
          <w:szCs w:val="21"/>
        </w:rPr>
      </w:pPr>
      <w:r>
        <w:rPr>
          <w:rFonts w:hint="eastAsia" w:ascii="宋体" w:hAnsi="宋体"/>
          <w:szCs w:val="21"/>
        </w:rPr>
        <w:t>4、磋商文件的澄清、修改、补充等内容将在网上发布。这些内容作为磋商文件的组成部分，对供应商起约束作用。</w:t>
      </w:r>
      <w:r>
        <w:rPr>
          <w:rFonts w:hint="eastAsia" w:ascii="黑体" w:hAnsi="宋体" w:eastAsia="黑体"/>
          <w:b/>
          <w:szCs w:val="21"/>
        </w:rPr>
        <w:t>供应商开标前应随时关注网站上的最新信息。</w:t>
      </w:r>
    </w:p>
    <w:p>
      <w:pPr>
        <w:snapToGrid w:val="0"/>
        <w:spacing w:line="360" w:lineRule="auto"/>
        <w:ind w:firstLine="420" w:firstLineChars="200"/>
        <w:jc w:val="left"/>
        <w:rPr>
          <w:rFonts w:ascii="宋体" w:hAnsi="宋体"/>
          <w:szCs w:val="21"/>
        </w:rPr>
      </w:pPr>
      <w:r>
        <w:rPr>
          <w:rFonts w:hint="eastAsia" w:ascii="宋体" w:hAnsi="宋体"/>
          <w:szCs w:val="21"/>
        </w:rPr>
        <w:t>5、磋商文件（包括澄清、修改、补充文件、书面答复等）未经采购人、监管部门备案盖章的一律无效。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outlineLvl w:val="1"/>
        <w:rPr>
          <w:rFonts w:ascii="宋体"/>
          <w:b/>
          <w:kern w:val="0"/>
          <w:sz w:val="24"/>
        </w:rPr>
      </w:pPr>
      <w:bookmarkStart w:id="33" w:name="_Toc29761"/>
      <w:r>
        <w:rPr>
          <w:rFonts w:hint="eastAsia" w:ascii="宋体"/>
          <w:b/>
          <w:kern w:val="0"/>
          <w:sz w:val="24"/>
        </w:rPr>
        <w:t>三、响应文件的编制</w:t>
      </w:r>
      <w:bookmarkEnd w:id="33"/>
    </w:p>
    <w:p>
      <w:pPr>
        <w:pStyle w:val="2"/>
        <w:numPr>
          <w:ilvl w:val="1"/>
          <w:numId w:val="0"/>
        </w:numPr>
        <w:tabs>
          <w:tab w:val="left" w:pos="574"/>
        </w:tabs>
        <w:spacing w:after="0" w:line="360" w:lineRule="auto"/>
        <w:rPr>
          <w:rFonts w:ascii="宋体" w:hAnsi="宋体"/>
          <w:b/>
          <w:szCs w:val="21"/>
        </w:rPr>
      </w:pPr>
      <w:r>
        <w:rPr>
          <w:rFonts w:hint="eastAsia" w:ascii="宋体" w:hAnsi="宋体"/>
          <w:b/>
          <w:szCs w:val="21"/>
        </w:rPr>
        <w:t>（一）响应文件的要求</w:t>
      </w:r>
    </w:p>
    <w:p>
      <w:pPr>
        <w:pStyle w:val="2"/>
        <w:numPr>
          <w:ilvl w:val="1"/>
          <w:numId w:val="0"/>
        </w:numPr>
        <w:tabs>
          <w:tab w:val="left" w:pos="574"/>
        </w:tabs>
        <w:spacing w:after="0" w:line="360" w:lineRule="auto"/>
        <w:ind w:firstLine="420" w:firstLineChars="200"/>
        <w:rPr>
          <w:rFonts w:ascii="宋体" w:hAnsi="宋体"/>
          <w:szCs w:val="21"/>
        </w:rPr>
      </w:pPr>
      <w:r>
        <w:rPr>
          <w:rFonts w:ascii="宋体" w:hAnsi="宋体"/>
          <w:szCs w:val="21"/>
        </w:rPr>
        <w:t>1</w:t>
      </w:r>
      <w:r>
        <w:rPr>
          <w:rFonts w:hint="eastAsia" w:ascii="宋体" w:hAnsi="宋体"/>
          <w:szCs w:val="21"/>
        </w:rPr>
        <w:t>、供应商应仔细阅读磋商文件的所有内容，按磋商文件的要求，详细编制磋商响应文件，</w:t>
      </w:r>
      <w:r>
        <w:rPr>
          <w:rFonts w:ascii="宋体" w:hAnsi="宋体"/>
          <w:szCs w:val="21"/>
        </w:rPr>
        <w:t>并对所提供的全部资料的真实性承担法律责任。</w:t>
      </w:r>
    </w:p>
    <w:p>
      <w:pPr>
        <w:pStyle w:val="2"/>
        <w:numPr>
          <w:ilvl w:val="1"/>
          <w:numId w:val="0"/>
        </w:numPr>
        <w:tabs>
          <w:tab w:val="left" w:pos="574"/>
        </w:tabs>
        <w:spacing w:after="0" w:line="360" w:lineRule="auto"/>
        <w:ind w:firstLine="420" w:firstLineChars="200"/>
        <w:rPr>
          <w:rFonts w:ascii="宋体" w:hAnsi="宋体"/>
          <w:szCs w:val="21"/>
        </w:rPr>
      </w:pPr>
      <w:r>
        <w:rPr>
          <w:rFonts w:ascii="宋体" w:hAnsi="宋体"/>
          <w:szCs w:val="21"/>
        </w:rPr>
        <w:t>2</w:t>
      </w:r>
      <w:r>
        <w:rPr>
          <w:rFonts w:hint="eastAsia" w:ascii="宋体" w:hAnsi="宋体"/>
          <w:szCs w:val="21"/>
        </w:rPr>
        <w:t>、不按磋商文件的要求提供的磋商响应文件将被拒绝。</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kern w:val="0"/>
          <w:szCs w:val="21"/>
        </w:rPr>
      </w:pPr>
      <w:r>
        <w:rPr>
          <w:rFonts w:hint="eastAsia" w:ascii="宋体"/>
          <w:b/>
          <w:kern w:val="0"/>
          <w:szCs w:val="21"/>
        </w:rPr>
        <w:t>（二）磋商响应文件的组成</w:t>
      </w:r>
    </w:p>
    <w:p>
      <w:pPr>
        <w:snapToGrid w:val="0"/>
        <w:spacing w:line="360" w:lineRule="auto"/>
        <w:ind w:firstLine="422" w:firstLineChars="200"/>
        <w:rPr>
          <w:rFonts w:ascii="宋体" w:hAnsi="宋体"/>
          <w:b/>
          <w:szCs w:val="21"/>
        </w:rPr>
      </w:pPr>
      <w:r>
        <w:rPr>
          <w:rFonts w:hint="eastAsia" w:ascii="宋体" w:hAnsi="宋体"/>
          <w:b/>
          <w:szCs w:val="21"/>
        </w:rPr>
        <w:t>注：投标文件由技术文件、报价文件组成。</w:t>
      </w:r>
    </w:p>
    <w:p>
      <w:pPr>
        <w:pStyle w:val="2"/>
        <w:numPr>
          <w:ilvl w:val="1"/>
          <w:numId w:val="0"/>
        </w:numPr>
        <w:tabs>
          <w:tab w:val="left" w:pos="574"/>
        </w:tabs>
        <w:spacing w:after="0" w:line="360" w:lineRule="auto"/>
        <w:ind w:firstLine="420" w:firstLineChars="200"/>
        <w:rPr>
          <w:rFonts w:ascii="宋体" w:hAnsi="宋体"/>
          <w:szCs w:val="21"/>
        </w:rPr>
      </w:pPr>
      <w:r>
        <w:rPr>
          <w:rFonts w:hint="eastAsia" w:ascii="宋体" w:hAnsi="宋体"/>
          <w:szCs w:val="21"/>
        </w:rPr>
        <w:t>供应商接到磋商文件后，按照以下内容及顺序要求制作磋商响应文件，需要正本与副本。</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40" w:lineRule="exact"/>
        <w:ind w:right="44" w:firstLine="422" w:firstLineChars="200"/>
        <w:jc w:val="left"/>
        <w:rPr>
          <w:rFonts w:ascii="宋体" w:hAnsi="宋体"/>
          <w:kern w:val="0"/>
          <w:szCs w:val="21"/>
        </w:rPr>
      </w:pPr>
      <w:r>
        <w:rPr>
          <w:rFonts w:hint="eastAsia" w:ascii="宋体"/>
          <w:b/>
          <w:kern w:val="0"/>
          <w:szCs w:val="21"/>
        </w:rPr>
        <w:t>1、技术文件</w:t>
      </w:r>
      <w:r>
        <w:rPr>
          <w:rFonts w:hint="eastAsia" w:ascii="宋体" w:hAnsi="宋体"/>
          <w:b/>
          <w:kern w:val="0"/>
          <w:szCs w:val="21"/>
        </w:rPr>
        <w:t>（不得出现报价，否则将作为无效投标处理）</w:t>
      </w:r>
    </w:p>
    <w:p>
      <w:pPr>
        <w:numPr>
          <w:ilvl w:val="0"/>
          <w:numId w:val="5"/>
        </w:numPr>
        <w:tabs>
          <w:tab w:val="left" w:pos="675"/>
          <w:tab w:val="left" w:pos="1898"/>
          <w:tab w:val="clear" w:pos="840"/>
        </w:tabs>
        <w:autoSpaceDE w:val="0"/>
        <w:autoSpaceDN w:val="0"/>
        <w:adjustRightInd w:val="0"/>
        <w:spacing w:line="360" w:lineRule="auto"/>
        <w:ind w:left="675"/>
        <w:rPr>
          <w:rFonts w:ascii="宋体"/>
          <w:kern w:val="0"/>
          <w:szCs w:val="21"/>
        </w:rPr>
      </w:pPr>
      <w:r>
        <w:rPr>
          <w:rFonts w:hint="eastAsia" w:ascii="宋体"/>
          <w:szCs w:val="21"/>
        </w:rPr>
        <w:t>法定代表人授权书</w:t>
      </w:r>
      <w:r>
        <w:rPr>
          <w:rFonts w:hint="eastAsia" w:ascii="宋体"/>
          <w:kern w:val="0"/>
          <w:szCs w:val="21"/>
        </w:rPr>
        <w:t>（附件1）；</w:t>
      </w:r>
    </w:p>
    <w:p>
      <w:pPr>
        <w:numPr>
          <w:ilvl w:val="0"/>
          <w:numId w:val="5"/>
        </w:numPr>
        <w:tabs>
          <w:tab w:val="left" w:pos="675"/>
          <w:tab w:val="left" w:pos="1898"/>
          <w:tab w:val="clear" w:pos="840"/>
        </w:tabs>
        <w:autoSpaceDE w:val="0"/>
        <w:autoSpaceDN w:val="0"/>
        <w:adjustRightInd w:val="0"/>
        <w:spacing w:line="360" w:lineRule="auto"/>
        <w:ind w:left="675"/>
        <w:rPr>
          <w:rFonts w:ascii="宋体"/>
          <w:kern w:val="0"/>
          <w:szCs w:val="21"/>
        </w:rPr>
      </w:pPr>
      <w:r>
        <w:rPr>
          <w:rFonts w:hint="eastAsia" w:ascii="宋体"/>
          <w:kern w:val="0"/>
          <w:szCs w:val="21"/>
        </w:rPr>
        <w:t>投标函（附件2）；</w:t>
      </w:r>
    </w:p>
    <w:p>
      <w:pPr>
        <w:numPr>
          <w:ilvl w:val="0"/>
          <w:numId w:val="5"/>
        </w:numPr>
        <w:tabs>
          <w:tab w:val="left" w:pos="675"/>
          <w:tab w:val="left" w:pos="1898"/>
          <w:tab w:val="clear" w:pos="840"/>
        </w:tabs>
        <w:autoSpaceDE w:val="0"/>
        <w:autoSpaceDN w:val="0"/>
        <w:adjustRightInd w:val="0"/>
        <w:spacing w:line="360" w:lineRule="auto"/>
        <w:ind w:left="675"/>
        <w:rPr>
          <w:rFonts w:ascii="宋体"/>
          <w:kern w:val="0"/>
          <w:szCs w:val="21"/>
        </w:rPr>
      </w:pPr>
      <w:r>
        <w:rPr>
          <w:rFonts w:hint="eastAsia" w:ascii="宋体" w:hAnsi="宋体"/>
          <w:szCs w:val="21"/>
        </w:rPr>
        <w:t>三门县政府采购诚信投标承诺书（附件3）；</w:t>
      </w:r>
    </w:p>
    <w:p>
      <w:pPr>
        <w:numPr>
          <w:ilvl w:val="0"/>
          <w:numId w:val="5"/>
        </w:numPr>
        <w:tabs>
          <w:tab w:val="left" w:pos="675"/>
          <w:tab w:val="left" w:pos="1898"/>
          <w:tab w:val="clear" w:pos="840"/>
        </w:tabs>
        <w:autoSpaceDE w:val="0"/>
        <w:autoSpaceDN w:val="0"/>
        <w:adjustRightInd w:val="0"/>
        <w:spacing w:line="360" w:lineRule="auto"/>
        <w:ind w:left="675"/>
        <w:rPr>
          <w:rFonts w:ascii="宋体" w:hAnsi="宋体"/>
          <w:szCs w:val="21"/>
        </w:rPr>
      </w:pPr>
      <w:r>
        <w:rPr>
          <w:rFonts w:hint="eastAsia" w:ascii="宋体" w:hAnsi="宋体"/>
          <w:szCs w:val="21"/>
        </w:rPr>
        <w:t>谈判人情况一览表（附件4）；</w:t>
      </w:r>
    </w:p>
    <w:p>
      <w:pPr>
        <w:numPr>
          <w:ilvl w:val="0"/>
          <w:numId w:val="5"/>
        </w:numPr>
        <w:tabs>
          <w:tab w:val="left" w:pos="675"/>
          <w:tab w:val="left" w:pos="1898"/>
          <w:tab w:val="clear" w:pos="840"/>
        </w:tabs>
        <w:autoSpaceDE w:val="0"/>
        <w:autoSpaceDN w:val="0"/>
        <w:adjustRightInd w:val="0"/>
        <w:spacing w:line="360" w:lineRule="auto"/>
        <w:ind w:left="675"/>
        <w:rPr>
          <w:rFonts w:ascii="宋体" w:hAnsi="宋体"/>
          <w:szCs w:val="21"/>
        </w:rPr>
      </w:pPr>
      <w:r>
        <w:rPr>
          <w:rFonts w:hint="eastAsia" w:ascii="宋体" w:hAnsi="宋体"/>
          <w:szCs w:val="21"/>
        </w:rPr>
        <w:t>项目组成人员表（附件5）；</w:t>
      </w:r>
    </w:p>
    <w:p>
      <w:pPr>
        <w:numPr>
          <w:ilvl w:val="0"/>
          <w:numId w:val="5"/>
        </w:numPr>
        <w:tabs>
          <w:tab w:val="left" w:pos="675"/>
          <w:tab w:val="left" w:pos="1898"/>
          <w:tab w:val="clear" w:pos="840"/>
        </w:tabs>
        <w:autoSpaceDE w:val="0"/>
        <w:autoSpaceDN w:val="0"/>
        <w:adjustRightInd w:val="0"/>
        <w:spacing w:line="360" w:lineRule="auto"/>
        <w:ind w:left="675"/>
        <w:rPr>
          <w:rFonts w:ascii="宋体" w:hAnsi="宋体"/>
          <w:szCs w:val="21"/>
        </w:rPr>
      </w:pPr>
      <w:r>
        <w:rPr>
          <w:rFonts w:hint="eastAsia" w:ascii="宋体" w:hAnsi="宋体"/>
          <w:szCs w:val="21"/>
        </w:rPr>
        <w:t>技术需求响应表（附件6）；</w:t>
      </w:r>
    </w:p>
    <w:p>
      <w:pPr>
        <w:numPr>
          <w:ilvl w:val="0"/>
          <w:numId w:val="5"/>
        </w:numPr>
        <w:tabs>
          <w:tab w:val="left" w:pos="675"/>
          <w:tab w:val="left" w:pos="1898"/>
          <w:tab w:val="clear" w:pos="840"/>
        </w:tabs>
        <w:autoSpaceDE w:val="0"/>
        <w:autoSpaceDN w:val="0"/>
        <w:adjustRightInd w:val="0"/>
        <w:spacing w:line="360" w:lineRule="auto"/>
        <w:ind w:left="675"/>
        <w:rPr>
          <w:rFonts w:ascii="宋体" w:hAnsi="宋体"/>
          <w:szCs w:val="21"/>
        </w:rPr>
      </w:pPr>
      <w:r>
        <w:rPr>
          <w:rFonts w:hint="eastAsia" w:ascii="宋体" w:hAnsi="宋体"/>
          <w:szCs w:val="21"/>
        </w:rPr>
        <w:t>类似项目业绩及证明材料（附件7）；</w:t>
      </w:r>
    </w:p>
    <w:p>
      <w:pPr>
        <w:numPr>
          <w:ilvl w:val="0"/>
          <w:numId w:val="5"/>
        </w:numPr>
        <w:tabs>
          <w:tab w:val="left" w:pos="675"/>
          <w:tab w:val="left" w:pos="1898"/>
          <w:tab w:val="clear" w:pos="840"/>
        </w:tabs>
        <w:autoSpaceDE w:val="0"/>
        <w:autoSpaceDN w:val="0"/>
        <w:adjustRightInd w:val="0"/>
        <w:spacing w:line="360" w:lineRule="auto"/>
        <w:ind w:left="675"/>
        <w:rPr>
          <w:rFonts w:ascii="宋体" w:hAnsi="宋体"/>
          <w:szCs w:val="21"/>
        </w:rPr>
      </w:pPr>
      <w:r>
        <w:rPr>
          <w:rFonts w:hint="eastAsia" w:ascii="宋体" w:hAnsi="宋体"/>
          <w:szCs w:val="21"/>
        </w:rPr>
        <w:t>本项目的实施计划、项目的技术力量及保证措施等（格式自拟</w:t>
      </w:r>
      <w:r>
        <w:rPr>
          <w:rFonts w:ascii="宋体" w:hAnsi="宋体"/>
          <w:szCs w:val="21"/>
        </w:rPr>
        <w:t>）</w:t>
      </w:r>
      <w:r>
        <w:rPr>
          <w:rFonts w:hint="eastAsia" w:ascii="宋体" w:hAnsi="宋体"/>
          <w:szCs w:val="21"/>
        </w:rPr>
        <w:t>；</w:t>
      </w:r>
    </w:p>
    <w:p>
      <w:pPr>
        <w:numPr>
          <w:ilvl w:val="0"/>
          <w:numId w:val="5"/>
        </w:numPr>
        <w:tabs>
          <w:tab w:val="left" w:pos="675"/>
          <w:tab w:val="left" w:pos="1898"/>
          <w:tab w:val="clear" w:pos="840"/>
        </w:tabs>
        <w:autoSpaceDE w:val="0"/>
        <w:autoSpaceDN w:val="0"/>
        <w:adjustRightInd w:val="0"/>
        <w:spacing w:line="360" w:lineRule="auto"/>
        <w:ind w:left="675"/>
        <w:rPr>
          <w:rFonts w:ascii="宋体" w:hAnsi="宋体"/>
          <w:szCs w:val="21"/>
        </w:rPr>
      </w:pPr>
      <w:r>
        <w:rPr>
          <w:rFonts w:hint="eastAsia" w:ascii="宋体" w:hAnsi="宋体"/>
          <w:szCs w:val="21"/>
        </w:rPr>
        <w:t>磋商</w:t>
      </w:r>
      <w:r>
        <w:rPr>
          <w:rFonts w:ascii="宋体" w:hAnsi="宋体"/>
          <w:szCs w:val="21"/>
        </w:rPr>
        <w:t>供应商需要说明的其他</w:t>
      </w:r>
      <w:r>
        <w:rPr>
          <w:rFonts w:hint="eastAsia" w:ascii="宋体" w:hAnsi="宋体"/>
          <w:szCs w:val="21"/>
        </w:rPr>
        <w:t>内容</w:t>
      </w:r>
      <w:r>
        <w:rPr>
          <w:rFonts w:ascii="宋体" w:hAnsi="宋体"/>
          <w:szCs w:val="21"/>
        </w:rPr>
        <w:t>（格式</w:t>
      </w:r>
      <w:r>
        <w:rPr>
          <w:rFonts w:hint="eastAsia" w:ascii="宋体" w:hAnsi="宋体"/>
          <w:szCs w:val="21"/>
        </w:rPr>
        <w:t>自拟</w:t>
      </w:r>
      <w:r>
        <w:rPr>
          <w:rFonts w:ascii="宋体" w:hAnsi="宋体"/>
          <w:szCs w:val="21"/>
        </w:rPr>
        <w:t>）。</w:t>
      </w:r>
    </w:p>
    <w:p>
      <w:pPr>
        <w:spacing w:line="360" w:lineRule="auto"/>
        <w:ind w:firstLine="422" w:firstLineChars="200"/>
        <w:rPr>
          <w:rFonts w:ascii="宋体" w:hAnsi="宋体"/>
          <w:szCs w:val="21"/>
        </w:rPr>
      </w:pPr>
      <w:r>
        <w:rPr>
          <w:rFonts w:hint="eastAsia" w:ascii="宋体" w:hAnsi="宋体"/>
          <w:b/>
          <w:szCs w:val="21"/>
        </w:rPr>
        <w:t>磋商文件制作说明：与本次磋商无关的内容请不要制作在内，确保磋商文件有针对性、简洁明了，同时节约纸张。统一以A4纸大小装订。</w:t>
      </w:r>
    </w:p>
    <w:p>
      <w:pPr>
        <w:autoSpaceDE w:val="0"/>
        <w:autoSpaceDN w:val="0"/>
        <w:adjustRightInd w:val="0"/>
        <w:spacing w:line="360" w:lineRule="auto"/>
        <w:ind w:left="420"/>
        <w:rPr>
          <w:rFonts w:ascii="宋体"/>
          <w:b/>
          <w:kern w:val="0"/>
          <w:szCs w:val="21"/>
        </w:rPr>
      </w:pPr>
      <w:r>
        <w:rPr>
          <w:rFonts w:hint="eastAsia" w:ascii="宋体" w:hAnsi="宋体"/>
          <w:b/>
        </w:rPr>
        <w:t>2、</w:t>
      </w:r>
      <w:r>
        <w:rPr>
          <w:rFonts w:hint="eastAsia" w:ascii="宋体"/>
          <w:b/>
          <w:kern w:val="0"/>
          <w:szCs w:val="21"/>
        </w:rPr>
        <w:t xml:space="preserve">报价文件 </w:t>
      </w:r>
    </w:p>
    <w:p>
      <w:pPr>
        <w:autoSpaceDE w:val="0"/>
        <w:autoSpaceDN w:val="0"/>
        <w:adjustRightInd w:val="0"/>
        <w:spacing w:line="360" w:lineRule="auto"/>
        <w:ind w:firstLine="420" w:firstLineChars="200"/>
        <w:rPr>
          <w:rFonts w:ascii="宋体"/>
          <w:kern w:val="0"/>
          <w:szCs w:val="21"/>
        </w:rPr>
      </w:pPr>
      <w:r>
        <w:rPr>
          <w:rFonts w:hint="eastAsia" w:ascii="宋体"/>
          <w:kern w:val="0"/>
          <w:szCs w:val="21"/>
        </w:rPr>
        <w:t>（1）首次报价一览表（附件1）；</w:t>
      </w:r>
    </w:p>
    <w:p>
      <w:pPr>
        <w:autoSpaceDE w:val="0"/>
        <w:autoSpaceDN w:val="0"/>
        <w:adjustRightInd w:val="0"/>
        <w:spacing w:line="360" w:lineRule="auto"/>
        <w:ind w:firstLine="420" w:firstLineChars="200"/>
        <w:rPr>
          <w:rFonts w:ascii="宋体"/>
          <w:kern w:val="0"/>
          <w:szCs w:val="21"/>
        </w:rPr>
      </w:pPr>
      <w:r>
        <w:rPr>
          <w:rFonts w:hint="eastAsia" w:ascii="宋体"/>
          <w:kern w:val="0"/>
          <w:szCs w:val="21"/>
        </w:rPr>
        <w:t>（2）</w:t>
      </w:r>
      <w:r>
        <w:rPr>
          <w:rFonts w:ascii="宋体"/>
          <w:kern w:val="0"/>
          <w:szCs w:val="21"/>
        </w:rPr>
        <w:t>小</w:t>
      </w:r>
      <w:r>
        <w:rPr>
          <w:rFonts w:hint="eastAsia" w:ascii="宋体"/>
          <w:kern w:val="0"/>
          <w:szCs w:val="21"/>
        </w:rPr>
        <w:t>微</w:t>
      </w:r>
      <w:r>
        <w:rPr>
          <w:rFonts w:ascii="宋体"/>
          <w:kern w:val="0"/>
          <w:szCs w:val="21"/>
        </w:rPr>
        <w:t>企业声明函（非小</w:t>
      </w:r>
      <w:r>
        <w:rPr>
          <w:rFonts w:hint="eastAsia" w:ascii="宋体"/>
          <w:kern w:val="0"/>
          <w:szCs w:val="21"/>
        </w:rPr>
        <w:t>微</w:t>
      </w:r>
      <w:r>
        <w:rPr>
          <w:rFonts w:ascii="宋体"/>
          <w:kern w:val="0"/>
          <w:szCs w:val="21"/>
        </w:rPr>
        <w:t>企业</w:t>
      </w:r>
      <w:r>
        <w:rPr>
          <w:rFonts w:hint="eastAsia" w:ascii="宋体"/>
          <w:kern w:val="0"/>
          <w:szCs w:val="21"/>
        </w:rPr>
        <w:t>无需</w:t>
      </w:r>
      <w:r>
        <w:rPr>
          <w:rFonts w:ascii="宋体"/>
          <w:kern w:val="0"/>
          <w:szCs w:val="21"/>
        </w:rPr>
        <w:t>提供</w:t>
      </w:r>
      <w:r>
        <w:rPr>
          <w:rFonts w:hint="eastAsia" w:ascii="宋体"/>
          <w:kern w:val="0"/>
          <w:szCs w:val="21"/>
        </w:rPr>
        <w:t>，如有见附件2</w:t>
      </w:r>
      <w:r>
        <w:rPr>
          <w:rFonts w:ascii="宋体"/>
          <w:kern w:val="0"/>
          <w:szCs w:val="21"/>
        </w:rPr>
        <w:t>）</w:t>
      </w:r>
    </w:p>
    <w:p>
      <w:pPr>
        <w:autoSpaceDE w:val="0"/>
        <w:autoSpaceDN w:val="0"/>
        <w:adjustRightInd w:val="0"/>
        <w:spacing w:line="360" w:lineRule="auto"/>
        <w:ind w:firstLine="420" w:firstLineChars="200"/>
        <w:rPr>
          <w:rFonts w:ascii="宋体"/>
          <w:kern w:val="0"/>
          <w:szCs w:val="21"/>
        </w:rPr>
      </w:pPr>
      <w:r>
        <w:rPr>
          <w:rFonts w:hint="eastAsia" w:ascii="宋体"/>
          <w:kern w:val="0"/>
          <w:szCs w:val="21"/>
        </w:rPr>
        <w:t>（3）产品适用政府采购政策情况表（如有见附件3</w:t>
      </w:r>
      <w:r>
        <w:rPr>
          <w:rFonts w:ascii="宋体"/>
          <w:kern w:val="0"/>
          <w:szCs w:val="21"/>
        </w:rPr>
        <w:t>）</w:t>
      </w:r>
    </w:p>
    <w:p>
      <w:pPr>
        <w:spacing w:line="360" w:lineRule="auto"/>
        <w:rPr>
          <w:rFonts w:ascii="宋体" w:hAnsi="宋体"/>
          <w:b/>
          <w:szCs w:val="21"/>
        </w:rPr>
      </w:pPr>
      <w:r>
        <w:rPr>
          <w:rFonts w:hint="eastAsia" w:ascii="宋体" w:hAnsi="宋体"/>
          <w:b/>
          <w:szCs w:val="21"/>
        </w:rPr>
        <w:t>（三）报价要求：</w:t>
      </w:r>
    </w:p>
    <w:p>
      <w:pPr>
        <w:autoSpaceDE w:val="0"/>
        <w:autoSpaceDN w:val="0"/>
        <w:adjustRightInd w:val="0"/>
        <w:snapToGrid w:val="0"/>
        <w:spacing w:line="360" w:lineRule="auto"/>
        <w:ind w:firstLine="420" w:firstLineChars="200"/>
        <w:textAlignment w:val="bottom"/>
        <w:rPr>
          <w:rFonts w:ascii="宋体" w:hAnsi="宋体"/>
        </w:rPr>
      </w:pPr>
      <w:r>
        <w:rPr>
          <w:rFonts w:hint="eastAsia" w:ascii="宋体" w:hAnsi="宋体"/>
        </w:rPr>
        <w:t>1、报价方式：本项目采用总价承包的方式报价，供应商根据磋商文件的要求，达到服务要求及质量标准、</w:t>
      </w:r>
      <w:r>
        <w:rPr>
          <w:rFonts w:hint="eastAsia" w:ascii="宋体" w:hAnsi="宋体"/>
          <w:b/>
        </w:rPr>
        <w:t>税金、</w:t>
      </w:r>
      <w:r>
        <w:rPr>
          <w:rFonts w:hint="eastAsia" w:ascii="宋体" w:hAnsi="宋体"/>
        </w:rPr>
        <w:t>服务所需的全部费用包含在总价之中。</w:t>
      </w:r>
    </w:p>
    <w:p>
      <w:pPr>
        <w:autoSpaceDE w:val="0"/>
        <w:autoSpaceDN w:val="0"/>
        <w:adjustRightInd w:val="0"/>
        <w:snapToGrid w:val="0"/>
        <w:spacing w:line="360" w:lineRule="auto"/>
        <w:ind w:firstLine="420" w:firstLineChars="200"/>
        <w:textAlignment w:val="bottom"/>
        <w:rPr>
          <w:rFonts w:ascii="宋体" w:hAnsi="宋体"/>
        </w:rPr>
      </w:pPr>
      <w:r>
        <w:rPr>
          <w:rFonts w:hint="eastAsia" w:ascii="宋体" w:hAnsi="宋体"/>
        </w:rPr>
        <w:t>2、报价内容：</w:t>
      </w:r>
      <w:r>
        <w:rPr>
          <w:rFonts w:hint="eastAsia" w:ascii="宋体" w:hAnsi="宋体"/>
          <w:szCs w:val="21"/>
        </w:rPr>
        <w:t>投标报价应是</w:t>
      </w:r>
      <w:r>
        <w:rPr>
          <w:rFonts w:hint="eastAsia" w:ascii="宋体" w:hAnsi="宋体" w:cs="宋体"/>
          <w:szCs w:val="21"/>
        </w:rPr>
        <w:t>竞争性谈判文件</w:t>
      </w:r>
      <w:r>
        <w:rPr>
          <w:rFonts w:hint="eastAsia" w:ascii="宋体" w:hAnsi="宋体"/>
          <w:szCs w:val="21"/>
        </w:rPr>
        <w:t>所确定的招标范围内全部工作内容的价格表现。其应包括涉及本项目实施所发生的全部费用、交通、各种设备、劳务、管理、材料、安全、验收、会务、专家评审、后续服务、保险、利润、税金、政策性文件规定及合同包含的所有风险、责任等所有费用。各谈判供应商应根据招标人提供的技术资料、清单</w:t>
      </w:r>
      <w:r>
        <w:rPr>
          <w:rFonts w:ascii="宋体" w:hAnsi="宋体"/>
          <w:szCs w:val="21"/>
        </w:rPr>
        <w:t>，</w:t>
      </w:r>
      <w:r>
        <w:rPr>
          <w:rFonts w:hint="eastAsia" w:ascii="宋体" w:hAnsi="宋体"/>
          <w:szCs w:val="21"/>
        </w:rPr>
        <w:t>以及本项目实际情况和自身的综合实力，竞报投标报价。总报价以人民币元计，保留整数。</w:t>
      </w:r>
    </w:p>
    <w:p>
      <w:pPr>
        <w:autoSpaceDE w:val="0"/>
        <w:autoSpaceDN w:val="0"/>
        <w:adjustRightInd w:val="0"/>
        <w:snapToGrid w:val="0"/>
        <w:spacing w:line="360" w:lineRule="auto"/>
        <w:ind w:firstLine="422" w:firstLineChars="200"/>
        <w:textAlignment w:val="bottom"/>
        <w:rPr>
          <w:rFonts w:ascii="宋体" w:hAnsi="宋体"/>
          <w:b/>
          <w:u w:val="thick"/>
        </w:rPr>
      </w:pPr>
      <w:r>
        <w:rPr>
          <w:rFonts w:hint="eastAsia" w:ascii="宋体" w:hAnsi="宋体"/>
          <w:b/>
          <w:u w:val="thick"/>
        </w:rPr>
        <w:t>投标人的报价文件应按采购文件要求的格式、顺序编制。</w:t>
      </w:r>
    </w:p>
    <w:p>
      <w:pPr>
        <w:pStyle w:val="2"/>
        <w:tabs>
          <w:tab w:val="left" w:pos="574"/>
        </w:tabs>
        <w:spacing w:after="0" w:line="360" w:lineRule="auto"/>
        <w:ind w:firstLine="420" w:firstLineChars="200"/>
        <w:rPr>
          <w:rFonts w:ascii="宋体" w:hAnsi="宋体"/>
          <w:szCs w:val="21"/>
        </w:rPr>
      </w:pPr>
      <w:r>
        <w:rPr>
          <w:rFonts w:hint="eastAsia" w:ascii="宋体" w:hAnsi="宋体"/>
          <w:szCs w:val="21"/>
        </w:rPr>
        <w:t>3、</w:t>
      </w:r>
      <w:r>
        <w:rPr>
          <w:rFonts w:hint="eastAsia" w:ascii="宋体" w:hAnsi="宋体"/>
          <w:b/>
          <w:szCs w:val="21"/>
          <w:u w:val="single"/>
        </w:rPr>
        <w:t>附件中除空白部分由磋商供应商自报外，其余内容作为投标报价的共同基础，如磋商供应商擅自更改将引起废标。</w:t>
      </w:r>
    </w:p>
    <w:p>
      <w:pPr>
        <w:pStyle w:val="2"/>
        <w:tabs>
          <w:tab w:val="left" w:pos="574"/>
        </w:tabs>
        <w:spacing w:after="0" w:line="360" w:lineRule="auto"/>
        <w:ind w:firstLine="422" w:firstLineChars="200"/>
        <w:rPr>
          <w:rFonts w:ascii="宋体" w:hAnsi="宋体"/>
          <w:b/>
          <w:kern w:val="0"/>
          <w:szCs w:val="21"/>
        </w:rPr>
      </w:pPr>
      <w:r>
        <w:rPr>
          <w:rFonts w:hint="eastAsia" w:ascii="宋体" w:hAnsi="宋体"/>
          <w:b/>
          <w:kern w:val="0"/>
          <w:szCs w:val="21"/>
        </w:rPr>
        <w:t>4、磋商供应商的最终报价应低于首次报价和投标上限价。</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kern w:val="0"/>
          <w:szCs w:val="21"/>
        </w:rPr>
      </w:pPr>
      <w:bookmarkStart w:id="34" w:name="_Toc352762607"/>
      <w:bookmarkStart w:id="35" w:name="_Toc155342549"/>
      <w:bookmarkStart w:id="36" w:name="_Toc169487796"/>
      <w:bookmarkStart w:id="37" w:name="_Toc500208479"/>
      <w:r>
        <w:rPr>
          <w:rFonts w:hint="eastAsia" w:ascii="宋体"/>
          <w:b/>
          <w:kern w:val="0"/>
          <w:szCs w:val="21"/>
        </w:rPr>
        <w:t>（四）磋商响应文件的份数和签署</w:t>
      </w:r>
      <w:bookmarkEnd w:id="34"/>
      <w:bookmarkEnd w:id="35"/>
      <w:bookmarkEnd w:id="36"/>
      <w:bookmarkEnd w:id="37"/>
    </w:p>
    <w:p>
      <w:pPr>
        <w:pStyle w:val="2"/>
        <w:tabs>
          <w:tab w:val="left" w:pos="574"/>
        </w:tabs>
        <w:spacing w:after="0" w:line="360" w:lineRule="auto"/>
        <w:ind w:firstLine="420" w:firstLineChars="200"/>
        <w:rPr>
          <w:rFonts w:ascii="宋体" w:hAnsi="宋体"/>
          <w:szCs w:val="21"/>
        </w:rPr>
      </w:pPr>
      <w:r>
        <w:rPr>
          <w:rFonts w:hint="eastAsia" w:ascii="宋体" w:hAnsi="宋体"/>
          <w:szCs w:val="21"/>
        </w:rPr>
        <w:t>1）供应商按本须知前附表第13项规定的份数递交谈判响应文件。</w:t>
      </w:r>
    </w:p>
    <w:p>
      <w:pPr>
        <w:pStyle w:val="2"/>
        <w:tabs>
          <w:tab w:val="left" w:pos="574"/>
        </w:tabs>
        <w:spacing w:after="0" w:line="360" w:lineRule="auto"/>
        <w:ind w:firstLine="420" w:firstLineChars="200"/>
        <w:rPr>
          <w:rFonts w:ascii="宋体" w:hAnsi="宋体"/>
          <w:szCs w:val="21"/>
        </w:rPr>
      </w:pPr>
      <w:r>
        <w:rPr>
          <w:rFonts w:hint="eastAsia" w:ascii="宋体" w:hAnsi="宋体"/>
          <w:szCs w:val="21"/>
        </w:rPr>
        <w:t>2）磋商文件附件中要求签署或盖章的，供应商均按要求签署或盖章。</w:t>
      </w:r>
    </w:p>
    <w:p>
      <w:pPr>
        <w:pStyle w:val="2"/>
        <w:tabs>
          <w:tab w:val="left" w:pos="574"/>
        </w:tabs>
        <w:spacing w:after="0" w:line="360" w:lineRule="auto"/>
        <w:ind w:firstLine="420" w:firstLineChars="200"/>
        <w:rPr>
          <w:rFonts w:ascii="宋体" w:hAnsi="宋体"/>
          <w:szCs w:val="21"/>
        </w:rPr>
      </w:pPr>
      <w:r>
        <w:rPr>
          <w:rFonts w:hint="eastAsia" w:ascii="宋体" w:hAnsi="宋体"/>
          <w:szCs w:val="21"/>
        </w:rPr>
        <w:t>3）磋商响应文件不得涂改和增删，如有错漏必须修改，修改处须加盖供应商公章和供应商全权代表签字。</w:t>
      </w:r>
    </w:p>
    <w:p>
      <w:pPr>
        <w:pStyle w:val="2"/>
        <w:tabs>
          <w:tab w:val="left" w:pos="574"/>
        </w:tabs>
        <w:spacing w:after="0" w:line="360" w:lineRule="auto"/>
        <w:ind w:firstLine="422" w:firstLineChars="200"/>
        <w:rPr>
          <w:rFonts w:ascii="宋体" w:hAnsi="宋体"/>
          <w:b/>
          <w:kern w:val="0"/>
          <w:szCs w:val="21"/>
        </w:rPr>
      </w:pPr>
      <w:r>
        <w:rPr>
          <w:rFonts w:hint="eastAsia" w:ascii="宋体" w:hAnsi="宋体"/>
          <w:b/>
          <w:kern w:val="0"/>
          <w:szCs w:val="21"/>
        </w:rPr>
        <w:t>4）证书材料的复印件要求加盖供应商公章。</w:t>
      </w:r>
    </w:p>
    <w:p>
      <w:pPr>
        <w:pStyle w:val="2"/>
        <w:tabs>
          <w:tab w:val="left" w:pos="574"/>
        </w:tabs>
        <w:spacing w:after="0" w:line="360" w:lineRule="auto"/>
        <w:ind w:firstLine="420" w:firstLineChars="200"/>
        <w:rPr>
          <w:szCs w:val="21"/>
        </w:rPr>
      </w:pPr>
      <w:r>
        <w:rPr>
          <w:rFonts w:hint="eastAsia" w:ascii="宋体" w:hAnsi="宋体"/>
          <w:szCs w:val="21"/>
        </w:rPr>
        <w:t>5）当正本</w:t>
      </w:r>
      <w:r>
        <w:rPr>
          <w:rFonts w:hint="eastAsia"/>
          <w:szCs w:val="21"/>
        </w:rPr>
        <w:t>与副本不一致时，以正本为准。如未注明正副本的，由磋商小组或工作人员随机抽签确定一本作为正本。</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宋体"/>
          <w:b/>
          <w:kern w:val="0"/>
          <w:szCs w:val="21"/>
        </w:rPr>
      </w:pPr>
      <w:bookmarkStart w:id="38" w:name="_Toc169487798"/>
      <w:bookmarkStart w:id="39" w:name="_Toc500208481"/>
      <w:bookmarkStart w:id="40" w:name="_Toc155342551"/>
      <w:bookmarkStart w:id="41" w:name="_Toc352762608"/>
      <w:r>
        <w:rPr>
          <w:rFonts w:hint="eastAsia" w:ascii="宋体"/>
          <w:b/>
          <w:kern w:val="0"/>
          <w:szCs w:val="21"/>
        </w:rPr>
        <w:t>（五）磋商响应文件的装订、密封与标志</w:t>
      </w:r>
      <w:bookmarkEnd w:id="38"/>
      <w:bookmarkEnd w:id="39"/>
      <w:bookmarkEnd w:id="40"/>
      <w:bookmarkEnd w:id="41"/>
    </w:p>
    <w:p>
      <w:pPr>
        <w:widowControl/>
        <w:spacing w:line="360" w:lineRule="auto"/>
        <w:ind w:firstLine="457" w:firstLineChars="218"/>
        <w:jc w:val="left"/>
        <w:rPr>
          <w:rFonts w:ascii="宋体" w:hAnsi="宋体"/>
          <w:szCs w:val="21"/>
        </w:rPr>
      </w:pPr>
      <w:r>
        <w:rPr>
          <w:rFonts w:hint="eastAsia" w:ascii="宋体" w:hAnsi="宋体"/>
          <w:szCs w:val="21"/>
        </w:rPr>
        <w:t>（1）技术文件、报价文件必须分别编制并分开单独装订成册：技术文件共 5 份（一正本四副本，封装成一袋），报价文件共 5 份（一正本四副本，封装成一袋）。投标文件的正本封面必须注明“正本”字样，副本可以采用正本的复印件。</w:t>
      </w:r>
    </w:p>
    <w:p>
      <w:pPr>
        <w:widowControl/>
        <w:spacing w:line="360" w:lineRule="auto"/>
        <w:ind w:firstLine="457" w:firstLineChars="218"/>
        <w:jc w:val="left"/>
        <w:rPr>
          <w:rFonts w:ascii="宋体" w:hAnsi="宋体"/>
          <w:szCs w:val="21"/>
        </w:rPr>
      </w:pPr>
      <w:r>
        <w:rPr>
          <w:rFonts w:hint="eastAsia" w:ascii="宋体" w:hAnsi="宋体"/>
          <w:szCs w:val="21"/>
        </w:rPr>
        <w:t>（2）投标文件封面，可参照附件内容。注明</w:t>
      </w:r>
      <w:r>
        <w:rPr>
          <w:rFonts w:ascii="宋体" w:hAnsi="宋体"/>
          <w:szCs w:val="21"/>
        </w:rPr>
        <w:t xml:space="preserve"> “</w:t>
      </w:r>
      <w:r>
        <w:rPr>
          <w:rFonts w:hint="eastAsia" w:ascii="宋体" w:hAnsi="宋体"/>
          <w:szCs w:val="21"/>
        </w:rPr>
        <w:t>项目编号</w:t>
      </w:r>
      <w:r>
        <w:rPr>
          <w:rFonts w:ascii="宋体" w:hAnsi="宋体"/>
          <w:szCs w:val="21"/>
        </w:rPr>
        <w:t>”</w:t>
      </w:r>
      <w:r>
        <w:rPr>
          <w:rFonts w:hint="eastAsia" w:ascii="宋体" w:hAnsi="宋体"/>
          <w:szCs w:val="21"/>
        </w:rPr>
        <w:t>、</w:t>
      </w:r>
      <w:r>
        <w:rPr>
          <w:rFonts w:ascii="宋体" w:hAnsi="宋体"/>
          <w:szCs w:val="21"/>
        </w:rPr>
        <w:t>“</w:t>
      </w:r>
      <w:r>
        <w:rPr>
          <w:rFonts w:hint="eastAsia" w:ascii="宋体" w:hAnsi="宋体"/>
          <w:szCs w:val="21"/>
        </w:rPr>
        <w:t>项目名称”、</w:t>
      </w:r>
      <w:r>
        <w:rPr>
          <w:rFonts w:ascii="宋体" w:hAnsi="宋体"/>
          <w:szCs w:val="21"/>
        </w:rPr>
        <w:t>“</w:t>
      </w:r>
      <w:r>
        <w:rPr>
          <w:rFonts w:hint="eastAsia" w:ascii="宋体" w:hAnsi="宋体"/>
          <w:szCs w:val="21"/>
        </w:rPr>
        <w:t>正本</w:t>
      </w:r>
      <w:r>
        <w:rPr>
          <w:rFonts w:ascii="宋体" w:hAnsi="宋体"/>
          <w:szCs w:val="21"/>
        </w:rPr>
        <w:t>”</w:t>
      </w:r>
      <w:r>
        <w:rPr>
          <w:rFonts w:hint="eastAsia" w:ascii="宋体" w:hAnsi="宋体"/>
          <w:szCs w:val="21"/>
        </w:rPr>
        <w:t>或</w:t>
      </w:r>
      <w:r>
        <w:rPr>
          <w:rFonts w:ascii="宋体" w:hAnsi="宋体"/>
          <w:szCs w:val="21"/>
        </w:rPr>
        <w:t>“</w:t>
      </w:r>
      <w:r>
        <w:rPr>
          <w:rFonts w:hint="eastAsia" w:ascii="宋体" w:hAnsi="宋体"/>
          <w:szCs w:val="21"/>
        </w:rPr>
        <w:t>副本</w:t>
      </w:r>
      <w:r>
        <w:rPr>
          <w:rFonts w:ascii="宋体" w:hAnsi="宋体"/>
          <w:szCs w:val="21"/>
        </w:rPr>
        <w:t>”</w:t>
      </w:r>
      <w:r>
        <w:rPr>
          <w:rFonts w:hint="eastAsia" w:ascii="宋体" w:hAnsi="宋体"/>
          <w:szCs w:val="21"/>
        </w:rPr>
        <w:t>、“技术文件”或“报价文件”、“标项号（如有）”、“投标人</w:t>
      </w:r>
      <w:r>
        <w:rPr>
          <w:rFonts w:ascii="宋体" w:hAnsi="宋体"/>
          <w:szCs w:val="21"/>
        </w:rPr>
        <w:t>”</w:t>
      </w:r>
      <w:r>
        <w:rPr>
          <w:rFonts w:hint="eastAsia" w:ascii="宋体" w:hAnsi="宋体"/>
          <w:szCs w:val="21"/>
        </w:rPr>
        <w:t>、“法定代表人或全权代表”等字样。</w:t>
      </w:r>
    </w:p>
    <w:p>
      <w:pPr>
        <w:widowControl/>
        <w:spacing w:line="360" w:lineRule="auto"/>
        <w:ind w:firstLine="457" w:firstLineChars="218"/>
        <w:jc w:val="left"/>
        <w:rPr>
          <w:rFonts w:ascii="宋体" w:hAnsi="宋体"/>
          <w:szCs w:val="21"/>
        </w:rPr>
      </w:pPr>
      <w:r>
        <w:rPr>
          <w:rFonts w:hint="eastAsia" w:ascii="宋体" w:hAnsi="宋体"/>
          <w:szCs w:val="21"/>
        </w:rPr>
        <w:t>（3）正本和副本内容有出入，以正本为准。</w:t>
      </w:r>
    </w:p>
    <w:p>
      <w:pPr>
        <w:widowControl/>
        <w:spacing w:line="360" w:lineRule="auto"/>
        <w:ind w:firstLine="457" w:firstLineChars="218"/>
        <w:jc w:val="left"/>
        <w:rPr>
          <w:rFonts w:ascii="宋体" w:hAnsi="宋体"/>
          <w:szCs w:val="21"/>
        </w:rPr>
      </w:pPr>
      <w:r>
        <w:rPr>
          <w:rFonts w:hint="eastAsia" w:ascii="宋体" w:hAnsi="宋体"/>
          <w:szCs w:val="21"/>
        </w:rPr>
        <w:t>▲2.投标文件的签署、盖章</w:t>
      </w:r>
    </w:p>
    <w:p>
      <w:pPr>
        <w:widowControl/>
        <w:spacing w:line="360" w:lineRule="auto"/>
        <w:ind w:firstLine="457" w:firstLineChars="218"/>
        <w:jc w:val="left"/>
        <w:rPr>
          <w:rFonts w:ascii="宋体" w:hAnsi="宋体"/>
          <w:szCs w:val="21"/>
        </w:rPr>
      </w:pPr>
      <w:r>
        <w:rPr>
          <w:rFonts w:hint="eastAsia" w:ascii="宋体" w:hAnsi="宋体"/>
          <w:szCs w:val="21"/>
        </w:rPr>
        <w:t>投标文件封面和内部有要求盖章或签字的地方必须加盖投标人的公章以及法定代表人或全权代表（盖章或签字）。</w:t>
      </w:r>
    </w:p>
    <w:p>
      <w:pPr>
        <w:widowControl/>
        <w:spacing w:line="360" w:lineRule="auto"/>
        <w:ind w:firstLine="457" w:firstLineChars="218"/>
        <w:jc w:val="left"/>
        <w:rPr>
          <w:rFonts w:ascii="宋体" w:hAnsi="宋体"/>
          <w:szCs w:val="21"/>
        </w:rPr>
      </w:pPr>
      <w:r>
        <w:rPr>
          <w:rFonts w:hint="eastAsia" w:ascii="宋体" w:hAnsi="宋体"/>
          <w:szCs w:val="21"/>
        </w:rPr>
        <w:t>3.投标文件的外包装、密封</w:t>
      </w:r>
    </w:p>
    <w:p>
      <w:pPr>
        <w:widowControl/>
        <w:spacing w:line="360" w:lineRule="auto"/>
        <w:ind w:firstLine="457" w:firstLineChars="218"/>
        <w:jc w:val="left"/>
        <w:rPr>
          <w:rFonts w:ascii="宋体" w:hAnsi="宋体"/>
          <w:szCs w:val="21"/>
        </w:rPr>
      </w:pPr>
      <w:r>
        <w:rPr>
          <w:rFonts w:hint="eastAsia" w:ascii="宋体" w:hAnsi="宋体"/>
          <w:szCs w:val="21"/>
        </w:rPr>
        <w:t>▲①项目如分标项，各标项投标文件必须分开编制，并按上述份数要求单独密封包装。</w:t>
      </w:r>
    </w:p>
    <w:p>
      <w:pPr>
        <w:widowControl/>
        <w:spacing w:line="360" w:lineRule="auto"/>
        <w:ind w:firstLine="457" w:firstLineChars="218"/>
        <w:jc w:val="left"/>
        <w:rPr>
          <w:rFonts w:ascii="宋体" w:hAnsi="宋体"/>
          <w:szCs w:val="21"/>
        </w:rPr>
      </w:pPr>
      <w:r>
        <w:rPr>
          <w:rFonts w:hint="eastAsia" w:ascii="宋体" w:hAnsi="宋体"/>
          <w:szCs w:val="21"/>
        </w:rPr>
        <w:t>▲②“技术文件”、“报价文件”的外包装密封处须加盖投标人公章</w:t>
      </w:r>
      <w:r>
        <w:rPr>
          <w:rFonts w:hint="eastAsia"/>
          <w:b/>
          <w:bCs/>
          <w:szCs w:val="21"/>
        </w:rPr>
        <w:t>或投标全权代表签字</w:t>
      </w:r>
      <w:r>
        <w:rPr>
          <w:rFonts w:hint="eastAsia" w:ascii="宋体" w:hAnsi="宋体"/>
          <w:szCs w:val="21"/>
        </w:rPr>
        <w:t>。</w:t>
      </w:r>
    </w:p>
    <w:p>
      <w:pPr>
        <w:widowControl/>
        <w:spacing w:line="360" w:lineRule="auto"/>
        <w:ind w:firstLine="457" w:firstLineChars="218"/>
        <w:jc w:val="left"/>
        <w:rPr>
          <w:rFonts w:ascii="宋体" w:hAnsi="宋体"/>
          <w:szCs w:val="21"/>
        </w:rPr>
      </w:pPr>
      <w:r>
        <w:rPr>
          <w:rFonts w:hint="eastAsia" w:ascii="宋体" w:hAnsi="宋体"/>
          <w:szCs w:val="21"/>
        </w:rPr>
        <w:t>③外包装封面可参照附件内容注明“项目编号”、“ 项目名称”、“正本”或“副本”或“正副本”、“技术文件”或“报价文件”、 “标项号（如有）”、“ 投标人名称”、“开标时启封”等字样。</w:t>
      </w:r>
    </w:p>
    <w:p>
      <w:pPr>
        <w:widowControl/>
        <w:spacing w:line="360" w:lineRule="auto"/>
        <w:ind w:firstLine="457" w:firstLineChars="218"/>
        <w:jc w:val="left"/>
        <w:rPr>
          <w:rFonts w:ascii="宋体" w:hAnsi="宋体"/>
          <w:szCs w:val="21"/>
        </w:rPr>
      </w:pPr>
      <w:r>
        <w:rPr>
          <w:rFonts w:hint="eastAsia" w:ascii="宋体" w:hAnsi="宋体"/>
          <w:szCs w:val="21"/>
        </w:rPr>
        <w:t>④未按规定密封或标记的投标文件将被拒绝，由此造成的风险由投标人自行承担。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kern w:val="0"/>
          <w:szCs w:val="21"/>
        </w:rPr>
      </w:pPr>
      <w:r>
        <w:rPr>
          <w:rFonts w:hint="eastAsia" w:ascii="宋体"/>
          <w:b/>
          <w:kern w:val="0"/>
          <w:szCs w:val="21"/>
        </w:rPr>
        <w:t>（六）磋商</w:t>
      </w:r>
      <w:r>
        <w:rPr>
          <w:rFonts w:hint="eastAsia" w:ascii="宋体" w:hAnsi="宋体"/>
          <w:b/>
          <w:szCs w:val="21"/>
        </w:rPr>
        <w:t>响应文件的递交</w:t>
      </w:r>
    </w:p>
    <w:p>
      <w:pPr>
        <w:widowControl/>
        <w:spacing w:line="360" w:lineRule="auto"/>
        <w:ind w:firstLine="457" w:firstLineChars="218"/>
        <w:jc w:val="left"/>
        <w:rPr>
          <w:rFonts w:ascii="宋体" w:hAnsi="宋体"/>
          <w:szCs w:val="21"/>
        </w:rPr>
      </w:pPr>
      <w:r>
        <w:rPr>
          <w:rFonts w:hint="eastAsia" w:ascii="宋体" w:hAnsi="宋体"/>
          <w:szCs w:val="21"/>
        </w:rPr>
        <w:t>供应商应按本须知前附表第14项规定的截止时间和地点提交磋商响应文件，同时需满足以下要求，否则该响应性文件予以拒收：</w:t>
      </w:r>
    </w:p>
    <w:p>
      <w:pPr>
        <w:widowControl/>
        <w:spacing w:line="360" w:lineRule="auto"/>
        <w:ind w:firstLine="457" w:firstLineChars="218"/>
        <w:jc w:val="left"/>
        <w:rPr>
          <w:rFonts w:ascii="宋体" w:hAnsi="宋体"/>
          <w:szCs w:val="21"/>
        </w:rPr>
      </w:pPr>
      <w:r>
        <w:rPr>
          <w:rFonts w:hint="eastAsia" w:ascii="宋体" w:hAnsi="宋体"/>
          <w:szCs w:val="21"/>
        </w:rPr>
        <w:t>（1）供应商应按本须知前附表规定的地点，于截止时间前提交谈判响应文件；</w:t>
      </w:r>
    </w:p>
    <w:p>
      <w:pPr>
        <w:widowControl/>
        <w:spacing w:line="360" w:lineRule="auto"/>
        <w:ind w:firstLine="460" w:firstLineChars="218"/>
        <w:jc w:val="left"/>
        <w:rPr>
          <w:rFonts w:ascii="宋体" w:hAnsi="宋体"/>
          <w:b/>
        </w:rPr>
      </w:pPr>
      <w:r>
        <w:rPr>
          <w:rFonts w:hint="eastAsia" w:ascii="宋体" w:hAnsi="宋体"/>
          <w:b/>
        </w:rPr>
        <w:t>（2）供应商提交磋商担保；</w:t>
      </w:r>
    </w:p>
    <w:p>
      <w:pPr>
        <w:widowControl/>
        <w:spacing w:line="360" w:lineRule="auto"/>
        <w:ind w:firstLine="460" w:firstLineChars="218"/>
        <w:jc w:val="left"/>
        <w:rPr>
          <w:rFonts w:ascii="宋体" w:hAnsi="宋体"/>
          <w:b/>
        </w:rPr>
      </w:pPr>
      <w:r>
        <w:rPr>
          <w:rFonts w:hint="eastAsia" w:ascii="宋体" w:hAnsi="宋体"/>
          <w:b/>
        </w:rPr>
        <w:t>（3）供应商法定代表人或全权代表（必须出具本项目授权委托书原件，参考样张附后）必须参加开标会议，经采购方确认身份后（采购方对其身份不明的，须出具身份证或驾驶证原件）再签名报到，以证明其出席开标会议。</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kern w:val="0"/>
          <w:szCs w:val="21"/>
        </w:rPr>
      </w:pPr>
      <w:r>
        <w:rPr>
          <w:rFonts w:hint="eastAsia" w:ascii="宋体"/>
          <w:b/>
          <w:kern w:val="0"/>
          <w:szCs w:val="21"/>
        </w:rPr>
        <w:t>（七）磋商截止时间</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kern w:val="0"/>
          <w:szCs w:val="21"/>
        </w:rPr>
      </w:pPr>
      <w:r>
        <w:rPr>
          <w:rFonts w:ascii="宋体"/>
          <w:kern w:val="0"/>
          <w:szCs w:val="21"/>
        </w:rPr>
        <w:t>1</w:t>
      </w:r>
      <w:r>
        <w:rPr>
          <w:rFonts w:hint="eastAsia" w:ascii="宋体"/>
          <w:kern w:val="0"/>
          <w:szCs w:val="21"/>
        </w:rPr>
        <w:t>、磋商响应文件必须在规定的磋商截止时间前派人送达指定的磋商地点。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0"/>
        <w:jc w:val="left"/>
        <w:rPr>
          <w:rFonts w:ascii="宋体"/>
          <w:kern w:val="0"/>
          <w:szCs w:val="21"/>
        </w:rPr>
      </w:pPr>
      <w:r>
        <w:rPr>
          <w:rFonts w:ascii="宋体"/>
          <w:kern w:val="0"/>
          <w:szCs w:val="21"/>
        </w:rPr>
        <w:t>2</w:t>
      </w:r>
      <w:r>
        <w:rPr>
          <w:rFonts w:hint="eastAsia" w:ascii="宋体"/>
          <w:kern w:val="0"/>
          <w:szCs w:val="21"/>
        </w:rPr>
        <w:t>、如有特殊情况，采购方可推迟或取消采购。采购方如因故推迟磋商截止时间或取消采购，应以书面形式通知所有供应商。在这种情况下，采购方和供应商的权利和义务将受到新的规定的约束。</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kern w:val="0"/>
          <w:szCs w:val="21"/>
        </w:rPr>
      </w:pPr>
      <w:r>
        <w:rPr>
          <w:rFonts w:hint="eastAsia" w:ascii="宋体"/>
          <w:b/>
          <w:kern w:val="0"/>
          <w:szCs w:val="21"/>
        </w:rPr>
        <w:t>（八）磋商响应文件的修改和撤回</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kern w:val="0"/>
          <w:szCs w:val="21"/>
        </w:rPr>
      </w:pPr>
      <w:r>
        <w:rPr>
          <w:rFonts w:ascii="宋体"/>
          <w:kern w:val="0"/>
          <w:szCs w:val="21"/>
        </w:rPr>
        <w:t>1</w:t>
      </w:r>
      <w:r>
        <w:rPr>
          <w:rFonts w:hint="eastAsia" w:ascii="宋体"/>
          <w:kern w:val="0"/>
          <w:szCs w:val="21"/>
        </w:rPr>
        <w:t>、供应商如必须修改或撤回磋商响应文件，必须在磋商截止时间以前将书面的修改文件或撤消通知邮寄到达或送达采购方。</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kern w:val="0"/>
          <w:szCs w:val="21"/>
        </w:rPr>
      </w:pPr>
      <w:r>
        <w:rPr>
          <w:rFonts w:ascii="宋体"/>
          <w:kern w:val="0"/>
          <w:szCs w:val="21"/>
        </w:rPr>
        <w:t>2</w:t>
      </w:r>
      <w:r>
        <w:rPr>
          <w:rFonts w:hint="eastAsia" w:ascii="宋体"/>
          <w:kern w:val="0"/>
          <w:szCs w:val="21"/>
        </w:rPr>
        <w:t>、修改文件必须密封，在密封袋上写明磋商响应文件编号、采购项目名称、谈判供应商名称、并注明“磋商修改响应文件”、“磋商时启封”字样。</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outlineLvl w:val="1"/>
        <w:rPr>
          <w:rFonts w:ascii="宋体"/>
          <w:b/>
          <w:kern w:val="0"/>
          <w:sz w:val="24"/>
        </w:rPr>
      </w:pPr>
      <w:bookmarkStart w:id="42" w:name="_Toc2077"/>
      <w:r>
        <w:rPr>
          <w:rFonts w:hint="eastAsia" w:ascii="宋体"/>
          <w:b/>
          <w:kern w:val="0"/>
          <w:sz w:val="24"/>
        </w:rPr>
        <w:t>四、磋商保证金：</w:t>
      </w:r>
      <w:bookmarkEnd w:id="42"/>
    </w:p>
    <w:p>
      <w:pPr>
        <w:spacing w:line="360" w:lineRule="auto"/>
        <w:ind w:firstLine="420" w:firstLineChars="200"/>
        <w:rPr>
          <w:rStyle w:val="23"/>
          <w:rFonts w:ascii="宋体" w:hAnsi="宋体"/>
          <w:b w:val="0"/>
          <w:sz w:val="21"/>
          <w:szCs w:val="21"/>
        </w:rPr>
      </w:pPr>
      <w:r>
        <w:rPr>
          <w:rFonts w:hint="eastAsia" w:ascii="宋体" w:hAnsi="宋体" w:cs="宋体"/>
          <w:szCs w:val="21"/>
          <w:lang w:val="zh-CN"/>
        </w:rPr>
        <w:t>1</w:t>
      </w:r>
      <w:r>
        <w:rPr>
          <w:rFonts w:hint="eastAsia" w:ascii="宋体" w:hAnsi="宋体" w:cs="宋体"/>
          <w:szCs w:val="21"/>
        </w:rPr>
        <w:t xml:space="preserve">. </w:t>
      </w:r>
      <w:r>
        <w:rPr>
          <w:rStyle w:val="23"/>
          <w:rFonts w:hint="eastAsia" w:ascii="宋体" w:hAnsi="宋体"/>
          <w:b w:val="0"/>
          <w:sz w:val="21"/>
          <w:szCs w:val="21"/>
        </w:rPr>
        <w:t>中标供应商的投标保证金在合同签订后五个工作日内凭合同无息退还。</w:t>
      </w:r>
    </w:p>
    <w:p>
      <w:pPr>
        <w:spacing w:line="360" w:lineRule="auto"/>
        <w:ind w:firstLine="420" w:firstLineChars="200"/>
        <w:rPr>
          <w:rFonts w:ascii="宋体" w:hAnsi="宋体" w:cs="宋体"/>
          <w:kern w:val="0"/>
          <w:szCs w:val="21"/>
        </w:rPr>
      </w:pPr>
      <w:r>
        <w:rPr>
          <w:rFonts w:hint="eastAsia" w:ascii="宋体" w:hAnsi="宋体" w:cs="宋体"/>
          <w:szCs w:val="21"/>
          <w:lang w:val="zh-CN"/>
        </w:rPr>
        <w:t>2</w:t>
      </w:r>
      <w:r>
        <w:rPr>
          <w:rFonts w:hint="eastAsia" w:ascii="宋体" w:hAnsi="宋体" w:cs="宋体"/>
          <w:kern w:val="0"/>
          <w:szCs w:val="21"/>
        </w:rPr>
        <w:t>.</w:t>
      </w:r>
      <w:r>
        <w:rPr>
          <w:rStyle w:val="23"/>
          <w:rFonts w:hint="eastAsia" w:ascii="宋体" w:hAnsi="宋体"/>
          <w:b w:val="0"/>
          <w:sz w:val="21"/>
          <w:szCs w:val="21"/>
        </w:rPr>
        <w:t>未中标供应商的投标保证金将在当日或次日开始无息退还 （财务联系电话：</w:t>
      </w:r>
      <w:r>
        <w:rPr>
          <w:rStyle w:val="23"/>
          <w:rFonts w:ascii="宋体" w:hAnsi="宋体"/>
          <w:b w:val="0"/>
          <w:sz w:val="21"/>
          <w:szCs w:val="21"/>
        </w:rPr>
        <w:t>0576-</w:t>
      </w:r>
      <w:r>
        <w:rPr>
          <w:rStyle w:val="23"/>
          <w:rFonts w:hint="eastAsia" w:ascii="宋体" w:hAnsi="宋体"/>
          <w:b w:val="0"/>
          <w:sz w:val="21"/>
          <w:szCs w:val="21"/>
        </w:rPr>
        <w:t>83336115）。</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20" w:firstLineChars="200"/>
        <w:jc w:val="left"/>
        <w:rPr>
          <w:rFonts w:ascii="宋体"/>
          <w:kern w:val="0"/>
          <w:szCs w:val="21"/>
        </w:rPr>
      </w:pPr>
      <w:r>
        <w:rPr>
          <w:rFonts w:hint="eastAsia" w:ascii="宋体" w:hAnsi="宋体" w:cs="宋体"/>
          <w:kern w:val="0"/>
          <w:szCs w:val="21"/>
        </w:rPr>
        <w:t>3.</w:t>
      </w:r>
      <w:r>
        <w:rPr>
          <w:rFonts w:hint="eastAsia" w:ascii="宋体"/>
          <w:kern w:val="0"/>
          <w:szCs w:val="21"/>
        </w:rPr>
        <w:t>供应商有</w:t>
      </w:r>
      <w:r>
        <w:rPr>
          <w:rFonts w:ascii="宋体"/>
          <w:kern w:val="0"/>
          <w:szCs w:val="21"/>
        </w:rPr>
        <w:t>下列情</w:t>
      </w:r>
      <w:r>
        <w:rPr>
          <w:rFonts w:hint="eastAsia" w:ascii="宋体"/>
          <w:kern w:val="0"/>
          <w:szCs w:val="21"/>
        </w:rPr>
        <w:t>形之一的</w:t>
      </w:r>
      <w:r>
        <w:rPr>
          <w:rFonts w:ascii="宋体"/>
          <w:kern w:val="0"/>
          <w:szCs w:val="21"/>
        </w:rPr>
        <w:t>，</w:t>
      </w:r>
      <w:r>
        <w:rPr>
          <w:rFonts w:hint="eastAsia" w:ascii="宋体"/>
          <w:kern w:val="0"/>
          <w:szCs w:val="21"/>
        </w:rPr>
        <w:t>谈判</w:t>
      </w:r>
      <w:r>
        <w:rPr>
          <w:rFonts w:ascii="宋体"/>
          <w:kern w:val="0"/>
          <w:szCs w:val="21"/>
        </w:rPr>
        <w:t>保证金将不予退还：</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20" w:firstLineChars="200"/>
        <w:jc w:val="left"/>
        <w:rPr>
          <w:rFonts w:ascii="宋体"/>
          <w:kern w:val="0"/>
          <w:szCs w:val="21"/>
        </w:rPr>
      </w:pPr>
      <w:r>
        <w:rPr>
          <w:rFonts w:hint="eastAsia" w:ascii="宋体"/>
          <w:kern w:val="0"/>
          <w:szCs w:val="21"/>
        </w:rPr>
        <w:t>（1）供应商在谈判有效期内撤回谈判文件的；</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20" w:firstLineChars="200"/>
        <w:jc w:val="left"/>
        <w:rPr>
          <w:rFonts w:ascii="宋体"/>
          <w:kern w:val="0"/>
          <w:szCs w:val="21"/>
        </w:rPr>
      </w:pPr>
      <w:r>
        <w:rPr>
          <w:rFonts w:hint="eastAsia" w:ascii="宋体"/>
          <w:kern w:val="0"/>
          <w:szCs w:val="21"/>
        </w:rPr>
        <w:t>（2）供应商</w:t>
      </w:r>
      <w:r>
        <w:rPr>
          <w:rFonts w:ascii="宋体"/>
          <w:kern w:val="0"/>
          <w:szCs w:val="21"/>
        </w:rPr>
        <w:t>在</w:t>
      </w:r>
      <w:r>
        <w:rPr>
          <w:rFonts w:hint="eastAsia" w:ascii="宋体"/>
          <w:kern w:val="0"/>
          <w:szCs w:val="21"/>
        </w:rPr>
        <w:t>谈判</w:t>
      </w:r>
      <w:r>
        <w:rPr>
          <w:rFonts w:ascii="宋体"/>
          <w:kern w:val="0"/>
          <w:szCs w:val="21"/>
        </w:rPr>
        <w:t>过程中弄虚作假，提供虚假材料</w:t>
      </w:r>
      <w:r>
        <w:rPr>
          <w:rFonts w:hint="eastAsia" w:ascii="宋体"/>
          <w:kern w:val="0"/>
          <w:szCs w:val="21"/>
        </w:rPr>
        <w:t>的</w:t>
      </w:r>
      <w:r>
        <w:rPr>
          <w:rFonts w:ascii="宋体"/>
          <w:kern w:val="0"/>
          <w:szCs w:val="21"/>
        </w:rPr>
        <w:t>；</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20" w:firstLineChars="200"/>
        <w:jc w:val="left"/>
        <w:rPr>
          <w:rFonts w:ascii="宋体"/>
          <w:kern w:val="0"/>
          <w:szCs w:val="21"/>
        </w:rPr>
      </w:pPr>
      <w:r>
        <w:rPr>
          <w:rFonts w:hint="eastAsia" w:ascii="宋体"/>
          <w:kern w:val="0"/>
          <w:szCs w:val="21"/>
        </w:rPr>
        <w:t>（3）成交方无正当理由不与采购方签订合同的；</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20" w:firstLineChars="200"/>
        <w:jc w:val="left"/>
        <w:rPr>
          <w:rFonts w:ascii="宋体"/>
          <w:kern w:val="0"/>
          <w:szCs w:val="21"/>
        </w:rPr>
      </w:pPr>
      <w:r>
        <w:rPr>
          <w:rFonts w:hint="eastAsia" w:ascii="宋体"/>
          <w:kern w:val="0"/>
          <w:szCs w:val="21"/>
        </w:rPr>
        <w:t>（4）供应商在投标期间内有串标、哄抬标价等违规违法行为；</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20" w:firstLineChars="200"/>
        <w:jc w:val="left"/>
        <w:rPr>
          <w:rFonts w:ascii="宋体"/>
          <w:kern w:val="0"/>
          <w:szCs w:val="21"/>
        </w:rPr>
      </w:pPr>
      <w:r>
        <w:rPr>
          <w:rFonts w:hint="eastAsia" w:ascii="宋体"/>
          <w:kern w:val="0"/>
          <w:szCs w:val="21"/>
        </w:rPr>
        <w:t>（5）将成交项目转让给他人或者在谈判文件中未说明且未经谈判人同意，将成交项目分包给他人的；</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20" w:firstLineChars="200"/>
        <w:jc w:val="left"/>
        <w:rPr>
          <w:rFonts w:ascii="宋体"/>
          <w:kern w:val="0"/>
          <w:szCs w:val="21"/>
        </w:rPr>
      </w:pPr>
      <w:r>
        <w:rPr>
          <w:rFonts w:hint="eastAsia" w:ascii="宋体"/>
          <w:kern w:val="0"/>
          <w:szCs w:val="21"/>
        </w:rPr>
        <w:t>（6）其他严重扰乱谈判标程序的。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outlineLvl w:val="1"/>
        <w:rPr>
          <w:rFonts w:ascii="宋体"/>
          <w:b/>
          <w:kern w:val="0"/>
          <w:sz w:val="24"/>
        </w:rPr>
      </w:pPr>
      <w:bookmarkStart w:id="43" w:name="_Toc15102"/>
      <w:r>
        <w:rPr>
          <w:rFonts w:hint="eastAsia" w:ascii="宋体"/>
          <w:b/>
          <w:kern w:val="0"/>
          <w:sz w:val="24"/>
        </w:rPr>
        <w:t>五、无效磋商文件及废标确认</w:t>
      </w:r>
      <w:bookmarkEnd w:id="43"/>
    </w:p>
    <w:p>
      <w:pPr>
        <w:tabs>
          <w:tab w:val="left" w:pos="1898"/>
        </w:tabs>
        <w:autoSpaceDE w:val="0"/>
        <w:autoSpaceDN w:val="0"/>
        <w:adjustRightInd w:val="0"/>
        <w:spacing w:line="360" w:lineRule="auto"/>
        <w:ind w:firstLine="420" w:firstLineChars="200"/>
        <w:rPr>
          <w:rFonts w:ascii="宋体"/>
          <w:kern w:val="0"/>
          <w:szCs w:val="21"/>
        </w:rPr>
      </w:pPr>
      <w:r>
        <w:rPr>
          <w:rFonts w:hint="eastAsia" w:ascii="宋体"/>
          <w:kern w:val="0"/>
          <w:szCs w:val="21"/>
        </w:rPr>
        <w:t>（一）、发生下列情况之一的磋商响应文件被视为无效标处理：</w:t>
      </w:r>
    </w:p>
    <w:p>
      <w:pPr>
        <w:tabs>
          <w:tab w:val="left" w:pos="1898"/>
        </w:tabs>
        <w:autoSpaceDE w:val="0"/>
        <w:autoSpaceDN w:val="0"/>
        <w:adjustRightInd w:val="0"/>
        <w:spacing w:line="360" w:lineRule="auto"/>
        <w:ind w:firstLine="480"/>
        <w:rPr>
          <w:rFonts w:ascii="宋体" w:hAnsi="宋体"/>
          <w:szCs w:val="21"/>
        </w:rPr>
      </w:pPr>
      <w:r>
        <w:rPr>
          <w:rFonts w:hint="eastAsia" w:ascii="宋体" w:hAnsi="宋体"/>
          <w:szCs w:val="21"/>
        </w:rPr>
        <w:t>1、磋商截止时间以后送达的响应性文件；</w:t>
      </w:r>
    </w:p>
    <w:p>
      <w:pPr>
        <w:tabs>
          <w:tab w:val="left" w:pos="1898"/>
        </w:tabs>
        <w:autoSpaceDE w:val="0"/>
        <w:autoSpaceDN w:val="0"/>
        <w:adjustRightInd w:val="0"/>
        <w:spacing w:line="360" w:lineRule="auto"/>
        <w:ind w:firstLine="480"/>
        <w:rPr>
          <w:rFonts w:ascii="宋体" w:hAnsi="宋体"/>
          <w:szCs w:val="21"/>
        </w:rPr>
      </w:pPr>
      <w:r>
        <w:rPr>
          <w:rFonts w:hint="eastAsia" w:ascii="宋体" w:hAnsi="宋体"/>
          <w:szCs w:val="21"/>
        </w:rPr>
        <w:t>2、由于包装不妥，在送交途中严重破损或失散的响应性文件；</w:t>
      </w:r>
    </w:p>
    <w:p>
      <w:pPr>
        <w:tabs>
          <w:tab w:val="left" w:pos="1898"/>
        </w:tabs>
        <w:autoSpaceDE w:val="0"/>
        <w:autoSpaceDN w:val="0"/>
        <w:adjustRightInd w:val="0"/>
        <w:spacing w:line="360" w:lineRule="auto"/>
        <w:ind w:firstLine="480"/>
        <w:rPr>
          <w:rFonts w:ascii="宋体" w:hAnsi="宋体"/>
          <w:szCs w:val="21"/>
        </w:rPr>
      </w:pPr>
      <w:r>
        <w:rPr>
          <w:rFonts w:hint="eastAsia" w:ascii="宋体" w:hAnsi="宋体"/>
          <w:szCs w:val="21"/>
        </w:rPr>
        <w:t>3、以电讯形式的响应性文件；</w:t>
      </w:r>
    </w:p>
    <w:p>
      <w:pPr>
        <w:tabs>
          <w:tab w:val="left" w:pos="1898"/>
        </w:tabs>
        <w:autoSpaceDE w:val="0"/>
        <w:autoSpaceDN w:val="0"/>
        <w:adjustRightInd w:val="0"/>
        <w:spacing w:line="360" w:lineRule="auto"/>
        <w:ind w:firstLine="480"/>
        <w:rPr>
          <w:rFonts w:ascii="宋体" w:hAnsi="宋体"/>
          <w:szCs w:val="21"/>
        </w:rPr>
      </w:pPr>
      <w:r>
        <w:rPr>
          <w:rFonts w:hint="eastAsia" w:ascii="宋体" w:hAnsi="宋体"/>
          <w:szCs w:val="21"/>
        </w:rPr>
        <w:t>4、不具备磋商文件规定磋商资格要求的；</w:t>
      </w:r>
    </w:p>
    <w:p>
      <w:pPr>
        <w:tabs>
          <w:tab w:val="left" w:pos="1898"/>
        </w:tabs>
        <w:autoSpaceDE w:val="0"/>
        <w:autoSpaceDN w:val="0"/>
        <w:adjustRightInd w:val="0"/>
        <w:spacing w:line="360" w:lineRule="auto"/>
        <w:ind w:firstLine="480"/>
        <w:rPr>
          <w:rFonts w:ascii="宋体" w:hAnsi="宋体"/>
          <w:szCs w:val="21"/>
        </w:rPr>
      </w:pPr>
      <w:r>
        <w:rPr>
          <w:rFonts w:hint="eastAsia" w:ascii="宋体" w:hAnsi="宋体"/>
          <w:szCs w:val="21"/>
        </w:rPr>
        <w:t>5、</w:t>
      </w:r>
      <w:r>
        <w:rPr>
          <w:rFonts w:hint="eastAsia" w:ascii="宋体"/>
          <w:kern w:val="0"/>
          <w:szCs w:val="21"/>
        </w:rPr>
        <w:t>应交而未交磋商保证金的；</w:t>
      </w:r>
    </w:p>
    <w:p>
      <w:pPr>
        <w:tabs>
          <w:tab w:val="left" w:pos="1898"/>
        </w:tabs>
        <w:autoSpaceDE w:val="0"/>
        <w:autoSpaceDN w:val="0"/>
        <w:adjustRightInd w:val="0"/>
        <w:spacing w:line="360" w:lineRule="auto"/>
        <w:ind w:firstLine="480"/>
        <w:rPr>
          <w:rFonts w:ascii="宋体"/>
          <w:kern w:val="0"/>
          <w:szCs w:val="21"/>
        </w:rPr>
      </w:pPr>
      <w:r>
        <w:rPr>
          <w:rFonts w:hint="eastAsia" w:ascii="宋体" w:hAnsi="宋体"/>
          <w:szCs w:val="21"/>
        </w:rPr>
        <w:t>6、</w:t>
      </w:r>
      <w:r>
        <w:rPr>
          <w:rFonts w:hint="eastAsia" w:ascii="宋体"/>
          <w:kern w:val="0"/>
          <w:szCs w:val="21"/>
        </w:rPr>
        <w:t>磋商代表人未能出具身份证明或与法定代表人授权委托人身份不符的；</w:t>
      </w:r>
    </w:p>
    <w:p>
      <w:pPr>
        <w:tabs>
          <w:tab w:val="left" w:pos="1898"/>
        </w:tabs>
        <w:autoSpaceDE w:val="0"/>
        <w:autoSpaceDN w:val="0"/>
        <w:adjustRightInd w:val="0"/>
        <w:spacing w:line="360" w:lineRule="auto"/>
        <w:ind w:firstLine="480"/>
        <w:rPr>
          <w:rFonts w:ascii="宋体"/>
          <w:kern w:val="0"/>
          <w:szCs w:val="21"/>
        </w:rPr>
      </w:pPr>
      <w:r>
        <w:rPr>
          <w:rFonts w:hint="eastAsia" w:ascii="宋体"/>
          <w:kern w:val="0"/>
          <w:szCs w:val="21"/>
        </w:rPr>
        <w:t>7、未按照磋商文件规定要求密封、签署、盖章的（所有盖章均加盖供应商单位公章，其它印章均作无效）；</w:t>
      </w:r>
    </w:p>
    <w:p>
      <w:pPr>
        <w:snapToGrid w:val="0"/>
        <w:spacing w:line="360" w:lineRule="auto"/>
        <w:ind w:firstLine="420" w:firstLineChars="200"/>
        <w:rPr>
          <w:rFonts w:ascii="宋体"/>
          <w:kern w:val="0"/>
          <w:szCs w:val="21"/>
        </w:rPr>
      </w:pPr>
      <w:r>
        <w:rPr>
          <w:rFonts w:hint="eastAsia" w:ascii="宋体"/>
          <w:kern w:val="0"/>
          <w:szCs w:val="21"/>
        </w:rPr>
        <w:t>8、</w:t>
      </w:r>
      <w:r>
        <w:rPr>
          <w:rFonts w:hint="eastAsia" w:ascii="宋体" w:hAnsi="宋体"/>
          <w:kern w:val="0"/>
        </w:rPr>
        <w:t>响应文件份数不符合磋商</w:t>
      </w:r>
      <w:r>
        <w:rPr>
          <w:rFonts w:ascii="宋体" w:hAnsi="宋体"/>
          <w:kern w:val="0"/>
        </w:rPr>
        <w:t>文件</w:t>
      </w:r>
      <w:r>
        <w:rPr>
          <w:rFonts w:hint="eastAsia" w:ascii="宋体" w:hAnsi="宋体"/>
          <w:kern w:val="0"/>
        </w:rPr>
        <w:t>前附表</w:t>
      </w:r>
      <w:r>
        <w:rPr>
          <w:rFonts w:ascii="宋体" w:hAnsi="宋体"/>
          <w:kern w:val="0"/>
        </w:rPr>
        <w:t>要求的</w:t>
      </w:r>
      <w:r>
        <w:rPr>
          <w:rFonts w:hint="eastAsia" w:ascii="宋体"/>
          <w:kern w:val="0"/>
          <w:szCs w:val="21"/>
        </w:rPr>
        <w:t>；</w:t>
      </w:r>
    </w:p>
    <w:p>
      <w:pPr>
        <w:snapToGrid w:val="0"/>
        <w:spacing w:line="360" w:lineRule="auto"/>
        <w:ind w:firstLine="420" w:firstLineChars="200"/>
        <w:rPr>
          <w:rFonts w:ascii="宋体" w:hAnsi="宋体"/>
          <w:kern w:val="0"/>
        </w:rPr>
      </w:pPr>
      <w:r>
        <w:rPr>
          <w:rFonts w:hint="eastAsia" w:ascii="宋体"/>
          <w:kern w:val="0"/>
          <w:szCs w:val="21"/>
        </w:rPr>
        <w:t>9、</w:t>
      </w:r>
      <w:r>
        <w:rPr>
          <w:rFonts w:hint="eastAsia" w:ascii="宋体" w:hAnsi="宋体"/>
          <w:kern w:val="0"/>
        </w:rPr>
        <w:t>响应文件组成不符合磋商文件要求的；</w:t>
      </w:r>
    </w:p>
    <w:p>
      <w:pPr>
        <w:snapToGrid w:val="0"/>
        <w:spacing w:line="360" w:lineRule="auto"/>
        <w:ind w:firstLine="420" w:firstLineChars="200"/>
        <w:rPr>
          <w:rFonts w:ascii="宋体" w:hAnsi="宋体"/>
          <w:kern w:val="0"/>
        </w:rPr>
      </w:pPr>
      <w:r>
        <w:rPr>
          <w:rFonts w:hint="eastAsia" w:ascii="宋体" w:hAnsi="宋体"/>
          <w:kern w:val="0"/>
        </w:rPr>
        <w:t>10、与采购方磋商文件有重大偏离的</w:t>
      </w:r>
      <w:r>
        <w:rPr>
          <w:rFonts w:hint="eastAsia" w:ascii="宋体"/>
          <w:kern w:val="0"/>
          <w:szCs w:val="21"/>
        </w:rPr>
        <w:t>磋商</w:t>
      </w:r>
      <w:r>
        <w:rPr>
          <w:rFonts w:hint="eastAsia" w:ascii="宋体" w:hAnsi="宋体"/>
          <w:kern w:val="0"/>
        </w:rPr>
        <w:t>响应文件；</w:t>
      </w:r>
    </w:p>
    <w:p>
      <w:pPr>
        <w:snapToGrid w:val="0"/>
        <w:spacing w:line="360" w:lineRule="auto"/>
        <w:ind w:firstLine="420" w:firstLineChars="200"/>
        <w:rPr>
          <w:rFonts w:ascii="宋体" w:hAnsi="宋体"/>
          <w:kern w:val="0"/>
        </w:rPr>
      </w:pPr>
      <w:r>
        <w:rPr>
          <w:rFonts w:hint="eastAsia" w:ascii="宋体" w:hAnsi="宋体"/>
          <w:kern w:val="0"/>
        </w:rPr>
        <w:t>11、最终报价超出有效报价上限的；</w:t>
      </w:r>
    </w:p>
    <w:p>
      <w:pPr>
        <w:snapToGrid w:val="0"/>
        <w:spacing w:line="360" w:lineRule="auto"/>
        <w:ind w:firstLine="420" w:firstLineChars="200"/>
        <w:rPr>
          <w:rFonts w:ascii="宋体"/>
          <w:kern w:val="0"/>
          <w:szCs w:val="21"/>
        </w:rPr>
      </w:pPr>
      <w:r>
        <w:rPr>
          <w:rFonts w:hint="eastAsia" w:ascii="宋体" w:hAnsi="宋体"/>
          <w:kern w:val="0"/>
        </w:rPr>
        <w:t>12、最终报价不低于首次报价的；</w:t>
      </w:r>
    </w:p>
    <w:p>
      <w:pPr>
        <w:snapToGrid w:val="0"/>
        <w:spacing w:line="360" w:lineRule="auto"/>
        <w:ind w:firstLine="420" w:firstLineChars="200"/>
        <w:rPr>
          <w:rFonts w:ascii="宋体"/>
          <w:kern w:val="0"/>
          <w:szCs w:val="21"/>
        </w:rPr>
      </w:pPr>
      <w:r>
        <w:rPr>
          <w:rFonts w:hint="eastAsia" w:ascii="宋体"/>
          <w:kern w:val="0"/>
          <w:szCs w:val="21"/>
        </w:rPr>
        <w:t>13、不符合法律、法规和磋商文件中规定的其他实质性要求的（谈判文件中打“▲”内容及被拒绝的条款）；</w:t>
      </w:r>
    </w:p>
    <w:p>
      <w:pPr>
        <w:snapToGrid w:val="0"/>
        <w:spacing w:line="360" w:lineRule="auto"/>
        <w:ind w:firstLine="420" w:firstLineChars="200"/>
        <w:rPr>
          <w:rFonts w:ascii="宋体"/>
          <w:kern w:val="0"/>
          <w:szCs w:val="21"/>
        </w:rPr>
      </w:pPr>
      <w:r>
        <w:rPr>
          <w:rFonts w:hint="eastAsia" w:ascii="宋体"/>
          <w:kern w:val="0"/>
          <w:szCs w:val="21"/>
        </w:rPr>
        <w:t>14、出现影响采购公正的违法违规行为；</w:t>
      </w:r>
    </w:p>
    <w:p>
      <w:pPr>
        <w:snapToGrid w:val="0"/>
        <w:spacing w:line="360" w:lineRule="auto"/>
        <w:ind w:firstLine="420" w:firstLineChars="200"/>
        <w:rPr>
          <w:rFonts w:ascii="宋体"/>
          <w:kern w:val="0"/>
          <w:szCs w:val="21"/>
        </w:rPr>
      </w:pPr>
      <w:r>
        <w:rPr>
          <w:rFonts w:hint="eastAsia" w:ascii="宋体"/>
          <w:kern w:val="0"/>
          <w:szCs w:val="21"/>
        </w:rPr>
        <w:t>15、磋商文件中明确规定为无效标的；</w:t>
      </w:r>
    </w:p>
    <w:p>
      <w:pPr>
        <w:snapToGrid w:val="0"/>
        <w:spacing w:line="360" w:lineRule="auto"/>
        <w:ind w:firstLine="420" w:firstLineChars="200"/>
        <w:rPr>
          <w:rFonts w:ascii="宋体"/>
          <w:kern w:val="0"/>
          <w:szCs w:val="21"/>
        </w:rPr>
      </w:pPr>
      <w:r>
        <w:rPr>
          <w:rFonts w:hint="eastAsia" w:ascii="宋体"/>
          <w:kern w:val="0"/>
          <w:szCs w:val="21"/>
        </w:rPr>
        <w:t>16、磋商小组认为不能满足采购方需求的；</w:t>
      </w:r>
    </w:p>
    <w:p>
      <w:pPr>
        <w:snapToGrid w:val="0"/>
        <w:spacing w:line="360" w:lineRule="auto"/>
        <w:ind w:firstLine="420" w:firstLineChars="200"/>
        <w:rPr>
          <w:rFonts w:ascii="宋体"/>
          <w:kern w:val="0"/>
          <w:szCs w:val="21"/>
        </w:rPr>
      </w:pPr>
      <w:r>
        <w:rPr>
          <w:rFonts w:hint="eastAsia" w:ascii="宋体"/>
          <w:kern w:val="0"/>
          <w:szCs w:val="21"/>
        </w:rPr>
        <w:t>17、磋商小组认为其他不合理情况的。</w:t>
      </w:r>
    </w:p>
    <w:p>
      <w:pPr>
        <w:snapToGrid w:val="0"/>
        <w:spacing w:line="360" w:lineRule="auto"/>
        <w:ind w:firstLine="420" w:firstLineChars="200"/>
        <w:rPr>
          <w:rFonts w:ascii="宋体"/>
          <w:kern w:val="0"/>
          <w:szCs w:val="21"/>
        </w:rPr>
      </w:pPr>
      <w:r>
        <w:rPr>
          <w:rFonts w:hint="eastAsia" w:ascii="宋体"/>
          <w:kern w:val="0"/>
          <w:szCs w:val="21"/>
        </w:rPr>
        <w:t>（二）有下列情况之一的，本次磋商作为废标处理：</w:t>
      </w:r>
    </w:p>
    <w:p>
      <w:pPr>
        <w:snapToGrid w:val="0"/>
        <w:spacing w:line="360" w:lineRule="auto"/>
        <w:ind w:firstLine="420" w:firstLineChars="200"/>
        <w:rPr>
          <w:rFonts w:ascii="宋体"/>
          <w:kern w:val="0"/>
          <w:szCs w:val="21"/>
        </w:rPr>
      </w:pPr>
      <w:r>
        <w:rPr>
          <w:rFonts w:hint="eastAsia" w:ascii="宋体"/>
          <w:kern w:val="0"/>
          <w:szCs w:val="21"/>
        </w:rPr>
        <w:t>1、出现影响采购公正的违法、违规行为的；</w:t>
      </w:r>
    </w:p>
    <w:p>
      <w:pPr>
        <w:snapToGrid w:val="0"/>
        <w:spacing w:line="360" w:lineRule="auto"/>
        <w:ind w:firstLine="420" w:firstLineChars="200"/>
        <w:rPr>
          <w:rFonts w:ascii="宋体"/>
          <w:kern w:val="0"/>
          <w:szCs w:val="21"/>
        </w:rPr>
      </w:pPr>
      <w:r>
        <w:rPr>
          <w:rFonts w:hint="eastAsia" w:ascii="宋体"/>
          <w:kern w:val="0"/>
          <w:szCs w:val="21"/>
        </w:rPr>
        <w:t>2、供应商的报价均超过了采购上限价，采购方不能支付的；</w:t>
      </w:r>
    </w:p>
    <w:p>
      <w:pPr>
        <w:snapToGrid w:val="0"/>
        <w:spacing w:line="360" w:lineRule="auto"/>
        <w:ind w:firstLine="420" w:firstLineChars="200"/>
        <w:rPr>
          <w:rFonts w:ascii="宋体"/>
          <w:kern w:val="0"/>
          <w:szCs w:val="21"/>
        </w:rPr>
      </w:pPr>
      <w:r>
        <w:rPr>
          <w:rFonts w:hint="eastAsia" w:ascii="宋体"/>
          <w:kern w:val="0"/>
          <w:szCs w:val="21"/>
        </w:rPr>
        <w:t>3、因重大变故，采购任务取消的。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outlineLvl w:val="1"/>
        <w:rPr>
          <w:rFonts w:ascii="宋体"/>
          <w:b/>
          <w:kern w:val="0"/>
          <w:sz w:val="24"/>
        </w:rPr>
      </w:pPr>
      <w:bookmarkStart w:id="44" w:name="_Toc30061"/>
      <w:r>
        <w:rPr>
          <w:rFonts w:hint="eastAsia" w:ascii="宋体"/>
          <w:b/>
          <w:kern w:val="0"/>
          <w:sz w:val="24"/>
        </w:rPr>
        <w:t>六、开标</w:t>
      </w:r>
      <w:bookmarkEnd w:id="44"/>
    </w:p>
    <w:p>
      <w:pPr>
        <w:snapToGrid w:val="0"/>
        <w:spacing w:line="360" w:lineRule="auto"/>
        <w:ind w:firstLine="420" w:firstLineChars="200"/>
        <w:rPr>
          <w:rFonts w:ascii="宋体"/>
          <w:kern w:val="0"/>
          <w:szCs w:val="21"/>
        </w:rPr>
      </w:pPr>
      <w:r>
        <w:rPr>
          <w:rFonts w:hint="eastAsia" w:ascii="宋体"/>
          <w:kern w:val="0"/>
          <w:szCs w:val="21"/>
        </w:rPr>
        <w:t>1.采购代理机构将在“招标公告”规定的时间和地点进行开标，</w:t>
      </w:r>
      <w:r>
        <w:rPr>
          <w:rFonts w:ascii="宋体"/>
          <w:kern w:val="0"/>
          <w:szCs w:val="21"/>
        </w:rPr>
        <w:t>开标会由</w:t>
      </w:r>
      <w:r>
        <w:rPr>
          <w:rFonts w:hint="eastAsia" w:ascii="宋体"/>
          <w:kern w:val="0"/>
          <w:szCs w:val="21"/>
        </w:rPr>
        <w:t>采购代理机构工作人员</w:t>
      </w:r>
      <w:r>
        <w:rPr>
          <w:rFonts w:ascii="宋体"/>
          <w:kern w:val="0"/>
          <w:szCs w:val="21"/>
        </w:rPr>
        <w:t>主持</w:t>
      </w:r>
      <w:r>
        <w:rPr>
          <w:rFonts w:hint="eastAsia" w:ascii="宋体"/>
          <w:kern w:val="0"/>
          <w:szCs w:val="21"/>
        </w:rPr>
        <w:t>，所有投标人均应准时参加开标会。投标截止时间前各投标人的法定代表人（或营业执照中明确的负责人）或其全权代表应出具身份证原件，若为全权代表参加的还须提供《授权委托书》原件（格式参照相关附件内容）。授权委托书可以与投标文件分开单独提交，也可以编入资格证明文件中。投标人的法定代表人（或营业执照中明确的负责人）或其全权代表未参加开标会议或迟到的，事后不得对采购相关人员、项目开标过程和评标结果提出异议。评标委员会成员不得参加开标活动。</w:t>
      </w:r>
    </w:p>
    <w:p>
      <w:pPr>
        <w:snapToGrid w:val="0"/>
        <w:spacing w:line="360" w:lineRule="auto"/>
        <w:ind w:firstLine="420" w:firstLineChars="200"/>
        <w:rPr>
          <w:rFonts w:ascii="宋体"/>
          <w:kern w:val="0"/>
          <w:szCs w:val="21"/>
        </w:rPr>
      </w:pPr>
      <w:r>
        <w:rPr>
          <w:rFonts w:hint="eastAsia" w:ascii="宋体"/>
          <w:kern w:val="0"/>
          <w:szCs w:val="21"/>
        </w:rPr>
        <w:t>2.本次开标采用先拆封、评审资格证明文件和商务与技术文件，后拆封、评审报价文件的方式进行。</w:t>
      </w:r>
    </w:p>
    <w:p>
      <w:pPr>
        <w:snapToGrid w:val="0"/>
        <w:spacing w:line="360" w:lineRule="auto"/>
        <w:ind w:firstLine="420" w:firstLineChars="200"/>
        <w:rPr>
          <w:rFonts w:ascii="宋体"/>
          <w:kern w:val="0"/>
          <w:szCs w:val="21"/>
        </w:rPr>
      </w:pPr>
      <w:r>
        <w:rPr>
          <w:rFonts w:hint="eastAsia" w:ascii="宋体"/>
          <w:kern w:val="0"/>
          <w:szCs w:val="21"/>
        </w:rPr>
        <w:t>3.核验出席开标活动现场的各投标人代表及相关单位人员身份，并组织其分别登记、签到，无关人员可拒绝其进入现场。</w:t>
      </w:r>
    </w:p>
    <w:p>
      <w:pPr>
        <w:snapToGrid w:val="0"/>
        <w:spacing w:line="360" w:lineRule="auto"/>
        <w:ind w:firstLine="420" w:firstLineChars="200"/>
        <w:rPr>
          <w:rFonts w:ascii="宋体"/>
          <w:kern w:val="0"/>
          <w:szCs w:val="21"/>
        </w:rPr>
      </w:pPr>
      <w:r>
        <w:rPr>
          <w:rFonts w:hint="eastAsia" w:ascii="宋体"/>
          <w:kern w:val="0"/>
          <w:szCs w:val="21"/>
        </w:rPr>
        <w:t>4.采购代理机构工作人员接收投标文件并登记，并由供应商代表对递交记录情况进行签字确认。</w:t>
      </w:r>
    </w:p>
    <w:p>
      <w:pPr>
        <w:snapToGrid w:val="0"/>
        <w:spacing w:line="360" w:lineRule="auto"/>
        <w:ind w:firstLine="420" w:firstLineChars="200"/>
        <w:rPr>
          <w:rFonts w:ascii="宋体"/>
          <w:kern w:val="0"/>
          <w:szCs w:val="21"/>
        </w:rPr>
      </w:pPr>
      <w:r>
        <w:rPr>
          <w:rFonts w:hint="eastAsia" w:ascii="宋体"/>
          <w:kern w:val="0"/>
          <w:szCs w:val="21"/>
        </w:rPr>
        <w:t>5.</w:t>
      </w:r>
      <w:r>
        <w:rPr>
          <w:rFonts w:ascii="宋体"/>
          <w:kern w:val="0"/>
          <w:szCs w:val="21"/>
        </w:rPr>
        <w:t>主持人宣布</w:t>
      </w:r>
      <w:r>
        <w:rPr>
          <w:rFonts w:hint="eastAsia" w:ascii="宋体"/>
          <w:kern w:val="0"/>
          <w:szCs w:val="21"/>
        </w:rPr>
        <w:t>开标，介绍开标现场的人员情况，宣读提交投标文件的投标人名单、开标纪律、应当回避的情形等注意事项，组织投标人签署不存在影响公平竞争的《政府采购活动现场确认声明书》。</w:t>
      </w:r>
    </w:p>
    <w:p>
      <w:pPr>
        <w:snapToGrid w:val="0"/>
        <w:spacing w:line="360" w:lineRule="auto"/>
        <w:ind w:firstLine="420" w:firstLineChars="200"/>
        <w:rPr>
          <w:rFonts w:ascii="宋体"/>
          <w:kern w:val="0"/>
          <w:szCs w:val="21"/>
        </w:rPr>
      </w:pPr>
      <w:r>
        <w:rPr>
          <w:rFonts w:hint="eastAsia" w:ascii="宋体"/>
          <w:kern w:val="0"/>
          <w:szCs w:val="21"/>
        </w:rPr>
        <w:t xml:space="preserve">6.对投标保证金缴纳情况进行查验、核实，提请投标人或者其推选的代表检查投标文件密封情况。 </w:t>
      </w:r>
    </w:p>
    <w:p>
      <w:pPr>
        <w:snapToGrid w:val="0"/>
        <w:spacing w:line="360" w:lineRule="auto"/>
        <w:ind w:firstLine="420" w:firstLineChars="200"/>
        <w:rPr>
          <w:rFonts w:ascii="宋体"/>
          <w:kern w:val="0"/>
          <w:szCs w:val="21"/>
        </w:rPr>
      </w:pPr>
      <w:r>
        <w:rPr>
          <w:rFonts w:hint="eastAsia" w:ascii="宋体"/>
          <w:kern w:val="0"/>
          <w:szCs w:val="21"/>
        </w:rPr>
        <w:t>7.按投标人提交投标文件的先后顺序当众拆封、清点资格证明文件以及商务与技术文件（包括正本、副本）数量，将其中密封的报价文件现场集中封存保管等候拆封。拆封后的商务与技术文件由现场工作人员护送至指定的评审地点。对于正副本数量和装订不符合招标文件要求的投标文件，由现场工作人员当场退还投标人代表并由其签字确认。</w:t>
      </w:r>
    </w:p>
    <w:p>
      <w:pPr>
        <w:snapToGrid w:val="0"/>
        <w:spacing w:line="360" w:lineRule="auto"/>
        <w:ind w:firstLine="420" w:firstLineChars="200"/>
        <w:rPr>
          <w:rFonts w:ascii="宋体"/>
          <w:kern w:val="0"/>
          <w:szCs w:val="21"/>
        </w:rPr>
      </w:pPr>
      <w:r>
        <w:rPr>
          <w:rFonts w:hint="eastAsia" w:ascii="宋体"/>
          <w:kern w:val="0"/>
          <w:szCs w:val="21"/>
        </w:rPr>
        <w:t>8.开标结束后，采购人和采购代理机构依法对投标人的资格进行审查。</w:t>
      </w:r>
    </w:p>
    <w:p>
      <w:pPr>
        <w:snapToGrid w:val="0"/>
        <w:spacing w:line="360" w:lineRule="auto"/>
        <w:ind w:firstLine="420" w:firstLineChars="200"/>
        <w:rPr>
          <w:rFonts w:ascii="宋体"/>
          <w:kern w:val="0"/>
          <w:szCs w:val="21"/>
        </w:rPr>
      </w:pPr>
      <w:r>
        <w:rPr>
          <w:rFonts w:hint="eastAsia" w:ascii="宋体"/>
          <w:kern w:val="0"/>
          <w:szCs w:val="21"/>
        </w:rPr>
        <w:t>9.商务与技术文件评审结束后，主持人宣告商务与技术文件评审无效投标人名称及理由，投标人代表可收回未拆封的报价文件并签字确认；公布经商务与技术文件评审符合采购需求的投标人名单以及商务与技术文件得分情况。</w:t>
      </w:r>
    </w:p>
    <w:p>
      <w:pPr>
        <w:snapToGrid w:val="0"/>
        <w:spacing w:line="360" w:lineRule="auto"/>
        <w:ind w:firstLine="420" w:firstLineChars="200"/>
        <w:rPr>
          <w:rFonts w:ascii="宋体"/>
          <w:kern w:val="0"/>
          <w:szCs w:val="21"/>
        </w:rPr>
      </w:pPr>
      <w:r>
        <w:rPr>
          <w:rFonts w:hint="eastAsia" w:ascii="宋体"/>
          <w:kern w:val="0"/>
          <w:szCs w:val="21"/>
        </w:rPr>
        <w:t>10.按投标人提交投标文件的先后顺序当众拆封、清点报价文件（包括正本、副本）数量，宣读开标一览表中的投标报价。当场制作并打印开标记录表，由投标人代表、唱标人、记录人和现场监督员在开标记录表上签字确认（投标人代表未到场或拒绝签字确认的，不影响评标过程）。唱标结束后，现场工作人员将报价文件及开标记录表护送至指定评审地点，由评标委员会对报价的合理性、准确性等进行审查核实。</w:t>
      </w:r>
    </w:p>
    <w:p>
      <w:pPr>
        <w:snapToGrid w:val="0"/>
        <w:spacing w:line="360" w:lineRule="auto"/>
        <w:ind w:firstLine="420" w:firstLineChars="200"/>
        <w:rPr>
          <w:rFonts w:ascii="宋体"/>
          <w:kern w:val="0"/>
          <w:szCs w:val="21"/>
        </w:rPr>
      </w:pPr>
      <w:r>
        <w:rPr>
          <w:rFonts w:hint="eastAsia" w:ascii="宋体"/>
          <w:kern w:val="0"/>
          <w:szCs w:val="21"/>
        </w:rPr>
        <w:t>11.主持人公布投标报价得分、综合得分以及中标候选人排序名单。</w:t>
      </w:r>
    </w:p>
    <w:p>
      <w:pPr>
        <w:snapToGrid w:val="0"/>
        <w:spacing w:line="360" w:lineRule="auto"/>
        <w:ind w:firstLine="420" w:firstLineChars="200"/>
        <w:rPr>
          <w:rFonts w:ascii="宋体"/>
          <w:kern w:val="0"/>
          <w:szCs w:val="21"/>
        </w:rPr>
      </w:pPr>
      <w:r>
        <w:rPr>
          <w:rFonts w:hint="eastAsia" w:ascii="宋体"/>
          <w:kern w:val="0"/>
          <w:szCs w:val="21"/>
        </w:rPr>
        <w:t>12.开标会议结束。</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outlineLvl w:val="1"/>
        <w:rPr>
          <w:rFonts w:ascii="宋体"/>
          <w:b/>
          <w:kern w:val="0"/>
          <w:sz w:val="24"/>
        </w:rPr>
      </w:pPr>
      <w:bookmarkStart w:id="45" w:name="_Toc12700"/>
      <w:r>
        <w:rPr>
          <w:rFonts w:hint="eastAsia" w:ascii="宋体"/>
          <w:b/>
          <w:kern w:val="0"/>
          <w:sz w:val="24"/>
        </w:rPr>
        <w:t>七、评审</w:t>
      </w:r>
      <w:bookmarkEnd w:id="45"/>
    </w:p>
    <w:p>
      <w:pPr>
        <w:snapToGrid w:val="0"/>
        <w:spacing w:line="360" w:lineRule="auto"/>
        <w:ind w:firstLine="420" w:firstLineChars="200"/>
        <w:rPr>
          <w:rFonts w:ascii="宋体"/>
          <w:kern w:val="0"/>
          <w:szCs w:val="21"/>
        </w:rPr>
      </w:pPr>
      <w:bookmarkStart w:id="46" w:name="_Toc466988656"/>
      <w:r>
        <w:rPr>
          <w:rFonts w:hint="eastAsia" w:ascii="宋体"/>
          <w:kern w:val="0"/>
          <w:szCs w:val="21"/>
        </w:rPr>
        <w:t>1.评审会议</w:t>
      </w:r>
      <w:bookmarkEnd w:id="46"/>
    </w:p>
    <w:p>
      <w:pPr>
        <w:snapToGrid w:val="0"/>
        <w:spacing w:line="360" w:lineRule="auto"/>
        <w:ind w:firstLine="420" w:firstLineChars="200"/>
        <w:rPr>
          <w:rFonts w:ascii="宋体"/>
          <w:kern w:val="0"/>
          <w:szCs w:val="21"/>
        </w:rPr>
      </w:pPr>
      <w:r>
        <w:rPr>
          <w:rFonts w:hint="eastAsia" w:ascii="宋体"/>
          <w:kern w:val="0"/>
          <w:szCs w:val="21"/>
        </w:rPr>
        <w:t>1</w:t>
      </w:r>
      <w:r>
        <w:rPr>
          <w:rFonts w:ascii="宋体"/>
          <w:kern w:val="0"/>
          <w:szCs w:val="21"/>
        </w:rPr>
        <w:t>.1</w:t>
      </w:r>
      <w:r>
        <w:rPr>
          <w:rFonts w:hint="eastAsia" w:ascii="宋体"/>
          <w:kern w:val="0"/>
          <w:szCs w:val="21"/>
        </w:rPr>
        <w:t>磋商小组会由采购人依法组建，负责评审活动。</w:t>
      </w:r>
    </w:p>
    <w:p>
      <w:pPr>
        <w:snapToGrid w:val="0"/>
        <w:spacing w:line="360" w:lineRule="auto"/>
        <w:ind w:firstLine="420" w:firstLineChars="200"/>
        <w:rPr>
          <w:rFonts w:ascii="宋体"/>
          <w:kern w:val="0"/>
          <w:szCs w:val="21"/>
        </w:rPr>
      </w:pPr>
      <w:r>
        <w:rPr>
          <w:rFonts w:hint="eastAsia" w:ascii="宋体"/>
          <w:kern w:val="0"/>
          <w:szCs w:val="21"/>
        </w:rPr>
        <w:t>1</w:t>
      </w:r>
      <w:r>
        <w:rPr>
          <w:rFonts w:ascii="宋体"/>
          <w:kern w:val="0"/>
          <w:szCs w:val="21"/>
        </w:rPr>
        <w:t>.2</w:t>
      </w:r>
      <w:r>
        <w:rPr>
          <w:rFonts w:hint="eastAsia" w:ascii="宋体"/>
          <w:kern w:val="0"/>
          <w:szCs w:val="21"/>
        </w:rPr>
        <w:t>评审结束后，开始磋商，磋商采用保密方式进行。</w:t>
      </w:r>
    </w:p>
    <w:p>
      <w:pPr>
        <w:snapToGrid w:val="0"/>
        <w:spacing w:line="360" w:lineRule="auto"/>
        <w:ind w:firstLine="420" w:firstLineChars="200"/>
        <w:rPr>
          <w:rFonts w:ascii="宋体"/>
          <w:kern w:val="0"/>
          <w:szCs w:val="21"/>
        </w:rPr>
      </w:pPr>
      <w:bookmarkStart w:id="47" w:name="_Toc213822531"/>
      <w:bookmarkStart w:id="48" w:name="_Toc466988657"/>
      <w:r>
        <w:rPr>
          <w:rFonts w:ascii="宋体"/>
          <w:kern w:val="0"/>
          <w:szCs w:val="21"/>
        </w:rPr>
        <w:t>2.</w:t>
      </w:r>
      <w:r>
        <w:rPr>
          <w:rFonts w:hint="eastAsia" w:ascii="宋体"/>
          <w:kern w:val="0"/>
          <w:szCs w:val="21"/>
        </w:rPr>
        <w:t>评审过程的保密</w:t>
      </w:r>
      <w:bookmarkEnd w:id="47"/>
      <w:bookmarkEnd w:id="48"/>
    </w:p>
    <w:p>
      <w:pPr>
        <w:snapToGrid w:val="0"/>
        <w:spacing w:line="360" w:lineRule="auto"/>
        <w:ind w:firstLine="420" w:firstLineChars="200"/>
        <w:rPr>
          <w:rFonts w:ascii="宋体"/>
          <w:kern w:val="0"/>
          <w:szCs w:val="21"/>
        </w:rPr>
      </w:pPr>
      <w:r>
        <w:rPr>
          <w:rFonts w:hint="eastAsia" w:ascii="宋体"/>
          <w:kern w:val="0"/>
          <w:szCs w:val="21"/>
        </w:rPr>
        <w:t>2</w:t>
      </w:r>
      <w:r>
        <w:rPr>
          <w:rFonts w:ascii="宋体"/>
          <w:kern w:val="0"/>
          <w:szCs w:val="21"/>
        </w:rPr>
        <w:t>.1</w:t>
      </w:r>
      <w:r>
        <w:rPr>
          <w:rFonts w:hint="eastAsia" w:ascii="宋体"/>
          <w:kern w:val="0"/>
          <w:szCs w:val="21"/>
        </w:rPr>
        <w:t>开启后，直至授予成交供应商合同为止，凡属于对响应文件的审查、澄清、评价和比较的有关资料以及公交供应商候选人的推荐情况，与评审有关的其他任何情况均严格保密。</w:t>
      </w:r>
    </w:p>
    <w:p>
      <w:pPr>
        <w:snapToGrid w:val="0"/>
        <w:spacing w:line="360" w:lineRule="auto"/>
        <w:ind w:firstLine="420" w:firstLineChars="200"/>
        <w:rPr>
          <w:rFonts w:ascii="宋体"/>
          <w:kern w:val="0"/>
          <w:szCs w:val="21"/>
        </w:rPr>
      </w:pPr>
      <w:r>
        <w:rPr>
          <w:rFonts w:hint="eastAsia" w:ascii="宋体"/>
          <w:kern w:val="0"/>
          <w:szCs w:val="21"/>
        </w:rPr>
        <w:t>2</w:t>
      </w:r>
      <w:r>
        <w:rPr>
          <w:rFonts w:ascii="宋体"/>
          <w:kern w:val="0"/>
          <w:szCs w:val="21"/>
        </w:rPr>
        <w:t>.2</w:t>
      </w:r>
      <w:r>
        <w:rPr>
          <w:rFonts w:hint="eastAsia" w:ascii="宋体"/>
          <w:kern w:val="0"/>
          <w:szCs w:val="21"/>
        </w:rPr>
        <w:t>在响应文件的评审和比较、成交工业公司候选人推荐以及授予合同的过程中，供应商向采购人和磋商小组施加影响的任何行为，都将会导致其投标被拒绝。</w:t>
      </w:r>
    </w:p>
    <w:p>
      <w:pPr>
        <w:snapToGrid w:val="0"/>
        <w:spacing w:line="360" w:lineRule="auto"/>
        <w:ind w:firstLine="420" w:firstLineChars="200"/>
        <w:rPr>
          <w:rFonts w:ascii="宋体"/>
          <w:kern w:val="0"/>
          <w:szCs w:val="21"/>
        </w:rPr>
      </w:pPr>
      <w:r>
        <w:rPr>
          <w:rFonts w:hint="eastAsia" w:ascii="宋体"/>
          <w:kern w:val="0"/>
          <w:szCs w:val="21"/>
        </w:rPr>
        <w:t>2</w:t>
      </w:r>
      <w:r>
        <w:rPr>
          <w:rFonts w:ascii="宋体"/>
          <w:kern w:val="0"/>
          <w:szCs w:val="21"/>
        </w:rPr>
        <w:t>.3</w:t>
      </w:r>
      <w:r>
        <w:rPr>
          <w:rFonts w:hint="eastAsia" w:ascii="宋体"/>
          <w:kern w:val="0"/>
          <w:szCs w:val="21"/>
        </w:rPr>
        <w:t>成交供应商确定后，采购人不对未成交供应商就评审过程以及未能成交原因作出任何解释。未成交人不得向磋商小组组成人员或其他有关人员索问评审过程的情况和材料。</w:t>
      </w:r>
    </w:p>
    <w:p>
      <w:pPr>
        <w:snapToGrid w:val="0"/>
        <w:spacing w:line="360" w:lineRule="auto"/>
        <w:ind w:firstLine="420" w:firstLineChars="200"/>
        <w:rPr>
          <w:rFonts w:ascii="宋体"/>
          <w:kern w:val="0"/>
          <w:szCs w:val="21"/>
        </w:rPr>
      </w:pPr>
      <w:bookmarkStart w:id="49" w:name="_Toc213822533"/>
      <w:bookmarkStart w:id="50" w:name="_Toc466988658"/>
      <w:r>
        <w:rPr>
          <w:rFonts w:hint="eastAsia" w:ascii="宋体"/>
          <w:kern w:val="0"/>
          <w:szCs w:val="21"/>
        </w:rPr>
        <w:t>3</w:t>
      </w:r>
      <w:r>
        <w:rPr>
          <w:rFonts w:ascii="宋体"/>
          <w:kern w:val="0"/>
          <w:szCs w:val="21"/>
        </w:rPr>
        <w:t>.</w:t>
      </w:r>
      <w:r>
        <w:rPr>
          <w:rFonts w:hint="eastAsia" w:ascii="宋体"/>
          <w:kern w:val="0"/>
          <w:szCs w:val="21"/>
        </w:rPr>
        <w:t>评标</w:t>
      </w:r>
      <w:bookmarkEnd w:id="49"/>
      <w:r>
        <w:rPr>
          <w:rFonts w:hint="eastAsia" w:ascii="宋体"/>
          <w:kern w:val="0"/>
          <w:szCs w:val="21"/>
        </w:rPr>
        <w:t>顺序</w:t>
      </w:r>
      <w:bookmarkEnd w:id="50"/>
    </w:p>
    <w:p>
      <w:pPr>
        <w:snapToGrid w:val="0"/>
        <w:spacing w:line="360" w:lineRule="auto"/>
        <w:ind w:firstLine="420" w:firstLineChars="200"/>
        <w:rPr>
          <w:rFonts w:ascii="宋体"/>
          <w:kern w:val="0"/>
          <w:szCs w:val="21"/>
        </w:rPr>
      </w:pPr>
      <w:r>
        <w:rPr>
          <w:rFonts w:hint="eastAsia" w:ascii="宋体"/>
          <w:kern w:val="0"/>
          <w:szCs w:val="21"/>
        </w:rPr>
        <w:t>技术文件评审→报价文件评审→磋商→最后报价→决标。</w:t>
      </w:r>
    </w:p>
    <w:p>
      <w:pPr>
        <w:snapToGrid w:val="0"/>
        <w:spacing w:line="360" w:lineRule="auto"/>
        <w:ind w:firstLine="420" w:firstLineChars="200"/>
        <w:rPr>
          <w:rFonts w:ascii="宋体"/>
          <w:kern w:val="0"/>
          <w:szCs w:val="21"/>
        </w:rPr>
      </w:pPr>
      <w:bookmarkStart w:id="51" w:name="_Toc206756521"/>
      <w:bookmarkStart w:id="52" w:name="_Toc213822535"/>
      <w:bookmarkStart w:id="53" w:name="_Toc466988660"/>
      <w:r>
        <w:rPr>
          <w:rFonts w:hint="eastAsia" w:ascii="宋体"/>
          <w:kern w:val="0"/>
          <w:szCs w:val="21"/>
        </w:rPr>
        <w:t>4.</w:t>
      </w:r>
      <w:bookmarkEnd w:id="51"/>
      <w:bookmarkEnd w:id="52"/>
      <w:bookmarkStart w:id="54" w:name="_Toc205911165"/>
      <w:bookmarkStart w:id="55" w:name="_Toc169487810"/>
      <w:bookmarkStart w:id="56" w:name="_Toc277661826"/>
      <w:bookmarkStart w:id="57" w:name="_Toc155342563"/>
      <w:bookmarkStart w:id="58" w:name="_Toc230684619"/>
      <w:r>
        <w:rPr>
          <w:rFonts w:hint="eastAsia" w:ascii="宋体"/>
          <w:kern w:val="0"/>
          <w:szCs w:val="21"/>
        </w:rPr>
        <w:t>磋商文件的评审</w:t>
      </w:r>
      <w:bookmarkEnd w:id="53"/>
      <w:bookmarkEnd w:id="54"/>
      <w:bookmarkEnd w:id="55"/>
      <w:bookmarkEnd w:id="56"/>
      <w:bookmarkEnd w:id="57"/>
      <w:bookmarkEnd w:id="58"/>
    </w:p>
    <w:p>
      <w:pPr>
        <w:snapToGrid w:val="0"/>
        <w:spacing w:line="360" w:lineRule="auto"/>
        <w:ind w:firstLine="422" w:firstLineChars="200"/>
        <w:rPr>
          <w:rFonts w:ascii="宋体"/>
          <w:b/>
          <w:kern w:val="0"/>
          <w:szCs w:val="21"/>
        </w:rPr>
      </w:pPr>
      <w:r>
        <w:rPr>
          <w:rFonts w:hint="eastAsia" w:ascii="宋体"/>
          <w:b/>
          <w:kern w:val="0"/>
          <w:szCs w:val="21"/>
        </w:rPr>
        <w:t>4.1磋商文件有下列情形之一的，由评标委员会初审后按无效标处理：</w:t>
      </w:r>
    </w:p>
    <w:p>
      <w:pPr>
        <w:snapToGrid w:val="0"/>
        <w:spacing w:line="360" w:lineRule="auto"/>
        <w:ind w:firstLine="420" w:firstLineChars="200"/>
        <w:rPr>
          <w:rFonts w:ascii="宋体"/>
          <w:kern w:val="0"/>
          <w:szCs w:val="21"/>
        </w:rPr>
      </w:pPr>
      <w:r>
        <w:rPr>
          <w:rFonts w:hint="eastAsia" w:ascii="宋体"/>
          <w:kern w:val="0"/>
          <w:szCs w:val="21"/>
        </w:rPr>
        <w:t>（</w:t>
      </w:r>
      <w:r>
        <w:rPr>
          <w:rFonts w:ascii="宋体"/>
          <w:kern w:val="0"/>
          <w:szCs w:val="21"/>
        </w:rPr>
        <w:t>1</w:t>
      </w:r>
      <w:r>
        <w:rPr>
          <w:rFonts w:hint="eastAsia" w:ascii="宋体"/>
          <w:kern w:val="0"/>
          <w:szCs w:val="21"/>
        </w:rPr>
        <w:t>）供应商递交两份或多份内容不同的响应文件，或在一份响应文件中对同一采购项目报有两个或多个报价，且未声明哪一个有效，按磋商文件规定提交备选响应方案的除外；</w:t>
      </w:r>
    </w:p>
    <w:p>
      <w:pPr>
        <w:snapToGrid w:val="0"/>
        <w:spacing w:line="360" w:lineRule="auto"/>
        <w:ind w:firstLine="420" w:firstLineChars="200"/>
        <w:rPr>
          <w:rFonts w:ascii="宋体"/>
          <w:kern w:val="0"/>
          <w:szCs w:val="21"/>
        </w:rPr>
      </w:pPr>
      <w:r>
        <w:rPr>
          <w:rFonts w:hint="eastAsia" w:ascii="宋体"/>
          <w:kern w:val="0"/>
          <w:szCs w:val="21"/>
        </w:rPr>
        <w:t>（</w:t>
      </w:r>
      <w:r>
        <w:rPr>
          <w:rFonts w:ascii="宋体"/>
          <w:kern w:val="0"/>
          <w:szCs w:val="21"/>
        </w:rPr>
        <w:t>2</w:t>
      </w:r>
      <w:r>
        <w:rPr>
          <w:rFonts w:hint="eastAsia" w:ascii="宋体"/>
          <w:kern w:val="0"/>
          <w:szCs w:val="21"/>
        </w:rPr>
        <w:t>）报价超过上限的或明显</w:t>
      </w:r>
      <w:r>
        <w:rPr>
          <w:rFonts w:hint="eastAsia" w:ascii="宋体"/>
          <w:b/>
          <w:kern w:val="0"/>
          <w:szCs w:val="21"/>
        </w:rPr>
        <w:t>偏离市场价格</w:t>
      </w:r>
      <w:r>
        <w:rPr>
          <w:rFonts w:hint="eastAsia" w:ascii="宋体"/>
          <w:kern w:val="0"/>
          <w:szCs w:val="21"/>
        </w:rPr>
        <w:t>的；</w:t>
      </w:r>
    </w:p>
    <w:p>
      <w:pPr>
        <w:snapToGrid w:val="0"/>
        <w:spacing w:line="360" w:lineRule="auto"/>
        <w:ind w:firstLine="420" w:firstLineChars="200"/>
        <w:rPr>
          <w:rFonts w:ascii="宋体"/>
          <w:kern w:val="0"/>
          <w:szCs w:val="21"/>
        </w:rPr>
      </w:pPr>
      <w:r>
        <w:rPr>
          <w:rFonts w:hint="eastAsia" w:ascii="宋体"/>
          <w:kern w:val="0"/>
          <w:szCs w:val="21"/>
        </w:rPr>
        <w:t>（</w:t>
      </w:r>
      <w:r>
        <w:rPr>
          <w:rFonts w:ascii="宋体"/>
          <w:kern w:val="0"/>
          <w:szCs w:val="21"/>
        </w:rPr>
        <w:t>3</w:t>
      </w:r>
      <w:r>
        <w:rPr>
          <w:rFonts w:hint="eastAsia" w:ascii="宋体"/>
          <w:kern w:val="0"/>
          <w:szCs w:val="21"/>
        </w:rPr>
        <w:t>）供应商资格不符合磋商文件要求的；</w:t>
      </w:r>
    </w:p>
    <w:p>
      <w:pPr>
        <w:snapToGrid w:val="0"/>
        <w:spacing w:line="360" w:lineRule="auto"/>
        <w:ind w:firstLine="420" w:firstLineChars="200"/>
        <w:rPr>
          <w:rFonts w:ascii="宋体"/>
          <w:kern w:val="0"/>
          <w:szCs w:val="21"/>
        </w:rPr>
      </w:pPr>
      <w:r>
        <w:rPr>
          <w:rFonts w:hint="eastAsia" w:ascii="宋体"/>
          <w:kern w:val="0"/>
          <w:szCs w:val="21"/>
        </w:rPr>
        <w:t>（4）未按磋商文件要求提交磋商保证金的；</w:t>
      </w:r>
    </w:p>
    <w:p>
      <w:pPr>
        <w:snapToGrid w:val="0"/>
        <w:spacing w:line="360" w:lineRule="auto"/>
        <w:ind w:firstLine="420" w:firstLineChars="200"/>
        <w:rPr>
          <w:rFonts w:ascii="宋体"/>
          <w:kern w:val="0"/>
          <w:szCs w:val="21"/>
        </w:rPr>
      </w:pPr>
      <w:r>
        <w:rPr>
          <w:rFonts w:hint="eastAsia" w:ascii="宋体"/>
          <w:kern w:val="0"/>
          <w:szCs w:val="21"/>
        </w:rPr>
        <w:t>（5）响应文件未按磋商文件签署条款要求签章的；</w:t>
      </w:r>
    </w:p>
    <w:p>
      <w:pPr>
        <w:snapToGrid w:val="0"/>
        <w:spacing w:line="360" w:lineRule="auto"/>
        <w:ind w:firstLine="420" w:firstLineChars="200"/>
        <w:rPr>
          <w:rFonts w:ascii="宋体"/>
          <w:kern w:val="0"/>
          <w:szCs w:val="21"/>
        </w:rPr>
      </w:pPr>
      <w:r>
        <w:rPr>
          <w:rFonts w:hint="eastAsia" w:ascii="宋体"/>
          <w:kern w:val="0"/>
          <w:szCs w:val="21"/>
        </w:rPr>
        <w:t>（6）响应文件的份数不符合磋商文件前附表要求的；</w:t>
      </w:r>
    </w:p>
    <w:p>
      <w:pPr>
        <w:snapToGrid w:val="0"/>
        <w:spacing w:line="360" w:lineRule="auto"/>
        <w:ind w:firstLine="420" w:firstLineChars="200"/>
        <w:rPr>
          <w:rFonts w:ascii="宋体"/>
          <w:kern w:val="0"/>
          <w:szCs w:val="21"/>
        </w:rPr>
      </w:pPr>
      <w:r>
        <w:rPr>
          <w:rFonts w:hint="eastAsia" w:ascii="宋体"/>
          <w:kern w:val="0"/>
          <w:szCs w:val="21"/>
        </w:rPr>
        <w:t>（7）响应文件未按磋商文件要求编制或字迹模糊、辨认不清的；</w:t>
      </w:r>
    </w:p>
    <w:p>
      <w:pPr>
        <w:snapToGrid w:val="0"/>
        <w:spacing w:line="360" w:lineRule="auto"/>
        <w:ind w:firstLine="420" w:firstLineChars="200"/>
        <w:rPr>
          <w:rFonts w:ascii="宋体"/>
          <w:kern w:val="0"/>
          <w:szCs w:val="21"/>
        </w:rPr>
      </w:pPr>
      <w:r>
        <w:rPr>
          <w:rFonts w:hint="eastAsia" w:ascii="宋体"/>
          <w:kern w:val="0"/>
          <w:szCs w:val="21"/>
        </w:rPr>
        <w:t>（8）不符合磋商文件的实质性要求的；</w:t>
      </w:r>
    </w:p>
    <w:p>
      <w:pPr>
        <w:snapToGrid w:val="0"/>
        <w:spacing w:line="360" w:lineRule="auto"/>
        <w:ind w:firstLine="420" w:firstLineChars="200"/>
        <w:rPr>
          <w:rFonts w:ascii="宋体"/>
          <w:kern w:val="0"/>
          <w:szCs w:val="21"/>
        </w:rPr>
      </w:pPr>
      <w:r>
        <w:rPr>
          <w:rFonts w:hint="eastAsia" w:ascii="宋体"/>
          <w:kern w:val="0"/>
          <w:szCs w:val="21"/>
        </w:rPr>
        <w:t>（9）法律法规有规定的。</w:t>
      </w:r>
    </w:p>
    <w:p>
      <w:pPr>
        <w:snapToGrid w:val="0"/>
        <w:spacing w:line="360" w:lineRule="auto"/>
        <w:ind w:firstLine="422" w:firstLineChars="200"/>
        <w:rPr>
          <w:rFonts w:ascii="宋体"/>
          <w:b/>
          <w:kern w:val="0"/>
          <w:szCs w:val="21"/>
        </w:rPr>
      </w:pPr>
      <w:r>
        <w:rPr>
          <w:rFonts w:hint="eastAsia" w:ascii="宋体"/>
          <w:b/>
          <w:kern w:val="0"/>
          <w:szCs w:val="21"/>
        </w:rPr>
        <w:t>4.2响应文件有下列情形之一的，经磋商小组详细评审后认定该响应文件对磋商文件要求存在重大偏离的，则该响应文件按无效标处理：</w:t>
      </w:r>
    </w:p>
    <w:p>
      <w:pPr>
        <w:snapToGrid w:val="0"/>
        <w:spacing w:line="360" w:lineRule="auto"/>
        <w:ind w:firstLine="420" w:firstLineChars="200"/>
        <w:rPr>
          <w:rFonts w:ascii="宋体"/>
          <w:kern w:val="0"/>
          <w:szCs w:val="21"/>
        </w:rPr>
      </w:pPr>
      <w:r>
        <w:rPr>
          <w:rFonts w:hint="eastAsia" w:ascii="宋体"/>
          <w:kern w:val="0"/>
          <w:szCs w:val="21"/>
        </w:rPr>
        <w:t>（1）技术文件评审中规定作无效标的；</w:t>
      </w:r>
    </w:p>
    <w:p>
      <w:pPr>
        <w:snapToGrid w:val="0"/>
        <w:spacing w:line="360" w:lineRule="auto"/>
        <w:ind w:firstLine="420" w:firstLineChars="200"/>
        <w:rPr>
          <w:rFonts w:ascii="宋体"/>
          <w:kern w:val="0"/>
          <w:szCs w:val="21"/>
        </w:rPr>
      </w:pPr>
      <w:r>
        <w:rPr>
          <w:rFonts w:hint="eastAsia" w:ascii="宋体"/>
          <w:kern w:val="0"/>
          <w:szCs w:val="21"/>
        </w:rPr>
        <w:t>（2）经报价文件差错修正后，属磋商文件报价要求中规定无效标的；</w:t>
      </w:r>
    </w:p>
    <w:p>
      <w:pPr>
        <w:snapToGrid w:val="0"/>
        <w:spacing w:line="360" w:lineRule="auto"/>
        <w:ind w:firstLine="420" w:firstLineChars="200"/>
        <w:rPr>
          <w:rFonts w:ascii="宋体"/>
          <w:kern w:val="0"/>
          <w:szCs w:val="21"/>
        </w:rPr>
      </w:pPr>
      <w:r>
        <w:rPr>
          <w:rFonts w:hint="eastAsia" w:ascii="宋体"/>
          <w:kern w:val="0"/>
          <w:szCs w:val="21"/>
        </w:rPr>
        <w:t>（3）磋商文件中其他内容明确规定作无效标的。</w:t>
      </w:r>
    </w:p>
    <w:p>
      <w:pPr>
        <w:snapToGrid w:val="0"/>
        <w:spacing w:line="360" w:lineRule="auto"/>
        <w:ind w:firstLine="422" w:firstLineChars="200"/>
        <w:rPr>
          <w:rFonts w:ascii="宋体"/>
          <w:b/>
          <w:kern w:val="0"/>
          <w:szCs w:val="21"/>
        </w:rPr>
      </w:pPr>
      <w:r>
        <w:rPr>
          <w:rFonts w:hint="eastAsia" w:ascii="宋体"/>
          <w:b/>
          <w:kern w:val="0"/>
          <w:szCs w:val="21"/>
        </w:rPr>
        <w:t>4.3磋商小组在评审过程中发现供应商的响应文件存在以下情形之一的，应当向供应商质询，如供应商拒绝说明或不能合理说明理由的，则磋商小组应认定该供应商,有串通投标的嫌疑，其响应文件按无效标处理：</w:t>
      </w:r>
    </w:p>
    <w:p>
      <w:pPr>
        <w:snapToGrid w:val="0"/>
        <w:spacing w:line="360" w:lineRule="auto"/>
        <w:ind w:firstLine="420" w:firstLineChars="200"/>
        <w:rPr>
          <w:rFonts w:ascii="宋体"/>
          <w:kern w:val="0"/>
          <w:szCs w:val="21"/>
        </w:rPr>
      </w:pPr>
      <w:r>
        <w:rPr>
          <w:rFonts w:hint="eastAsia" w:ascii="宋体"/>
          <w:kern w:val="0"/>
          <w:szCs w:val="21"/>
        </w:rPr>
        <w:t>（1）响应文件内容存在错漏之处一致或异常雷同现象；</w:t>
      </w:r>
    </w:p>
    <w:p>
      <w:pPr>
        <w:snapToGrid w:val="0"/>
        <w:spacing w:line="360" w:lineRule="auto"/>
        <w:ind w:firstLine="420" w:firstLineChars="200"/>
        <w:rPr>
          <w:rFonts w:ascii="宋体"/>
          <w:kern w:val="0"/>
          <w:szCs w:val="21"/>
        </w:rPr>
      </w:pPr>
      <w:r>
        <w:rPr>
          <w:rFonts w:hint="eastAsia" w:ascii="宋体"/>
          <w:kern w:val="0"/>
          <w:szCs w:val="21"/>
        </w:rPr>
        <w:t>（2）响应文件由同一单位或同一人编制；</w:t>
      </w:r>
    </w:p>
    <w:p>
      <w:pPr>
        <w:snapToGrid w:val="0"/>
        <w:spacing w:line="360" w:lineRule="auto"/>
        <w:ind w:firstLine="420" w:firstLineChars="200"/>
        <w:rPr>
          <w:rFonts w:ascii="宋体"/>
          <w:kern w:val="0"/>
          <w:szCs w:val="21"/>
        </w:rPr>
      </w:pPr>
      <w:r>
        <w:rPr>
          <w:rFonts w:hint="eastAsia" w:ascii="宋体"/>
          <w:kern w:val="0"/>
          <w:szCs w:val="21"/>
        </w:rPr>
        <w:t>（3）响应文件由同一台电脑编制或同一附属设备打印；</w:t>
      </w:r>
    </w:p>
    <w:p>
      <w:pPr>
        <w:snapToGrid w:val="0"/>
        <w:spacing w:line="360" w:lineRule="auto"/>
        <w:ind w:firstLine="420" w:firstLineChars="200"/>
        <w:rPr>
          <w:rFonts w:ascii="宋体"/>
          <w:kern w:val="0"/>
          <w:szCs w:val="21"/>
        </w:rPr>
      </w:pPr>
      <w:r>
        <w:rPr>
          <w:rFonts w:hint="eastAsia" w:ascii="宋体"/>
          <w:kern w:val="0"/>
          <w:szCs w:val="21"/>
        </w:rPr>
        <w:t>（4）报价涉嫌故意拉高或压低报价。</w:t>
      </w:r>
    </w:p>
    <w:p>
      <w:pPr>
        <w:snapToGrid w:val="0"/>
        <w:spacing w:line="360" w:lineRule="auto"/>
        <w:ind w:firstLine="420" w:firstLineChars="200"/>
        <w:rPr>
          <w:rFonts w:ascii="宋体"/>
          <w:kern w:val="0"/>
          <w:szCs w:val="21"/>
        </w:rPr>
      </w:pPr>
      <w:r>
        <w:rPr>
          <w:rFonts w:hint="eastAsia" w:ascii="宋体"/>
          <w:kern w:val="0"/>
          <w:szCs w:val="21"/>
        </w:rPr>
        <w:t>所有投标被否决的，则本次磋商失败，重新组织磋商。</w:t>
      </w:r>
    </w:p>
    <w:p>
      <w:pPr>
        <w:snapToGrid w:val="0"/>
        <w:spacing w:line="360" w:lineRule="auto"/>
        <w:ind w:firstLine="420" w:firstLineChars="200"/>
        <w:rPr>
          <w:rFonts w:ascii="宋体"/>
          <w:kern w:val="0"/>
          <w:szCs w:val="21"/>
        </w:rPr>
      </w:pPr>
      <w:bookmarkStart w:id="59" w:name="_Toc277661828"/>
      <w:bookmarkStart w:id="60" w:name="_Toc466988661"/>
      <w:bookmarkStart w:id="61" w:name="_Toc230684622"/>
      <w:r>
        <w:rPr>
          <w:rFonts w:hint="eastAsia" w:ascii="宋体"/>
          <w:kern w:val="0"/>
          <w:szCs w:val="21"/>
        </w:rPr>
        <w:t>5.评审原则及评审办法</w:t>
      </w:r>
      <w:bookmarkEnd w:id="59"/>
      <w:bookmarkEnd w:id="60"/>
      <w:bookmarkEnd w:id="61"/>
    </w:p>
    <w:p>
      <w:pPr>
        <w:snapToGrid w:val="0"/>
        <w:spacing w:line="360" w:lineRule="auto"/>
        <w:ind w:firstLine="420" w:firstLineChars="200"/>
        <w:rPr>
          <w:rFonts w:ascii="宋体"/>
          <w:kern w:val="0"/>
          <w:szCs w:val="21"/>
        </w:rPr>
      </w:pPr>
      <w:r>
        <w:rPr>
          <w:rFonts w:hint="eastAsia" w:ascii="宋体"/>
          <w:kern w:val="0"/>
          <w:szCs w:val="21"/>
        </w:rPr>
        <w:t>5.1评审原则。磋商小组必须公平、公正、客观，不带任何倾向性和启发性；不得向外界透露任何与评审有关的内容；任何单位和个人不得干扰、影响评审的正常进行；磋商小组及有关工作人员不得私下与供应商接触。</w:t>
      </w:r>
    </w:p>
    <w:p>
      <w:pPr>
        <w:snapToGrid w:val="0"/>
        <w:spacing w:line="360" w:lineRule="auto"/>
        <w:ind w:firstLine="420" w:firstLineChars="200"/>
        <w:rPr>
          <w:rFonts w:ascii="宋体"/>
          <w:kern w:val="0"/>
          <w:szCs w:val="21"/>
        </w:rPr>
      </w:pPr>
      <w:r>
        <w:rPr>
          <w:rFonts w:hint="eastAsia" w:ascii="宋体"/>
          <w:kern w:val="0"/>
          <w:szCs w:val="21"/>
        </w:rPr>
        <w:t>5.2评审办法。本项目具体评审内容及评分标准等详见《第四章：评审办法及评审标准》。</w:t>
      </w:r>
    </w:p>
    <w:p>
      <w:pPr>
        <w:snapToGrid w:val="0"/>
        <w:spacing w:line="360" w:lineRule="auto"/>
        <w:ind w:firstLine="420" w:firstLineChars="200"/>
        <w:rPr>
          <w:rFonts w:ascii="宋体"/>
          <w:kern w:val="0"/>
          <w:szCs w:val="21"/>
        </w:rPr>
      </w:pPr>
      <w:r>
        <w:rPr>
          <w:rFonts w:hint="eastAsia" w:ascii="宋体"/>
          <w:kern w:val="0"/>
          <w:szCs w:val="21"/>
        </w:rPr>
        <w:t>（一）磋商开始前，磋商小组对各供应商的技术资信文件和报价文件进行评审，评审合格的供应商进入谈判。</w:t>
      </w:r>
    </w:p>
    <w:p>
      <w:pPr>
        <w:snapToGrid w:val="0"/>
        <w:spacing w:line="360" w:lineRule="auto"/>
        <w:ind w:firstLine="420" w:firstLineChars="200"/>
        <w:rPr>
          <w:rFonts w:ascii="宋体"/>
          <w:kern w:val="0"/>
          <w:szCs w:val="21"/>
        </w:rPr>
      </w:pPr>
      <w:bookmarkStart w:id="62" w:name="_Toc213822540"/>
      <w:r>
        <w:rPr>
          <w:rFonts w:hint="eastAsia" w:ascii="宋体"/>
          <w:kern w:val="0"/>
          <w:szCs w:val="21"/>
        </w:rPr>
        <w:t>（二）磋商的顺序，由采购方在谈判开始前对合格供应商进行抽签或按签到序号进行。供应商在磋商截止时间前递交的报价文件作为首次报价，首次报价不公开。</w:t>
      </w:r>
    </w:p>
    <w:p>
      <w:pPr>
        <w:snapToGrid w:val="0"/>
        <w:spacing w:line="360" w:lineRule="auto"/>
        <w:ind w:firstLine="420" w:firstLineChars="200"/>
        <w:rPr>
          <w:rFonts w:ascii="宋体"/>
          <w:kern w:val="0"/>
          <w:szCs w:val="21"/>
        </w:rPr>
      </w:pPr>
      <w:r>
        <w:rPr>
          <w:rFonts w:hint="eastAsia" w:ascii="宋体"/>
          <w:kern w:val="0"/>
          <w:szCs w:val="21"/>
        </w:rPr>
        <w:t>（三）开展谈判，磋商小组所有成员集中与单一供应商分别进行谈判。供应商应由法人代表或法人代表授权的人进行谈判，谈判的内容主要有服务的技术要求、价格、售后服务、合同草案，包括当事人的权利和义务、履约期限和方式、资金支付要求、验收标准等。供应商所作的重要答复均应以书面形式，并经法定代表人或授权人签署，作为谈判文件的一部分，对磋商供应商有约束力，但不得对内容进行实质性修改。在磋商中，磋商的任何一方不得透露与磋商有关的其他供应商的技术资料、价格和其他信息。</w:t>
      </w:r>
    </w:p>
    <w:p>
      <w:pPr>
        <w:snapToGrid w:val="0"/>
        <w:spacing w:line="360" w:lineRule="auto"/>
        <w:ind w:firstLine="420" w:firstLineChars="200"/>
        <w:rPr>
          <w:rFonts w:ascii="宋体"/>
          <w:kern w:val="0"/>
          <w:szCs w:val="21"/>
        </w:rPr>
      </w:pPr>
      <w:r>
        <w:rPr>
          <w:rFonts w:hint="eastAsia" w:ascii="宋体"/>
          <w:kern w:val="0"/>
          <w:szCs w:val="21"/>
        </w:rPr>
        <w:t>（四）在磋商小组与各磋商供应商进行了相同轮次的谈判后（本次磋商共1轮），为了更好地实现采购目标，磋商小组可以适当调整磋商文件，但涉及实质性变动的，以书面形式通知所有参加磋商的供应商。</w:t>
      </w:r>
    </w:p>
    <w:p>
      <w:pPr>
        <w:snapToGrid w:val="0"/>
        <w:spacing w:line="360" w:lineRule="auto"/>
        <w:ind w:firstLine="420" w:firstLineChars="200"/>
        <w:rPr>
          <w:rFonts w:ascii="宋体"/>
          <w:kern w:val="0"/>
          <w:szCs w:val="21"/>
        </w:rPr>
      </w:pPr>
      <w:r>
        <w:rPr>
          <w:rFonts w:hint="eastAsia" w:ascii="宋体"/>
          <w:kern w:val="0"/>
          <w:szCs w:val="21"/>
        </w:rPr>
        <w:t>（五）磋商小组在磋商结束后，要求所有参加磋商的供应商在规定时间内报出最终价格，超过规定时间提交的报价作无效处理。最终报价应低于首次报价（磋商内容有调整除外），在最终报价开启前公布有效报价上限，超出上限的按无效标处理。如供应商最终报价均超过上限的，则本项目谈判失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outlineLvl w:val="1"/>
        <w:rPr>
          <w:rFonts w:ascii="宋体"/>
          <w:b/>
          <w:kern w:val="0"/>
          <w:sz w:val="24"/>
        </w:rPr>
      </w:pPr>
      <w:bookmarkStart w:id="63" w:name="_Toc19595"/>
      <w:r>
        <w:rPr>
          <w:rFonts w:hint="eastAsia" w:ascii="宋体"/>
          <w:b/>
          <w:kern w:val="0"/>
          <w:sz w:val="24"/>
        </w:rPr>
        <w:t>七、定标</w:t>
      </w:r>
      <w:bookmarkEnd w:id="63"/>
    </w:p>
    <w:p>
      <w:pPr>
        <w:spacing w:line="360" w:lineRule="auto"/>
        <w:ind w:firstLine="420" w:firstLineChars="200"/>
        <w:rPr>
          <w:rFonts w:ascii="宋体"/>
          <w:kern w:val="0"/>
          <w:szCs w:val="21"/>
        </w:rPr>
      </w:pPr>
      <w:r>
        <w:rPr>
          <w:rFonts w:hint="eastAsia" w:ascii="宋体"/>
          <w:kern w:val="0"/>
          <w:szCs w:val="21"/>
        </w:rPr>
        <w:t>1.采购代理机构在评审结束之日起2个工作日内将评审报告送交采购人，采购人自收到评审报告之日起5个工作日内在评审报告推荐的中标候选人中按顺序确定中标供应商。</w:t>
      </w:r>
    </w:p>
    <w:p>
      <w:pPr>
        <w:spacing w:line="360" w:lineRule="auto"/>
        <w:ind w:firstLine="420" w:firstLineChars="200"/>
        <w:rPr>
          <w:rFonts w:ascii="宋体"/>
          <w:kern w:val="0"/>
          <w:szCs w:val="21"/>
        </w:rPr>
      </w:pPr>
      <w:r>
        <w:rPr>
          <w:rFonts w:hint="eastAsia" w:ascii="宋体"/>
          <w:kern w:val="0"/>
          <w:szCs w:val="21"/>
        </w:rPr>
        <w:t>2.采购代理机构将在中标结果公告中附中标通知书，视同向中标供应商发出中标通知书，同时中标供应商应在中标结果公告发布后签订合同前，赴采购代理机构项目负责人处领取中标通知书。</w:t>
      </w:r>
    </w:p>
    <w:p>
      <w:pPr>
        <w:spacing w:line="360" w:lineRule="auto"/>
        <w:ind w:firstLine="420" w:firstLineChars="200"/>
        <w:rPr>
          <w:rFonts w:ascii="宋体"/>
          <w:b/>
          <w:kern w:val="0"/>
          <w:sz w:val="24"/>
        </w:rPr>
      </w:pPr>
      <w:r>
        <w:rPr>
          <w:rFonts w:hint="eastAsia" w:ascii="宋体"/>
          <w:kern w:val="0"/>
          <w:szCs w:val="21"/>
        </w:rPr>
        <w:t>3.中标通知书发出之日起至合同签订前，中标供应商不得开展项目实质性工作（如订货、施工等）。否则，造成的有关损失由中标供应商自行承担。</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outlineLvl w:val="1"/>
        <w:rPr>
          <w:rFonts w:ascii="宋体"/>
          <w:b/>
          <w:kern w:val="0"/>
          <w:sz w:val="24"/>
        </w:rPr>
      </w:pPr>
      <w:bookmarkStart w:id="64" w:name="_Toc360715529"/>
      <w:bookmarkStart w:id="65" w:name="_Toc6008"/>
      <w:r>
        <w:rPr>
          <w:rFonts w:hint="eastAsia" w:ascii="宋体"/>
          <w:b/>
          <w:kern w:val="0"/>
          <w:sz w:val="24"/>
        </w:rPr>
        <w:t>八、授予合同</w:t>
      </w:r>
      <w:bookmarkEnd w:id="62"/>
      <w:bookmarkEnd w:id="64"/>
      <w:bookmarkEnd w:id="65"/>
    </w:p>
    <w:p>
      <w:pPr>
        <w:snapToGrid w:val="0"/>
        <w:spacing w:line="360" w:lineRule="auto"/>
        <w:ind w:firstLine="420" w:firstLineChars="200"/>
        <w:rPr>
          <w:rFonts w:ascii="宋体"/>
          <w:kern w:val="0"/>
          <w:szCs w:val="21"/>
        </w:rPr>
      </w:pPr>
      <w:bookmarkStart w:id="66" w:name="_Toc213822541"/>
      <w:bookmarkStart w:id="67" w:name="_Toc360715530"/>
      <w:r>
        <w:rPr>
          <w:rFonts w:hint="eastAsia" w:ascii="宋体"/>
          <w:kern w:val="0"/>
          <w:szCs w:val="21"/>
        </w:rPr>
        <w:t>1、中标通知书</w:t>
      </w:r>
      <w:bookmarkEnd w:id="66"/>
      <w:bookmarkEnd w:id="67"/>
    </w:p>
    <w:p>
      <w:pPr>
        <w:snapToGrid w:val="0"/>
        <w:spacing w:line="360" w:lineRule="auto"/>
        <w:ind w:firstLine="420" w:firstLineChars="200"/>
        <w:rPr>
          <w:rFonts w:ascii="宋体"/>
          <w:kern w:val="0"/>
          <w:szCs w:val="21"/>
        </w:rPr>
      </w:pPr>
      <w:r>
        <w:rPr>
          <w:rFonts w:hint="eastAsia" w:ascii="宋体"/>
          <w:kern w:val="0"/>
          <w:szCs w:val="21"/>
        </w:rPr>
        <w:t>（1）采购人根据评标结果，按照《中华人民共和国招标投标法》的要求，成交供应商应当在三门县公共资源交易中心接受公示。</w:t>
      </w:r>
    </w:p>
    <w:p>
      <w:pPr>
        <w:snapToGrid w:val="0"/>
        <w:spacing w:line="360" w:lineRule="auto"/>
        <w:ind w:firstLine="420" w:firstLineChars="200"/>
        <w:rPr>
          <w:rFonts w:ascii="宋体"/>
          <w:kern w:val="0"/>
          <w:szCs w:val="21"/>
        </w:rPr>
      </w:pPr>
      <w:r>
        <w:rPr>
          <w:rFonts w:hint="eastAsia" w:ascii="宋体"/>
          <w:kern w:val="0"/>
          <w:szCs w:val="21"/>
        </w:rPr>
        <w:t>（2）成交供应商因不可抗力或者自身原因不能履行采购合同的，或者因其他情形造成其资格无效的，本次磋商失败，重新组织招标。</w:t>
      </w:r>
    </w:p>
    <w:p>
      <w:pPr>
        <w:snapToGrid w:val="0"/>
        <w:spacing w:line="360" w:lineRule="auto"/>
        <w:ind w:firstLine="420" w:firstLineChars="200"/>
        <w:rPr>
          <w:rFonts w:ascii="宋体"/>
          <w:kern w:val="0"/>
          <w:szCs w:val="21"/>
        </w:rPr>
      </w:pPr>
      <w:r>
        <w:rPr>
          <w:rFonts w:hint="eastAsia" w:ascii="宋体"/>
          <w:kern w:val="0"/>
          <w:szCs w:val="21"/>
        </w:rPr>
        <w:t>（3）采购人向中标人发出中标通知书，同时将中标结果在三门县公共资源交易中心网站和浙江政府采购网上发布，不再另行书面通知未中标的投标人。</w:t>
      </w:r>
    </w:p>
    <w:p>
      <w:pPr>
        <w:snapToGrid w:val="0"/>
        <w:spacing w:line="360" w:lineRule="auto"/>
        <w:ind w:firstLine="420" w:firstLineChars="200"/>
        <w:rPr>
          <w:rFonts w:ascii="宋体"/>
          <w:kern w:val="0"/>
          <w:szCs w:val="21"/>
        </w:rPr>
      </w:pPr>
      <w:r>
        <w:rPr>
          <w:rFonts w:hint="eastAsia" w:ascii="宋体"/>
          <w:kern w:val="0"/>
          <w:szCs w:val="21"/>
        </w:rPr>
        <w:t>（4）中标通知书对采购人和中标人具有法律约束力。中标通知书发出后，采购人改变中标结果或者中标人放弃中标的，应当承担法律责任。</w:t>
      </w:r>
    </w:p>
    <w:p>
      <w:pPr>
        <w:snapToGrid w:val="0"/>
        <w:spacing w:line="360" w:lineRule="auto"/>
        <w:ind w:firstLine="420" w:firstLineChars="200"/>
        <w:rPr>
          <w:rFonts w:ascii="宋体"/>
          <w:kern w:val="0"/>
          <w:szCs w:val="21"/>
        </w:rPr>
      </w:pPr>
      <w:bookmarkStart w:id="68" w:name="_Toc213822542"/>
      <w:bookmarkStart w:id="69" w:name="_Toc360715531"/>
      <w:r>
        <w:rPr>
          <w:rFonts w:hint="eastAsia" w:ascii="宋体"/>
          <w:kern w:val="0"/>
          <w:szCs w:val="21"/>
        </w:rPr>
        <w:t>2、合同签订</w:t>
      </w:r>
      <w:bookmarkEnd w:id="68"/>
      <w:bookmarkEnd w:id="69"/>
    </w:p>
    <w:p>
      <w:pPr>
        <w:snapToGrid w:val="0"/>
        <w:spacing w:line="360" w:lineRule="auto"/>
        <w:ind w:firstLine="420" w:firstLineChars="200"/>
        <w:rPr>
          <w:rFonts w:ascii="宋体"/>
          <w:kern w:val="0"/>
          <w:szCs w:val="21"/>
        </w:rPr>
      </w:pPr>
      <w:r>
        <w:rPr>
          <w:rFonts w:hint="eastAsia" w:ascii="宋体"/>
          <w:kern w:val="0"/>
          <w:szCs w:val="21"/>
        </w:rPr>
        <w:t>（</w:t>
      </w:r>
      <w:r>
        <w:rPr>
          <w:rFonts w:ascii="宋体"/>
          <w:kern w:val="0"/>
          <w:szCs w:val="21"/>
        </w:rPr>
        <w:t>1</w:t>
      </w:r>
      <w:r>
        <w:rPr>
          <w:rFonts w:hint="eastAsia" w:ascii="宋体"/>
          <w:kern w:val="0"/>
          <w:szCs w:val="21"/>
        </w:rPr>
        <w:t>）自中标通知书发出之日起10个日历天内，采购方应当与成交供应商按照磋商文件和成交供应商的磋商响应文件订立书面合同。采购方与成交供应商不得再行订立背离合同实质性内容的其他协议。</w:t>
      </w:r>
    </w:p>
    <w:p>
      <w:pPr>
        <w:snapToGrid w:val="0"/>
        <w:spacing w:line="360" w:lineRule="auto"/>
        <w:ind w:firstLine="420" w:firstLineChars="200"/>
        <w:rPr>
          <w:rFonts w:ascii="宋体"/>
          <w:kern w:val="0"/>
          <w:szCs w:val="21"/>
        </w:rPr>
      </w:pPr>
      <w:r>
        <w:rPr>
          <w:rFonts w:hint="eastAsia" w:ascii="宋体"/>
          <w:kern w:val="0"/>
          <w:szCs w:val="21"/>
        </w:rPr>
        <w:t>（</w:t>
      </w:r>
      <w:r>
        <w:rPr>
          <w:rFonts w:ascii="宋体"/>
          <w:kern w:val="0"/>
          <w:szCs w:val="21"/>
        </w:rPr>
        <w:t>2</w:t>
      </w:r>
      <w:r>
        <w:rPr>
          <w:rFonts w:hint="eastAsia" w:ascii="宋体"/>
          <w:kern w:val="0"/>
          <w:szCs w:val="21"/>
        </w:rPr>
        <w:t>）采购方与成交供应商须根据国家、省、市有关合同管理的规定及磋商文件、磋商响应文件，草签合同，正式签订承包合同，并报送有关部门鉴证。</w:t>
      </w:r>
    </w:p>
    <w:p>
      <w:pPr>
        <w:snapToGrid w:val="0"/>
        <w:spacing w:line="360" w:lineRule="auto"/>
        <w:ind w:firstLine="420" w:firstLineChars="200"/>
        <w:rPr>
          <w:rFonts w:ascii="宋体"/>
          <w:kern w:val="0"/>
          <w:szCs w:val="21"/>
        </w:rPr>
      </w:pPr>
      <w:bookmarkStart w:id="70" w:name="_Toc213822543"/>
      <w:bookmarkStart w:id="71" w:name="_Toc360715532"/>
      <w:r>
        <w:rPr>
          <w:rFonts w:hint="eastAsia" w:ascii="宋体"/>
          <w:kern w:val="0"/>
          <w:szCs w:val="21"/>
        </w:rPr>
        <w:t>3、履约保证金</w:t>
      </w:r>
      <w:bookmarkEnd w:id="70"/>
      <w:bookmarkEnd w:id="71"/>
    </w:p>
    <w:p>
      <w:pPr>
        <w:snapToGrid w:val="0"/>
        <w:spacing w:line="360" w:lineRule="auto"/>
        <w:ind w:firstLine="420" w:firstLineChars="200"/>
        <w:rPr>
          <w:rFonts w:ascii="宋体"/>
          <w:kern w:val="0"/>
          <w:szCs w:val="21"/>
        </w:rPr>
      </w:pPr>
      <w:r>
        <w:rPr>
          <w:rFonts w:hint="eastAsia" w:ascii="宋体"/>
          <w:kern w:val="0"/>
          <w:szCs w:val="21"/>
        </w:rPr>
        <w:t>（1）成交供应商应在签定合同之前</w:t>
      </w:r>
      <w:r>
        <w:rPr>
          <w:rFonts w:ascii="宋体"/>
          <w:kern w:val="0"/>
          <w:szCs w:val="21"/>
        </w:rPr>
        <w:t>,</w:t>
      </w:r>
      <w:r>
        <w:rPr>
          <w:rFonts w:hint="eastAsia" w:ascii="宋体"/>
          <w:kern w:val="0"/>
          <w:szCs w:val="21"/>
        </w:rPr>
        <w:t>将履约保证金按本谈判文件规定汇入三门县创建办，如成交供应商不及时提交履约保证金或不按时与采购方签订合同，采购方将有充分理由废除授标，并没收其投标保证金。</w:t>
      </w:r>
    </w:p>
    <w:p>
      <w:pPr>
        <w:snapToGrid w:val="0"/>
        <w:spacing w:line="360" w:lineRule="auto"/>
        <w:ind w:firstLine="420" w:firstLineChars="200"/>
        <w:rPr>
          <w:rFonts w:ascii="宋体"/>
          <w:kern w:val="0"/>
          <w:szCs w:val="21"/>
        </w:rPr>
      </w:pPr>
      <w:r>
        <w:rPr>
          <w:rFonts w:hint="eastAsia" w:ascii="宋体"/>
          <w:kern w:val="0"/>
          <w:szCs w:val="21"/>
        </w:rPr>
        <w:t>（2）签订合同后，如成交供应商不按双方签订合同约定履约，则没收其全部履约保证金，履约保证金不足以赔偿损失的，按实际损失赔偿。</w:t>
      </w:r>
    </w:p>
    <w:p>
      <w:pPr>
        <w:tabs>
          <w:tab w:val="left" w:pos="8280"/>
        </w:tabs>
        <w:autoSpaceDE w:val="0"/>
        <w:autoSpaceDN w:val="0"/>
        <w:adjustRightInd w:val="0"/>
        <w:spacing w:line="360" w:lineRule="auto"/>
        <w:ind w:right="25" w:firstLine="614"/>
        <w:rPr>
          <w:rFonts w:ascii="宋体"/>
          <w:b/>
          <w:kern w:val="0"/>
          <w:sz w:val="24"/>
        </w:rPr>
      </w:pPr>
    </w:p>
    <w:p>
      <w:pPr>
        <w:pStyle w:val="3"/>
        <w:numPr>
          <w:ilvl w:val="0"/>
          <w:numId w:val="0"/>
        </w:numPr>
        <w:spacing w:before="120" w:after="120" w:line="360" w:lineRule="exact"/>
        <w:jc w:val="center"/>
        <w:rPr>
          <w:kern w:val="2"/>
          <w:sz w:val="24"/>
        </w:rPr>
      </w:pPr>
      <w:r>
        <w:rPr>
          <w:rFonts w:ascii="宋体"/>
          <w:b w:val="0"/>
          <w:kern w:val="0"/>
          <w:sz w:val="24"/>
        </w:rPr>
        <w:br w:type="page"/>
      </w:r>
      <w:bookmarkStart w:id="72" w:name="_Toc1269"/>
      <w:r>
        <w:rPr>
          <w:rFonts w:hint="eastAsia" w:ascii="黑体" w:hAnsi="宋体" w:eastAsia="黑体"/>
          <w:b w:val="0"/>
          <w:bCs/>
          <w:sz w:val="36"/>
          <w:szCs w:val="36"/>
        </w:rPr>
        <w:t>第四章  评审办法及评审标准</w:t>
      </w:r>
      <w:bookmarkEnd w:id="72"/>
    </w:p>
    <w:p>
      <w:pPr>
        <w:spacing w:line="360" w:lineRule="auto"/>
        <w:rPr>
          <w:b/>
          <w:lang w:val="zh-CN"/>
        </w:rPr>
      </w:pPr>
      <w:bookmarkStart w:id="73" w:name="_Toc466988668"/>
      <w:r>
        <w:rPr>
          <w:rFonts w:hint="eastAsia"/>
          <w:b/>
          <w:lang w:val="zh-CN"/>
        </w:rPr>
        <w:t>一、评审原则</w:t>
      </w:r>
      <w:bookmarkEnd w:id="73"/>
    </w:p>
    <w:p>
      <w:pPr>
        <w:pStyle w:val="5"/>
        <w:spacing w:line="360" w:lineRule="auto"/>
        <w:ind w:firstLineChars="200"/>
        <w:rPr>
          <w:rFonts w:ascii="宋体" w:hAnsi="宋体" w:cs="Courier New"/>
          <w:lang w:val="zh-CN"/>
        </w:rPr>
      </w:pPr>
      <w:r>
        <w:rPr>
          <w:rFonts w:hint="eastAsia" w:ascii="宋体" w:hAnsi="宋体" w:cs="Courier New"/>
          <w:lang w:val="zh-CN"/>
        </w:rPr>
        <w:t>磋商小组将遵循公开、公平、公正的原则。</w:t>
      </w:r>
    </w:p>
    <w:p>
      <w:pPr>
        <w:spacing w:line="360" w:lineRule="auto"/>
        <w:rPr>
          <w:b/>
          <w:lang w:val="zh-CN"/>
        </w:rPr>
      </w:pPr>
      <w:bookmarkStart w:id="74" w:name="_Toc466988669"/>
      <w:bookmarkStart w:id="75" w:name="_Toc212690710"/>
      <w:bookmarkStart w:id="76" w:name="_Toc225650482"/>
      <w:r>
        <w:rPr>
          <w:rFonts w:hint="eastAsia"/>
          <w:b/>
          <w:lang w:val="zh-CN"/>
        </w:rPr>
        <w:t>二、评审组织</w:t>
      </w:r>
      <w:bookmarkEnd w:id="74"/>
    </w:p>
    <w:p>
      <w:pPr>
        <w:pStyle w:val="5"/>
        <w:spacing w:line="360" w:lineRule="auto"/>
        <w:ind w:firstLineChars="200"/>
        <w:rPr>
          <w:rFonts w:ascii="宋体" w:hAnsi="宋体" w:cs="Courier New"/>
          <w:lang w:val="zh-CN"/>
        </w:rPr>
      </w:pPr>
      <w:r>
        <w:rPr>
          <w:rFonts w:hint="eastAsia" w:ascii="宋体" w:hAnsi="宋体" w:cs="Courier New"/>
          <w:lang w:val="zh-CN"/>
        </w:rPr>
        <w:t>磋商小组由采购人代表和评审专家共3人以上单数组成，其中评审专家人数不得少于磋商小组成员总数的2/3。采购人代表不得以评审专家身份参加本部门或本单位采购项目的评审。采购代理机构不得参加本机构代理的采购项目评审。</w:t>
      </w:r>
    </w:p>
    <w:p>
      <w:pPr>
        <w:spacing w:line="360" w:lineRule="auto"/>
        <w:rPr>
          <w:b/>
          <w:lang w:val="zh-CN"/>
        </w:rPr>
      </w:pPr>
      <w:bookmarkStart w:id="77" w:name="_Toc466988670"/>
      <w:r>
        <w:rPr>
          <w:rFonts w:hint="eastAsia"/>
          <w:b/>
          <w:lang w:val="zh-CN"/>
        </w:rPr>
        <w:t>三、评审内容及标准</w:t>
      </w:r>
      <w:bookmarkEnd w:id="77"/>
    </w:p>
    <w:bookmarkEnd w:id="75"/>
    <w:bookmarkEnd w:id="76"/>
    <w:p>
      <w:pPr>
        <w:spacing w:line="360" w:lineRule="auto"/>
        <w:ind w:firstLine="420" w:firstLineChars="200"/>
        <w:rPr>
          <w:lang w:val="zh-CN"/>
        </w:rPr>
      </w:pPr>
      <w:bookmarkStart w:id="78" w:name="_Toc466988671"/>
      <w:r>
        <w:rPr>
          <w:rFonts w:hint="eastAsia"/>
          <w:lang w:val="zh-CN"/>
        </w:rPr>
        <w:t>1.评标顺序</w:t>
      </w:r>
      <w:bookmarkEnd w:id="78"/>
    </w:p>
    <w:p>
      <w:pPr>
        <w:spacing w:line="360" w:lineRule="auto"/>
        <w:ind w:firstLine="420" w:firstLineChars="200"/>
        <w:jc w:val="left"/>
        <w:rPr>
          <w:rFonts w:ascii="宋体" w:hAnsi="宋体"/>
          <w:szCs w:val="21"/>
        </w:rPr>
      </w:pPr>
      <w:r>
        <w:rPr>
          <w:rFonts w:hint="eastAsia" w:ascii="宋体" w:hAnsi="宋体"/>
          <w:szCs w:val="21"/>
        </w:rPr>
        <w:t>技术文件评审→报价文件评审→磋商→最后报价→决标。</w:t>
      </w:r>
    </w:p>
    <w:p>
      <w:pPr>
        <w:spacing w:line="360" w:lineRule="auto"/>
        <w:ind w:firstLine="420" w:firstLineChars="200"/>
        <w:rPr>
          <w:lang w:val="zh-CN"/>
        </w:rPr>
      </w:pPr>
      <w:bookmarkStart w:id="79" w:name="_Toc466988672"/>
      <w:r>
        <w:rPr>
          <w:rFonts w:hint="eastAsia"/>
          <w:lang w:val="zh-CN"/>
        </w:rPr>
        <w:t>2.第一阶段为资格证明审查。</w:t>
      </w:r>
      <w:bookmarkEnd w:id="79"/>
    </w:p>
    <w:p>
      <w:pPr>
        <w:spacing w:line="360" w:lineRule="auto"/>
        <w:ind w:firstLine="420" w:firstLineChars="200"/>
        <w:rPr>
          <w:rFonts w:ascii="宋体" w:hAnsi="宋体"/>
        </w:rPr>
      </w:pPr>
      <w:r>
        <w:rPr>
          <w:rFonts w:hint="eastAsia" w:ascii="宋体" w:hAnsi="宋体"/>
        </w:rPr>
        <w:t>评标委员会按照磋商文件载明的资格后审条款对供应商进行审查，凡不符合资格后审要求的，以无效标处理，不再进入下一阶段评标。</w:t>
      </w:r>
    </w:p>
    <w:p>
      <w:pPr>
        <w:spacing w:line="360" w:lineRule="auto"/>
        <w:ind w:firstLine="420" w:firstLineChars="200"/>
        <w:rPr>
          <w:lang w:val="zh-CN"/>
        </w:rPr>
      </w:pPr>
      <w:bookmarkStart w:id="80" w:name="_Toc212690713"/>
      <w:bookmarkStart w:id="81" w:name="_Toc225650487"/>
      <w:bookmarkStart w:id="82" w:name="_Toc466988673"/>
      <w:r>
        <w:rPr>
          <w:rFonts w:hint="eastAsia"/>
          <w:lang w:val="zh-CN"/>
        </w:rPr>
        <w:t>3</w:t>
      </w:r>
      <w:bookmarkEnd w:id="80"/>
      <w:r>
        <w:rPr>
          <w:rFonts w:hint="eastAsia"/>
          <w:lang w:val="zh-CN"/>
        </w:rPr>
        <w:t>.</w:t>
      </w:r>
      <w:bookmarkEnd w:id="81"/>
      <w:r>
        <w:rPr>
          <w:rFonts w:hint="eastAsia"/>
          <w:lang w:val="zh-CN"/>
        </w:rPr>
        <w:t>第二阶段为技术文件评审。</w:t>
      </w:r>
      <w:bookmarkEnd w:id="82"/>
    </w:p>
    <w:p>
      <w:pPr>
        <w:spacing w:line="360" w:lineRule="auto"/>
        <w:ind w:firstLine="420" w:firstLineChars="200"/>
        <w:rPr>
          <w:rFonts w:ascii="宋体" w:hAnsi="宋体"/>
        </w:rPr>
      </w:pPr>
      <w:r>
        <w:rPr>
          <w:rFonts w:hint="eastAsia" w:ascii="宋体" w:hAnsi="宋体"/>
        </w:rPr>
        <w:t>资信与技术文件分值80分。</w:t>
      </w:r>
    </w:p>
    <w:p>
      <w:pPr>
        <w:spacing w:line="360" w:lineRule="auto"/>
        <w:ind w:firstLine="420" w:firstLineChars="200"/>
        <w:rPr>
          <w:rFonts w:ascii="宋体"/>
          <w:kern w:val="0"/>
          <w:szCs w:val="21"/>
        </w:rPr>
      </w:pPr>
      <w:r>
        <w:rPr>
          <w:rFonts w:hint="eastAsia" w:ascii="宋体"/>
          <w:kern w:val="0"/>
          <w:szCs w:val="21"/>
        </w:rPr>
        <w:t>各投标人技术标得分按照评标委员会所有成员评分算术平均值计算（保留小数点后2位），计算公式为：</w:t>
      </w:r>
    </w:p>
    <w:p>
      <w:pPr>
        <w:spacing w:line="360" w:lineRule="auto"/>
        <w:ind w:firstLine="420" w:firstLineChars="200"/>
        <w:rPr>
          <w:rFonts w:ascii="宋体" w:hAnsi="宋体"/>
        </w:rPr>
      </w:pPr>
      <w:r>
        <w:rPr>
          <w:rFonts w:hint="eastAsia" w:ascii="宋体"/>
          <w:kern w:val="0"/>
          <w:szCs w:val="21"/>
        </w:rPr>
        <w:t>技术文件标得分=评标委员会所有成员评分合计数/评标委员会人数</w:t>
      </w:r>
    </w:p>
    <w:p>
      <w:pPr>
        <w:autoSpaceDE w:val="0"/>
        <w:autoSpaceDN w:val="0"/>
        <w:adjustRightInd w:val="0"/>
        <w:spacing w:line="360" w:lineRule="auto"/>
        <w:ind w:firstLine="525" w:firstLineChars="250"/>
        <w:jc w:val="left"/>
        <w:rPr>
          <w:rFonts w:hint="eastAsia" w:ascii="宋体"/>
          <w:kern w:val="0"/>
          <w:szCs w:val="21"/>
        </w:rPr>
      </w:pPr>
      <w:r>
        <w:rPr>
          <w:rFonts w:hint="eastAsia" w:ascii="宋体"/>
          <w:kern w:val="0"/>
          <w:szCs w:val="21"/>
        </w:rPr>
        <w:t>本次技术文件评分具体分值细化条款如下表：</w:t>
      </w:r>
    </w:p>
    <w:p>
      <w:pPr>
        <w:pStyle w:val="2"/>
      </w:pPr>
    </w:p>
    <w:tbl>
      <w:tblPr>
        <w:tblStyle w:val="15"/>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6297"/>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211" w:type="dxa"/>
            <w:vAlign w:val="center"/>
          </w:tcPr>
          <w:p>
            <w:pPr>
              <w:pStyle w:val="7"/>
              <w:adjustRightInd w:val="0"/>
              <w:snapToGrid w:val="0"/>
              <w:spacing w:line="300" w:lineRule="auto"/>
              <w:jc w:val="center"/>
              <w:rPr>
                <w:rFonts w:ascii="Arial" w:hAnsi="Arial" w:cs="Arial"/>
                <w:szCs w:val="21"/>
              </w:rPr>
            </w:pPr>
            <w:r>
              <w:rPr>
                <w:rFonts w:ascii="Arial" w:hAnsi="Arial" w:cs="Arial"/>
                <w:szCs w:val="21"/>
              </w:rPr>
              <w:t>评分因素</w:t>
            </w:r>
          </w:p>
        </w:tc>
        <w:tc>
          <w:tcPr>
            <w:tcW w:w="6297" w:type="dxa"/>
            <w:vAlign w:val="center"/>
          </w:tcPr>
          <w:p>
            <w:pPr>
              <w:pStyle w:val="7"/>
              <w:adjustRightInd w:val="0"/>
              <w:snapToGrid w:val="0"/>
              <w:spacing w:line="300" w:lineRule="auto"/>
              <w:ind w:firstLine="360"/>
              <w:jc w:val="center"/>
              <w:rPr>
                <w:rFonts w:ascii="Arial" w:hAnsi="Arial" w:cs="Arial"/>
                <w:szCs w:val="21"/>
              </w:rPr>
            </w:pPr>
            <w:r>
              <w:rPr>
                <w:rFonts w:ascii="Arial" w:hAnsi="Arial" w:cs="Arial"/>
                <w:szCs w:val="21"/>
              </w:rPr>
              <w:t>评分细则</w:t>
            </w:r>
          </w:p>
        </w:tc>
        <w:tc>
          <w:tcPr>
            <w:tcW w:w="1092" w:type="dxa"/>
            <w:vAlign w:val="center"/>
          </w:tcPr>
          <w:p>
            <w:pPr>
              <w:pStyle w:val="7"/>
              <w:adjustRightInd w:val="0"/>
              <w:snapToGrid w:val="0"/>
              <w:spacing w:line="300" w:lineRule="auto"/>
              <w:jc w:val="center"/>
              <w:rPr>
                <w:rFonts w:ascii="Arial" w:hAnsi="Arial" w:cs="Arial"/>
                <w:szCs w:val="21"/>
              </w:rPr>
            </w:pPr>
            <w:r>
              <w:rPr>
                <w:rFonts w:hint="eastAsia" w:ascii="Arial" w:hAnsi="Arial" w:cs="Arial"/>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211" w:type="dxa"/>
            <w:vAlign w:val="center"/>
          </w:tcPr>
          <w:p>
            <w:pPr>
              <w:pStyle w:val="7"/>
              <w:adjustRightInd w:val="0"/>
              <w:snapToGrid w:val="0"/>
              <w:spacing w:line="300" w:lineRule="auto"/>
              <w:jc w:val="center"/>
              <w:rPr>
                <w:rFonts w:ascii="Arial" w:hAnsi="Arial" w:cs="Arial"/>
                <w:szCs w:val="21"/>
              </w:rPr>
            </w:pPr>
            <w:r>
              <w:rPr>
                <w:rFonts w:hint="eastAsia"/>
              </w:rPr>
              <w:t>对项目目标的理解</w:t>
            </w:r>
          </w:p>
        </w:tc>
        <w:tc>
          <w:tcPr>
            <w:tcW w:w="6297" w:type="dxa"/>
            <w:vAlign w:val="center"/>
          </w:tcPr>
          <w:p>
            <w:pPr>
              <w:pStyle w:val="7"/>
              <w:adjustRightInd w:val="0"/>
              <w:snapToGrid w:val="0"/>
              <w:spacing w:line="300" w:lineRule="auto"/>
              <w:jc w:val="left"/>
              <w:rPr>
                <w:rFonts w:ascii="Arial" w:hAnsi="Arial" w:cs="Arial"/>
                <w:szCs w:val="21"/>
              </w:rPr>
            </w:pPr>
            <w:r>
              <w:rPr>
                <w:rFonts w:hint="eastAsia" w:ascii="Arial" w:hAnsi="Arial" w:cs="Arial"/>
                <w:szCs w:val="21"/>
              </w:rPr>
              <w:t>优：5.1-7分；良：3.1-5分；差：1-3分。</w:t>
            </w:r>
          </w:p>
        </w:tc>
        <w:tc>
          <w:tcPr>
            <w:tcW w:w="1092" w:type="dxa"/>
            <w:vAlign w:val="center"/>
          </w:tcPr>
          <w:p>
            <w:pPr>
              <w:pStyle w:val="7"/>
              <w:adjustRightInd w:val="0"/>
              <w:snapToGrid w:val="0"/>
              <w:spacing w:line="300" w:lineRule="auto"/>
              <w:jc w:val="center"/>
              <w:rPr>
                <w:rFonts w:ascii="Arial" w:hAnsi="Arial" w:cs="Arial"/>
                <w:szCs w:val="21"/>
              </w:rPr>
            </w:pPr>
            <w:r>
              <w:rPr>
                <w:rFonts w:hint="eastAsia" w:ascii="Arial" w:hAnsi="Arial" w:cs="Arial"/>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211" w:type="dxa"/>
            <w:vAlign w:val="center"/>
          </w:tcPr>
          <w:p>
            <w:pPr>
              <w:pStyle w:val="7"/>
              <w:adjustRightInd w:val="0"/>
              <w:snapToGrid w:val="0"/>
              <w:spacing w:line="300" w:lineRule="auto"/>
              <w:jc w:val="center"/>
              <w:rPr>
                <w:rFonts w:hint="eastAsia"/>
              </w:rPr>
            </w:pPr>
            <w:r>
              <w:rPr>
                <w:rFonts w:hint="eastAsia"/>
              </w:rPr>
              <w:t>基本思路</w:t>
            </w:r>
          </w:p>
        </w:tc>
        <w:tc>
          <w:tcPr>
            <w:tcW w:w="6297" w:type="dxa"/>
            <w:vAlign w:val="center"/>
          </w:tcPr>
          <w:p>
            <w:pPr>
              <w:pStyle w:val="7"/>
              <w:adjustRightInd w:val="0"/>
              <w:snapToGrid w:val="0"/>
              <w:spacing w:line="300" w:lineRule="auto"/>
              <w:jc w:val="left"/>
              <w:rPr>
                <w:rFonts w:ascii="Arial" w:hAnsi="Arial" w:cs="Arial"/>
                <w:szCs w:val="21"/>
              </w:rPr>
            </w:pPr>
            <w:r>
              <w:rPr>
                <w:rFonts w:hint="eastAsia" w:ascii="Arial" w:hAnsi="Arial" w:cs="Arial"/>
                <w:szCs w:val="21"/>
              </w:rPr>
              <w:t>优：5.1-7分；良：3.1-5分；一般：1-3分。</w:t>
            </w:r>
          </w:p>
        </w:tc>
        <w:tc>
          <w:tcPr>
            <w:tcW w:w="1092" w:type="dxa"/>
            <w:vAlign w:val="center"/>
          </w:tcPr>
          <w:p>
            <w:pPr>
              <w:pStyle w:val="7"/>
              <w:adjustRightInd w:val="0"/>
              <w:snapToGrid w:val="0"/>
              <w:spacing w:line="300" w:lineRule="auto"/>
              <w:jc w:val="center"/>
              <w:rPr>
                <w:rFonts w:ascii="Arial" w:hAnsi="Arial" w:cs="Arial"/>
                <w:szCs w:val="21"/>
              </w:rPr>
            </w:pPr>
            <w:r>
              <w:rPr>
                <w:rFonts w:hint="eastAsia" w:ascii="Arial" w:hAnsi="Arial" w:cs="Arial"/>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211" w:type="dxa"/>
            <w:vAlign w:val="center"/>
          </w:tcPr>
          <w:p>
            <w:pPr>
              <w:pStyle w:val="7"/>
              <w:adjustRightInd w:val="0"/>
              <w:snapToGrid w:val="0"/>
              <w:spacing w:line="300" w:lineRule="auto"/>
              <w:jc w:val="center"/>
              <w:rPr>
                <w:rFonts w:ascii="Arial" w:hAnsi="Arial" w:cs="Arial"/>
              </w:rPr>
            </w:pPr>
            <w:r>
              <w:rPr>
                <w:rFonts w:hint="eastAsia"/>
              </w:rPr>
              <w:t>设计方案</w:t>
            </w:r>
          </w:p>
        </w:tc>
        <w:tc>
          <w:tcPr>
            <w:tcW w:w="6297" w:type="dxa"/>
            <w:vAlign w:val="center"/>
          </w:tcPr>
          <w:p>
            <w:pPr>
              <w:pStyle w:val="7"/>
              <w:adjustRightInd w:val="0"/>
              <w:snapToGrid w:val="0"/>
              <w:spacing w:line="300" w:lineRule="auto"/>
              <w:rPr>
                <w:rFonts w:ascii="Arial" w:hAnsi="Arial" w:cs="Arial"/>
              </w:rPr>
            </w:pPr>
            <w:r>
              <w:rPr>
                <w:rFonts w:hint="eastAsia" w:ascii="Arial" w:hAnsi="Arial" w:cs="Arial"/>
                <w:szCs w:val="21"/>
              </w:rPr>
              <w:t>优：10.1-14分；良：6.1-10分；差：2-6分。</w:t>
            </w:r>
          </w:p>
        </w:tc>
        <w:tc>
          <w:tcPr>
            <w:tcW w:w="1092" w:type="dxa"/>
            <w:vAlign w:val="center"/>
          </w:tcPr>
          <w:p>
            <w:pPr>
              <w:pStyle w:val="7"/>
              <w:adjustRightInd w:val="0"/>
              <w:snapToGrid w:val="0"/>
              <w:spacing w:line="300" w:lineRule="auto"/>
              <w:jc w:val="center"/>
              <w:rPr>
                <w:rFonts w:ascii="Arial" w:hAnsi="Arial" w:cs="Arial"/>
              </w:rPr>
            </w:pPr>
            <w:r>
              <w:rPr>
                <w:rFonts w:hint="eastAsia" w:ascii="Arial" w:hAnsi="Arial" w:cs="Aria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211" w:type="dxa"/>
            <w:tcBorders>
              <w:left w:val="single" w:color="auto" w:sz="4" w:space="0"/>
              <w:bottom w:val="single" w:color="auto" w:sz="4" w:space="0"/>
              <w:right w:val="single" w:color="auto" w:sz="4" w:space="0"/>
            </w:tcBorders>
            <w:vAlign w:val="center"/>
          </w:tcPr>
          <w:p>
            <w:pPr>
              <w:pStyle w:val="7"/>
              <w:adjustRightInd w:val="0"/>
              <w:snapToGrid w:val="0"/>
              <w:spacing w:line="300" w:lineRule="auto"/>
              <w:rPr>
                <w:rFonts w:ascii="Arial" w:hAnsi="Arial" w:cs="Arial"/>
                <w:szCs w:val="21"/>
              </w:rPr>
            </w:pPr>
            <w:r>
              <w:rPr>
                <w:rFonts w:hint="eastAsia" w:ascii="Arial" w:hAnsi="Arial" w:cs="Arial"/>
                <w:szCs w:val="21"/>
              </w:rPr>
              <w:t>设计过程分阶段描述</w:t>
            </w:r>
          </w:p>
        </w:tc>
        <w:tc>
          <w:tcPr>
            <w:tcW w:w="629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left"/>
              <w:rPr>
                <w:rFonts w:ascii="Arial" w:hAnsi="Arial" w:cs="Arial"/>
              </w:rPr>
            </w:pPr>
            <w:r>
              <w:rPr>
                <w:rFonts w:hint="eastAsia" w:ascii="Arial" w:hAnsi="Arial" w:cs="Arial"/>
                <w:szCs w:val="21"/>
              </w:rPr>
              <w:t>优：5.1-7分；良：3.1-5分；差：1-3分。</w:t>
            </w:r>
          </w:p>
        </w:tc>
        <w:tc>
          <w:tcPr>
            <w:tcW w:w="109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center"/>
              <w:rPr>
                <w:rFonts w:ascii="Arial" w:hAnsi="Arial" w:cs="Arial"/>
                <w:szCs w:val="21"/>
              </w:rPr>
            </w:pPr>
            <w:r>
              <w:rPr>
                <w:rFonts w:hint="eastAsia" w:ascii="Arial" w:hAnsi="Arial" w:cs="Arial"/>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211" w:type="dxa"/>
            <w:tcBorders>
              <w:left w:val="single" w:color="auto" w:sz="4" w:space="0"/>
              <w:right w:val="single" w:color="auto" w:sz="4" w:space="0"/>
            </w:tcBorders>
            <w:vAlign w:val="center"/>
          </w:tcPr>
          <w:p>
            <w:pPr>
              <w:pStyle w:val="7"/>
              <w:adjustRightInd w:val="0"/>
              <w:snapToGrid w:val="0"/>
              <w:spacing w:line="300" w:lineRule="auto"/>
              <w:jc w:val="center"/>
              <w:rPr>
                <w:rFonts w:ascii="Arial" w:hAnsi="Arial" w:cs="Arial"/>
                <w:szCs w:val="21"/>
              </w:rPr>
            </w:pPr>
            <w:r>
              <w:rPr>
                <w:rFonts w:hint="eastAsia" w:ascii="Arial" w:hAnsi="Arial" w:cs="Arial"/>
                <w:szCs w:val="21"/>
              </w:rPr>
              <w:t>设计质量目标及保证措施</w:t>
            </w:r>
          </w:p>
        </w:tc>
        <w:tc>
          <w:tcPr>
            <w:tcW w:w="629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left"/>
              <w:rPr>
                <w:rFonts w:ascii="Arial" w:hAnsi="Arial" w:cs="Arial"/>
                <w:szCs w:val="21"/>
              </w:rPr>
            </w:pPr>
            <w:r>
              <w:rPr>
                <w:rFonts w:hint="eastAsia" w:ascii="Arial" w:hAnsi="Arial" w:cs="Arial"/>
                <w:szCs w:val="21"/>
              </w:rPr>
              <w:t>优：5.1-7分；良：3.1-5分；差：1-3分。</w:t>
            </w:r>
          </w:p>
        </w:tc>
        <w:tc>
          <w:tcPr>
            <w:tcW w:w="109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center"/>
              <w:rPr>
                <w:rFonts w:ascii="Arial" w:hAnsi="Arial" w:cs="Arial"/>
                <w:szCs w:val="21"/>
              </w:rPr>
            </w:pPr>
            <w:r>
              <w:rPr>
                <w:rFonts w:hint="eastAsia" w:ascii="Arial" w:hAnsi="Arial" w:cs="Arial"/>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211" w:type="dxa"/>
            <w:vMerge w:val="restart"/>
            <w:tcBorders>
              <w:left w:val="single" w:color="auto" w:sz="4" w:space="0"/>
              <w:right w:val="single" w:color="auto" w:sz="4" w:space="0"/>
            </w:tcBorders>
            <w:vAlign w:val="center"/>
          </w:tcPr>
          <w:p>
            <w:pPr>
              <w:pStyle w:val="7"/>
              <w:adjustRightInd w:val="0"/>
              <w:snapToGrid w:val="0"/>
              <w:spacing w:line="300" w:lineRule="auto"/>
              <w:jc w:val="center"/>
              <w:rPr>
                <w:rFonts w:hint="eastAsia" w:ascii="Arial" w:hAnsi="Arial" w:cs="Arial"/>
                <w:szCs w:val="21"/>
              </w:rPr>
            </w:pPr>
            <w:r>
              <w:rPr>
                <w:rFonts w:hint="eastAsia" w:ascii="Arial" w:hAnsi="Arial" w:cs="Arial"/>
                <w:szCs w:val="21"/>
              </w:rPr>
              <w:t>投标人资质</w:t>
            </w:r>
          </w:p>
        </w:tc>
        <w:tc>
          <w:tcPr>
            <w:tcW w:w="629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left"/>
              <w:rPr>
                <w:rFonts w:hint="eastAsia" w:ascii="Arial" w:hAnsi="Arial" w:cs="Arial"/>
                <w:szCs w:val="21"/>
              </w:rPr>
            </w:pPr>
            <w:r>
              <w:rPr>
                <w:rFonts w:hint="eastAsia" w:ascii="Arial" w:hAnsi="Arial" w:cs="Arial"/>
                <w:szCs w:val="21"/>
              </w:rPr>
              <w:t>投标人具有城乡规划编制甲级资质的得2分，其余不得分。具有道路乙级资质以上得2分，具有公交乙级资质以上得2分，具有桥梁乙级资质以上得2分。（提供资质证书的复印件加盖公章，否则不得分）</w:t>
            </w:r>
          </w:p>
        </w:tc>
        <w:tc>
          <w:tcPr>
            <w:tcW w:w="109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center"/>
              <w:rPr>
                <w:rFonts w:hint="eastAsia" w:ascii="Arial" w:hAnsi="Arial" w:cs="Arial"/>
                <w:szCs w:val="21"/>
              </w:rPr>
            </w:pPr>
            <w:r>
              <w:rPr>
                <w:rFonts w:hint="eastAsia" w:ascii="Arial" w:hAnsi="Arial" w:cs="Arial"/>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211" w:type="dxa"/>
            <w:vMerge w:val="continue"/>
            <w:tcBorders>
              <w:left w:val="single" w:color="auto" w:sz="4" w:space="0"/>
              <w:right w:val="single" w:color="auto" w:sz="4" w:space="0"/>
            </w:tcBorders>
            <w:vAlign w:val="center"/>
          </w:tcPr>
          <w:p>
            <w:pPr>
              <w:pStyle w:val="7"/>
              <w:adjustRightInd w:val="0"/>
              <w:snapToGrid w:val="0"/>
              <w:spacing w:line="300" w:lineRule="auto"/>
              <w:jc w:val="center"/>
              <w:rPr>
                <w:rFonts w:hint="eastAsia" w:ascii="Arial" w:hAnsi="Arial" w:cs="Arial"/>
                <w:szCs w:val="21"/>
              </w:rPr>
            </w:pPr>
          </w:p>
        </w:tc>
        <w:tc>
          <w:tcPr>
            <w:tcW w:w="629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left"/>
              <w:rPr>
                <w:rFonts w:hint="eastAsia" w:ascii="Arial" w:hAnsi="Arial" w:cs="Arial"/>
                <w:szCs w:val="21"/>
              </w:rPr>
            </w:pPr>
            <w:r>
              <w:rPr>
                <w:rFonts w:hint="eastAsia" w:ascii="Arial" w:hAnsi="Arial" w:cs="Arial"/>
                <w:szCs w:val="21"/>
              </w:rPr>
              <w:t>投标人具有ISO9001质量管理体系认证证书且在有效期内，每项的1分，满分3分。（提供认证证书的复印件加盖公章，否则不得分）</w:t>
            </w:r>
          </w:p>
        </w:tc>
        <w:tc>
          <w:tcPr>
            <w:tcW w:w="109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center"/>
              <w:rPr>
                <w:rFonts w:hint="eastAsia" w:ascii="Arial" w:hAnsi="Arial" w:cs="Arial"/>
                <w:szCs w:val="21"/>
              </w:rPr>
            </w:pPr>
            <w:r>
              <w:rPr>
                <w:rFonts w:hint="eastAsia" w:ascii="Arial" w:hAnsi="Arial" w:cs="Arial"/>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211" w:type="dxa"/>
            <w:vMerge w:val="continue"/>
            <w:tcBorders>
              <w:left w:val="single" w:color="auto" w:sz="4" w:space="0"/>
              <w:right w:val="single" w:color="auto" w:sz="4" w:space="0"/>
            </w:tcBorders>
            <w:vAlign w:val="center"/>
          </w:tcPr>
          <w:p>
            <w:pPr>
              <w:pStyle w:val="7"/>
              <w:adjustRightInd w:val="0"/>
              <w:snapToGrid w:val="0"/>
              <w:spacing w:line="300" w:lineRule="auto"/>
              <w:jc w:val="center"/>
              <w:rPr>
                <w:rFonts w:hint="eastAsia" w:ascii="Arial" w:hAnsi="Arial" w:cs="Arial"/>
                <w:szCs w:val="21"/>
              </w:rPr>
            </w:pPr>
          </w:p>
        </w:tc>
        <w:tc>
          <w:tcPr>
            <w:tcW w:w="629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left"/>
              <w:rPr>
                <w:rFonts w:hint="eastAsia" w:ascii="Arial" w:hAnsi="Arial" w:cs="Arial"/>
                <w:szCs w:val="21"/>
              </w:rPr>
            </w:pPr>
            <w:r>
              <w:rPr>
                <w:rFonts w:hint="eastAsia" w:ascii="Arial" w:hAnsi="Arial" w:cs="Arial"/>
                <w:szCs w:val="21"/>
              </w:rPr>
              <w:t>投标人具有高新技术企业资质的得2分，其余不得分。（提供证书的复印件加盖公章，否则不得分）</w:t>
            </w:r>
          </w:p>
        </w:tc>
        <w:tc>
          <w:tcPr>
            <w:tcW w:w="109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center"/>
              <w:rPr>
                <w:rFonts w:hint="eastAsia" w:ascii="Arial" w:hAnsi="Arial" w:cs="Arial"/>
                <w:szCs w:val="21"/>
              </w:rPr>
            </w:pPr>
            <w:r>
              <w:rPr>
                <w:rFonts w:hint="eastAsia" w:ascii="Arial" w:hAnsi="Arial" w:cs="Arial"/>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211" w:type="dxa"/>
            <w:vMerge w:val="continue"/>
            <w:tcBorders>
              <w:left w:val="single" w:color="auto" w:sz="4" w:space="0"/>
              <w:right w:val="single" w:color="auto" w:sz="4" w:space="0"/>
            </w:tcBorders>
            <w:vAlign w:val="center"/>
          </w:tcPr>
          <w:p>
            <w:pPr>
              <w:pStyle w:val="7"/>
              <w:adjustRightInd w:val="0"/>
              <w:snapToGrid w:val="0"/>
              <w:spacing w:line="300" w:lineRule="auto"/>
              <w:jc w:val="center"/>
              <w:rPr>
                <w:rFonts w:hint="eastAsia" w:ascii="Arial" w:hAnsi="Arial" w:cs="Arial"/>
                <w:szCs w:val="21"/>
              </w:rPr>
            </w:pPr>
          </w:p>
        </w:tc>
        <w:tc>
          <w:tcPr>
            <w:tcW w:w="629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left"/>
              <w:rPr>
                <w:rFonts w:hint="eastAsia" w:ascii="Arial" w:hAnsi="Arial" w:cs="Arial"/>
                <w:szCs w:val="21"/>
              </w:rPr>
            </w:pPr>
            <w:r>
              <w:rPr>
                <w:rFonts w:hint="eastAsia" w:ascii="Arial" w:hAnsi="Arial" w:cs="Arial"/>
                <w:szCs w:val="21"/>
              </w:rPr>
              <w:t>投标人编制过省级以上相关规范标准的，每项的2分，满分4分。（提供相关证明文件复印件加盖公章，否则不得分）</w:t>
            </w:r>
          </w:p>
        </w:tc>
        <w:tc>
          <w:tcPr>
            <w:tcW w:w="109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center"/>
              <w:rPr>
                <w:rFonts w:hint="eastAsia" w:ascii="Arial" w:hAnsi="Arial" w:cs="Arial"/>
                <w:szCs w:val="21"/>
              </w:rPr>
            </w:pPr>
            <w:r>
              <w:rPr>
                <w:rFonts w:hint="eastAsia" w:ascii="Arial" w:hAnsi="Arial" w:cs="Arial"/>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211" w:type="dxa"/>
            <w:tcBorders>
              <w:left w:val="single" w:color="auto" w:sz="4" w:space="0"/>
              <w:right w:val="single" w:color="auto" w:sz="4" w:space="0"/>
            </w:tcBorders>
            <w:vAlign w:val="center"/>
          </w:tcPr>
          <w:p>
            <w:pPr>
              <w:pStyle w:val="7"/>
              <w:adjustRightInd w:val="0"/>
              <w:snapToGrid w:val="0"/>
              <w:spacing w:line="300" w:lineRule="auto"/>
              <w:jc w:val="center"/>
              <w:rPr>
                <w:rFonts w:ascii="Arial" w:hAnsi="Arial" w:cs="Arial"/>
              </w:rPr>
            </w:pPr>
            <w:r>
              <w:rPr>
                <w:rFonts w:hint="eastAsia" w:ascii="Arial" w:hAnsi="Arial" w:cs="Arial"/>
              </w:rPr>
              <w:t>投标人业绩</w:t>
            </w:r>
          </w:p>
        </w:tc>
        <w:tc>
          <w:tcPr>
            <w:tcW w:w="629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rPr>
                <w:rFonts w:ascii="Arial" w:hAnsi="Arial" w:cs="Arial"/>
              </w:rPr>
            </w:pPr>
            <w:r>
              <w:rPr>
                <w:rFonts w:hint="eastAsia" w:ascii="Arial" w:hAnsi="Arial" w:cs="Arial"/>
              </w:rPr>
              <w:t>投标人每提供一项近三年（2016年1月1日至今）内的已成功设计完毕的交通类项目设计业绩得1分，最多得2分。时间以提供合同复印件签订日期为准。</w:t>
            </w:r>
          </w:p>
        </w:tc>
        <w:tc>
          <w:tcPr>
            <w:tcW w:w="109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center"/>
              <w:rPr>
                <w:rFonts w:hint="eastAsia" w:ascii="Arial" w:hAnsi="Arial" w:cs="Arial"/>
                <w:szCs w:val="21"/>
              </w:rPr>
            </w:pPr>
            <w:r>
              <w:rPr>
                <w:rFonts w:hint="eastAsia" w:ascii="Arial" w:hAnsi="Arial" w:cs="Arial"/>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211" w:type="dxa"/>
            <w:tcBorders>
              <w:left w:val="single" w:color="auto" w:sz="4" w:space="0"/>
              <w:right w:val="single" w:color="auto" w:sz="4" w:space="0"/>
            </w:tcBorders>
            <w:vAlign w:val="center"/>
          </w:tcPr>
          <w:p>
            <w:pPr>
              <w:pStyle w:val="7"/>
              <w:adjustRightInd w:val="0"/>
              <w:snapToGrid w:val="0"/>
              <w:spacing w:line="300" w:lineRule="auto"/>
              <w:jc w:val="center"/>
              <w:rPr>
                <w:rFonts w:hint="eastAsia" w:ascii="Arial" w:hAnsi="Arial" w:cs="Arial"/>
              </w:rPr>
            </w:pPr>
            <w:r>
              <w:rPr>
                <w:rFonts w:hint="eastAsia" w:ascii="Arial" w:hAnsi="Arial" w:cs="Arial"/>
              </w:rPr>
              <w:t>投标人获奖</w:t>
            </w:r>
          </w:p>
        </w:tc>
        <w:tc>
          <w:tcPr>
            <w:tcW w:w="629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rPr>
                <w:rFonts w:hint="eastAsia" w:ascii="Arial" w:hAnsi="Arial" w:cs="Arial"/>
              </w:rPr>
            </w:pPr>
            <w:r>
              <w:rPr>
                <w:rFonts w:hint="eastAsia" w:ascii="Arial" w:hAnsi="Arial" w:cs="Arial"/>
              </w:rPr>
              <w:t>投标人近年来（2015年1月1日至今）交通类项目设计，获得省级奖项的，每项得1.5分，满分9。以获奖发证日期为准。</w:t>
            </w:r>
            <w:r>
              <w:rPr>
                <w:rFonts w:hint="eastAsia" w:ascii="Arial" w:hAnsi="Arial" w:cs="Arial"/>
                <w:szCs w:val="21"/>
              </w:rPr>
              <w:t>（提供相关证明文件复印件加盖公章，否则不得分）</w:t>
            </w:r>
          </w:p>
        </w:tc>
        <w:tc>
          <w:tcPr>
            <w:tcW w:w="109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center"/>
              <w:rPr>
                <w:rFonts w:hint="eastAsia" w:ascii="Arial" w:hAnsi="Arial" w:cs="Arial"/>
                <w:szCs w:val="21"/>
              </w:rPr>
            </w:pPr>
            <w:r>
              <w:rPr>
                <w:rFonts w:hint="eastAsia" w:ascii="Arial" w:hAnsi="Arial" w:cs="Arial"/>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211" w:type="dxa"/>
            <w:vMerge w:val="restart"/>
            <w:vAlign w:val="center"/>
          </w:tcPr>
          <w:p>
            <w:pPr>
              <w:pStyle w:val="7"/>
              <w:adjustRightInd w:val="0"/>
              <w:snapToGrid w:val="0"/>
              <w:spacing w:line="300" w:lineRule="auto"/>
              <w:jc w:val="center"/>
              <w:rPr>
                <w:rFonts w:ascii="Arial" w:hAnsi="Arial" w:cs="Arial"/>
              </w:rPr>
            </w:pPr>
            <w:r>
              <w:rPr>
                <w:rFonts w:hint="eastAsia" w:ascii="Arial" w:hAnsi="Arial" w:cs="Arial"/>
              </w:rPr>
              <w:t>设计成员组成</w:t>
            </w:r>
          </w:p>
        </w:tc>
        <w:tc>
          <w:tcPr>
            <w:tcW w:w="6297" w:type="dxa"/>
            <w:vAlign w:val="center"/>
          </w:tcPr>
          <w:p>
            <w:pPr>
              <w:pStyle w:val="7"/>
              <w:adjustRightInd w:val="0"/>
              <w:snapToGrid w:val="0"/>
              <w:spacing w:line="300" w:lineRule="auto"/>
              <w:rPr>
                <w:rFonts w:ascii="Arial" w:hAnsi="Arial" w:cs="Arial"/>
              </w:rPr>
            </w:pPr>
            <w:r>
              <w:rPr>
                <w:rFonts w:hint="eastAsia" w:ascii="Arial" w:hAnsi="Arial" w:cs="Arial"/>
              </w:rPr>
              <w:t>项目负责人为高级工程师的得1分，否则不得分；同时具有城市规划师的加1分，否则不加分。</w:t>
            </w:r>
          </w:p>
        </w:tc>
        <w:tc>
          <w:tcPr>
            <w:tcW w:w="1092" w:type="dxa"/>
            <w:vAlign w:val="center"/>
          </w:tcPr>
          <w:p>
            <w:pPr>
              <w:pStyle w:val="7"/>
              <w:adjustRightInd w:val="0"/>
              <w:snapToGrid w:val="0"/>
              <w:spacing w:line="300" w:lineRule="auto"/>
              <w:jc w:val="center"/>
              <w:rPr>
                <w:rFonts w:ascii="Arial" w:hAnsi="Arial" w:cs="Arial"/>
              </w:rPr>
            </w:pPr>
            <w:r>
              <w:rPr>
                <w:rFonts w:hint="eastAsia" w:ascii="Arial" w:hAnsi="Arial" w:cs="Aria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211" w:type="dxa"/>
            <w:vMerge w:val="continue"/>
            <w:vAlign w:val="center"/>
          </w:tcPr>
          <w:p>
            <w:pPr>
              <w:pStyle w:val="7"/>
              <w:adjustRightInd w:val="0"/>
              <w:snapToGrid w:val="0"/>
              <w:spacing w:line="300" w:lineRule="auto"/>
            </w:pPr>
          </w:p>
        </w:tc>
        <w:tc>
          <w:tcPr>
            <w:tcW w:w="6297" w:type="dxa"/>
            <w:vAlign w:val="center"/>
          </w:tcPr>
          <w:p>
            <w:pPr>
              <w:pStyle w:val="7"/>
              <w:adjustRightInd w:val="0"/>
              <w:snapToGrid w:val="0"/>
              <w:spacing w:line="300" w:lineRule="auto"/>
              <w:rPr>
                <w:rFonts w:ascii="Arial" w:hAnsi="Arial" w:cs="Arial"/>
              </w:rPr>
            </w:pPr>
            <w:r>
              <w:rPr>
                <w:rFonts w:hint="eastAsia" w:ascii="Arial" w:hAnsi="Arial" w:cs="Arial"/>
              </w:rPr>
              <w:t>其他成员配备人员数量、专业配备齐全，合理的得3分，较合理的得2分，一般得1分，不合理不得分。每个注册城市规划师加1分。</w:t>
            </w:r>
          </w:p>
        </w:tc>
        <w:tc>
          <w:tcPr>
            <w:tcW w:w="1092" w:type="dxa"/>
            <w:vAlign w:val="center"/>
          </w:tcPr>
          <w:p>
            <w:pPr>
              <w:pStyle w:val="7"/>
              <w:adjustRightInd w:val="0"/>
              <w:snapToGrid w:val="0"/>
              <w:spacing w:line="300" w:lineRule="auto"/>
              <w:jc w:val="center"/>
              <w:rPr>
                <w:rFonts w:ascii="Arial" w:hAnsi="Arial" w:cs="Arial"/>
              </w:rPr>
            </w:pPr>
            <w:r>
              <w:rPr>
                <w:rFonts w:hint="eastAsia" w:ascii="Arial" w:hAnsi="Arial" w:cs="Aria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211" w:type="dxa"/>
            <w:vAlign w:val="center"/>
          </w:tcPr>
          <w:p>
            <w:pPr>
              <w:pStyle w:val="7"/>
              <w:adjustRightInd w:val="0"/>
              <w:snapToGrid w:val="0"/>
              <w:spacing w:line="300" w:lineRule="auto"/>
              <w:jc w:val="center"/>
              <w:rPr>
                <w:rFonts w:ascii="Arial" w:hAnsi="Arial" w:cs="Arial"/>
              </w:rPr>
            </w:pPr>
            <w:r>
              <w:rPr>
                <w:rFonts w:hint="eastAsia" w:ascii="Arial" w:hAnsi="Arial" w:cs="Arial"/>
              </w:rPr>
              <w:t>服务承诺</w:t>
            </w:r>
          </w:p>
        </w:tc>
        <w:tc>
          <w:tcPr>
            <w:tcW w:w="6297" w:type="dxa"/>
            <w:vAlign w:val="center"/>
          </w:tcPr>
          <w:p>
            <w:pPr>
              <w:pStyle w:val="7"/>
              <w:adjustRightInd w:val="0"/>
              <w:snapToGrid w:val="0"/>
              <w:spacing w:line="300" w:lineRule="auto"/>
              <w:rPr>
                <w:rFonts w:ascii="Arial" w:hAnsi="Arial" w:cs="Arial"/>
              </w:rPr>
            </w:pPr>
            <w:r>
              <w:rPr>
                <w:rFonts w:hint="eastAsia" w:ascii="Arial" w:hAnsi="Arial" w:cs="Arial"/>
              </w:rPr>
              <w:t>投标人在合同履行过程中未采购人提供的设计服务从成果质量、对后期的指导等方面作出书面承诺，依据服务承诺的优劣评审得分。</w:t>
            </w:r>
          </w:p>
        </w:tc>
        <w:tc>
          <w:tcPr>
            <w:tcW w:w="1092" w:type="dxa"/>
            <w:vAlign w:val="center"/>
          </w:tcPr>
          <w:p>
            <w:pPr>
              <w:pStyle w:val="7"/>
              <w:adjustRightInd w:val="0"/>
              <w:snapToGrid w:val="0"/>
              <w:spacing w:line="300" w:lineRule="auto"/>
              <w:jc w:val="center"/>
              <w:rPr>
                <w:rFonts w:ascii="Arial" w:hAnsi="Arial" w:cs="Arial"/>
              </w:rPr>
            </w:pPr>
            <w:r>
              <w:rPr>
                <w:rFonts w:hint="eastAsia" w:ascii="Arial" w:hAnsi="Arial" w:cs="Aria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221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center"/>
              <w:rPr>
                <w:rFonts w:ascii="Arial" w:hAnsi="Arial" w:cs="Arial"/>
                <w:szCs w:val="21"/>
              </w:rPr>
            </w:pPr>
            <w:r>
              <w:rPr>
                <w:rFonts w:hint="eastAsia" w:ascii="Arial" w:hAnsi="Arial" w:cs="Arial"/>
                <w:szCs w:val="21"/>
              </w:rPr>
              <w:t>合计</w:t>
            </w:r>
          </w:p>
        </w:tc>
        <w:tc>
          <w:tcPr>
            <w:tcW w:w="629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left"/>
              <w:rPr>
                <w:rFonts w:ascii="Arial" w:hAnsi="Arial" w:cs="Arial"/>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00" w:lineRule="auto"/>
              <w:jc w:val="center"/>
              <w:rPr>
                <w:rFonts w:ascii="Arial" w:hAnsi="Arial" w:cs="Arial"/>
                <w:szCs w:val="21"/>
              </w:rPr>
            </w:pPr>
            <w:r>
              <w:rPr>
                <w:rFonts w:hint="eastAsia" w:ascii="Arial" w:hAnsi="Arial" w:cs="Arial"/>
                <w:szCs w:val="21"/>
              </w:rPr>
              <w:t>80</w:t>
            </w:r>
          </w:p>
        </w:tc>
      </w:tr>
    </w:tbl>
    <w:p>
      <w:pPr>
        <w:spacing w:line="360" w:lineRule="auto"/>
        <w:ind w:firstLine="420" w:firstLineChars="200"/>
        <w:rPr>
          <w:lang w:val="zh-CN"/>
        </w:rPr>
      </w:pPr>
      <w:bookmarkStart w:id="83" w:name="_Toc466988675"/>
      <w:r>
        <w:rPr>
          <w:rFonts w:hint="eastAsia"/>
          <w:lang w:val="zh-CN"/>
        </w:rPr>
        <w:t>4.第三阶段为磋商</w:t>
      </w:r>
      <w:bookmarkEnd w:id="83"/>
    </w:p>
    <w:p>
      <w:pPr>
        <w:spacing w:line="360" w:lineRule="auto"/>
        <w:ind w:firstLine="420" w:firstLineChars="200"/>
      </w:pPr>
      <w:r>
        <w:rPr>
          <w:rFonts w:hint="eastAsia" w:ascii="宋体" w:hAnsi="宋体"/>
          <w:szCs w:val="21"/>
        </w:rPr>
        <w:t>4.1</w:t>
      </w:r>
      <w:r>
        <w:rPr>
          <w:rFonts w:hint="eastAsia"/>
        </w:rPr>
        <w:t>磋商开始前，磋商小组对各供应商的商务与技术文件和报价文件进行评审，评审合格的供应商进入磋商。</w:t>
      </w:r>
    </w:p>
    <w:p>
      <w:pPr>
        <w:spacing w:line="360" w:lineRule="auto"/>
        <w:ind w:firstLine="420" w:firstLineChars="200"/>
        <w:rPr>
          <w:rFonts w:ascii="宋体" w:hAnsi="宋体"/>
          <w:szCs w:val="21"/>
        </w:rPr>
      </w:pPr>
      <w:r>
        <w:rPr>
          <w:rFonts w:hint="eastAsia" w:ascii="宋体" w:hAnsi="宋体"/>
          <w:szCs w:val="21"/>
        </w:rPr>
        <w:t>4.1磋商的顺序，由采购方在磋商开始前对合格供应商进行抽签或按签到序号进行。供应商在提交截止时间前提交的报价文件作为首次报价，首次报价不公开。</w:t>
      </w:r>
    </w:p>
    <w:p>
      <w:pPr>
        <w:spacing w:line="360" w:lineRule="auto"/>
        <w:ind w:firstLine="420" w:firstLineChars="200"/>
        <w:rPr>
          <w:rFonts w:ascii="宋体" w:hAnsi="宋体"/>
          <w:szCs w:val="21"/>
        </w:rPr>
      </w:pPr>
      <w:r>
        <w:rPr>
          <w:rFonts w:hint="eastAsia" w:ascii="宋体" w:hAnsi="宋体"/>
          <w:szCs w:val="21"/>
        </w:rPr>
        <w:t>4.2开展磋商，磋商小组所有成员集中与单一供应商分别进行磋商。供应商应由法人代表或法人代表授权的人进行磋商，磋商的内容主要有技术规格、价格、售后服务、合同草案，包括当事人的权利和义务、履约期限和方式、资金支付要求、验收标准等。供应商所作的重要答复均应以书面形式，并经法定代表人或授权人签署，作为磋商文件的一部分，对磋商供应商有约束力，但不得对内容进行实质性修改。在磋商中，磋商的任何一方不得透露与磋商有关的其他供应商的技术资料、价格和其他信息。</w:t>
      </w:r>
    </w:p>
    <w:p>
      <w:pPr>
        <w:spacing w:line="360" w:lineRule="auto"/>
        <w:ind w:firstLine="420" w:firstLineChars="200"/>
        <w:rPr>
          <w:rFonts w:ascii="宋体" w:hAnsi="宋体"/>
          <w:szCs w:val="21"/>
        </w:rPr>
      </w:pPr>
      <w:r>
        <w:rPr>
          <w:rFonts w:hint="eastAsia" w:ascii="宋体" w:hAnsi="宋体"/>
          <w:szCs w:val="21"/>
        </w:rPr>
        <w:t>4.3在磋商小组与各供应商进行了相同轮次的谈判后（本次磋商共一轮），为了更好地实现采购目标，磋商小组可以适当调整磋商文件，但涉及实质性变动的，以书面形式通知所有参加磋商的供应商。</w:t>
      </w:r>
    </w:p>
    <w:p>
      <w:pPr>
        <w:spacing w:line="360" w:lineRule="auto"/>
        <w:ind w:firstLine="420" w:firstLineChars="200"/>
      </w:pPr>
      <w:r>
        <w:rPr>
          <w:rFonts w:hint="eastAsia" w:ascii="宋体" w:hAnsi="宋体"/>
          <w:szCs w:val="21"/>
        </w:rPr>
        <w:t>4.4磋商小组在磋商结束后，要求所有参加磋商的供应商在规定时间内报出最后价格，超过规定时间提交的报价作无效处理。最终报价应低于首次报价（谈判内容有调整除外）。</w:t>
      </w:r>
    </w:p>
    <w:p>
      <w:pPr>
        <w:spacing w:line="360" w:lineRule="auto"/>
        <w:ind w:firstLine="420" w:firstLineChars="200"/>
        <w:jc w:val="left"/>
        <w:rPr>
          <w:rFonts w:ascii="宋体" w:hAnsi="宋体"/>
          <w:szCs w:val="21"/>
        </w:rPr>
      </w:pPr>
      <w:r>
        <w:rPr>
          <w:rFonts w:hint="eastAsia" w:ascii="宋体" w:hAnsi="宋体"/>
          <w:szCs w:val="21"/>
        </w:rPr>
        <w:t>4）价格分值计算</w:t>
      </w:r>
    </w:p>
    <w:p>
      <w:pPr>
        <w:spacing w:line="360" w:lineRule="auto"/>
        <w:ind w:firstLine="420" w:firstLineChars="200"/>
        <w:jc w:val="left"/>
        <w:rPr>
          <w:rFonts w:ascii="宋体" w:hAnsi="宋体" w:cs="宋体"/>
          <w:szCs w:val="21"/>
        </w:rPr>
      </w:pPr>
      <w:r>
        <w:rPr>
          <w:rFonts w:hint="eastAsia" w:ascii="宋体" w:hAnsi="宋体"/>
          <w:szCs w:val="21"/>
        </w:rPr>
        <w:t>价格分满分20分，</w:t>
      </w:r>
      <w:r>
        <w:rPr>
          <w:rFonts w:hint="eastAsia" w:ascii="宋体" w:hAnsi="宋体" w:cs="宋体"/>
          <w:szCs w:val="21"/>
        </w:rPr>
        <w:t>（在计算过程中均取小数点后二位，第三位四舍五入，如遇百分数的，则百分号前的小数点后取二位，第三位四舍五入）</w:t>
      </w:r>
      <w:r>
        <w:rPr>
          <w:rFonts w:hint="eastAsia" w:ascii="宋体" w:hAnsi="宋体"/>
          <w:szCs w:val="21"/>
        </w:rPr>
        <w:t>。磋商小组根据供应商的报价分别进行评审。</w:t>
      </w:r>
      <w:r>
        <w:rPr>
          <w:rFonts w:hint="eastAsia" w:ascii="宋体" w:hAnsi="宋体" w:cs="宋体"/>
          <w:szCs w:val="21"/>
        </w:rPr>
        <w:t>各投标人投标报价得分由评标委员会按各投标人的投标报价统一计算（</w:t>
      </w:r>
      <w:r>
        <w:rPr>
          <w:rFonts w:hint="eastAsia" w:ascii="宋体" w:hAnsi="宋体" w:cs="宋体"/>
          <w:b/>
          <w:szCs w:val="21"/>
          <w:u w:val="single"/>
        </w:rPr>
        <w:t>注：对于小型微型企业产品的价格给予6%的扣除，用扣除后的价格计算评标基准价和投标报价。小型微型企业需填写《小微企业声明函》）</w:t>
      </w:r>
      <w:r>
        <w:rPr>
          <w:rFonts w:hint="eastAsia" w:ascii="宋体" w:hAnsi="宋体" w:cs="宋体"/>
          <w:szCs w:val="21"/>
        </w:rPr>
        <w:t>。</w:t>
      </w:r>
    </w:p>
    <w:p>
      <w:pPr>
        <w:spacing w:line="360" w:lineRule="auto"/>
        <w:ind w:firstLine="420" w:firstLineChars="200"/>
        <w:jc w:val="left"/>
        <w:rPr>
          <w:rFonts w:ascii="宋体" w:hAnsi="宋体"/>
          <w:szCs w:val="21"/>
        </w:rPr>
      </w:pPr>
      <w:r>
        <w:rPr>
          <w:rFonts w:hint="eastAsia" w:ascii="宋体" w:hAnsi="宋体"/>
          <w:szCs w:val="21"/>
        </w:rPr>
        <w:t>价格分采用低价优先法计算，即满足磋商文件要求且报价最低的报价为评标基准价，其他供应商的价格分按照下列公式计算：</w:t>
      </w:r>
    </w:p>
    <w:p>
      <w:pPr>
        <w:widowControl/>
        <w:tabs>
          <w:tab w:val="left" w:pos="900"/>
        </w:tabs>
        <w:snapToGrid w:val="0"/>
        <w:spacing w:line="360" w:lineRule="auto"/>
        <w:ind w:firstLine="420" w:firstLineChars="200"/>
        <w:jc w:val="left"/>
        <w:rPr>
          <w:rFonts w:ascii="宋体" w:hAnsi="宋体"/>
          <w:kern w:val="0"/>
          <w:szCs w:val="21"/>
          <w:u w:val="single"/>
        </w:rPr>
      </w:pPr>
      <w:bookmarkStart w:id="84" w:name="_Toc466988676"/>
      <w:r>
        <w:rPr>
          <w:rFonts w:hint="eastAsia" w:ascii="宋体" w:hAnsi="宋体" w:cs="宋体"/>
          <w:kern w:val="0"/>
          <w:szCs w:val="21"/>
          <w:u w:val="single"/>
        </w:rPr>
        <w:t>投标价得分</w:t>
      </w:r>
      <w:r>
        <w:rPr>
          <w:rFonts w:ascii="宋体" w:hAnsi="宋体"/>
          <w:kern w:val="0"/>
          <w:szCs w:val="21"/>
          <w:u w:val="single"/>
        </w:rPr>
        <w:t>=</w:t>
      </w:r>
      <w:r>
        <w:rPr>
          <w:rFonts w:hint="eastAsia" w:ascii="宋体" w:hAnsi="宋体" w:cs="宋体"/>
          <w:kern w:val="0"/>
          <w:szCs w:val="21"/>
          <w:u w:val="single"/>
        </w:rPr>
        <w:t>（评标基准价</w:t>
      </w:r>
      <w:r>
        <w:rPr>
          <w:rFonts w:ascii="宋体" w:hAnsi="宋体"/>
          <w:kern w:val="0"/>
          <w:szCs w:val="21"/>
          <w:u w:val="single"/>
        </w:rPr>
        <w:t>/</w:t>
      </w:r>
      <w:r>
        <w:rPr>
          <w:rFonts w:hint="eastAsia" w:ascii="宋体" w:hAnsi="宋体" w:cs="宋体"/>
          <w:kern w:val="0"/>
          <w:szCs w:val="21"/>
          <w:u w:val="single"/>
        </w:rPr>
        <w:t>投标人投标价）</w:t>
      </w:r>
      <w:r>
        <w:rPr>
          <w:rFonts w:ascii="宋体" w:hAnsi="宋体"/>
          <w:kern w:val="0"/>
          <w:szCs w:val="21"/>
          <w:u w:val="single"/>
        </w:rPr>
        <w:t>×</w:t>
      </w:r>
      <w:r>
        <w:rPr>
          <w:rFonts w:hint="eastAsia" w:ascii="宋体" w:hAnsi="宋体" w:cs="宋体"/>
          <w:kern w:val="0"/>
          <w:szCs w:val="21"/>
          <w:u w:val="single"/>
        </w:rPr>
        <w:t>价格权分（</w:t>
      </w:r>
      <w:r>
        <w:rPr>
          <w:rFonts w:hint="eastAsia" w:ascii="宋体" w:hAnsi="宋体"/>
          <w:kern w:val="0"/>
          <w:szCs w:val="21"/>
          <w:u w:val="single"/>
        </w:rPr>
        <w:t>20</w:t>
      </w:r>
      <w:r>
        <w:rPr>
          <w:rFonts w:ascii="宋体" w:hAnsi="宋体"/>
          <w:kern w:val="0"/>
          <w:szCs w:val="21"/>
          <w:u w:val="single"/>
        </w:rPr>
        <w:t>%</w:t>
      </w:r>
      <w:r>
        <w:rPr>
          <w:rFonts w:hint="eastAsia" w:ascii="宋体" w:hAnsi="宋体" w:cs="宋体"/>
          <w:kern w:val="0"/>
          <w:szCs w:val="21"/>
          <w:u w:val="single"/>
        </w:rPr>
        <w:t>）×</w:t>
      </w:r>
      <w:r>
        <w:rPr>
          <w:rFonts w:ascii="宋体" w:hAnsi="宋体"/>
          <w:kern w:val="0"/>
          <w:szCs w:val="21"/>
          <w:u w:val="single"/>
        </w:rPr>
        <w:t>100</w:t>
      </w:r>
    </w:p>
    <w:p>
      <w:pPr>
        <w:spacing w:line="360" w:lineRule="auto"/>
        <w:ind w:firstLine="422" w:firstLineChars="200"/>
        <w:rPr>
          <w:b/>
          <w:lang w:val="zh-CN"/>
        </w:rPr>
      </w:pPr>
      <w:r>
        <w:rPr>
          <w:rFonts w:hint="eastAsia"/>
          <w:b/>
          <w:lang w:val="zh-CN"/>
        </w:rPr>
        <w:t>5.决标</w:t>
      </w:r>
      <w:bookmarkEnd w:id="84"/>
    </w:p>
    <w:p>
      <w:pPr>
        <w:tabs>
          <w:tab w:val="left" w:pos="574"/>
        </w:tabs>
        <w:spacing w:line="360" w:lineRule="auto"/>
        <w:ind w:firstLine="420" w:firstLineChars="200"/>
        <w:rPr>
          <w:rFonts w:ascii="宋体" w:hAnsi="宋体" w:cs="宋体"/>
          <w:szCs w:val="21"/>
        </w:rPr>
      </w:pPr>
      <w:r>
        <w:rPr>
          <w:rFonts w:hint="eastAsia" w:ascii="宋体" w:hAnsi="宋体" w:cs="宋体"/>
          <w:szCs w:val="21"/>
        </w:rPr>
        <w:t>5.1本项目采用综合评分法。</w:t>
      </w:r>
    </w:p>
    <w:p>
      <w:pPr>
        <w:tabs>
          <w:tab w:val="left" w:pos="574"/>
        </w:tabs>
        <w:spacing w:line="360" w:lineRule="auto"/>
        <w:ind w:firstLine="420" w:firstLineChars="200"/>
        <w:rPr>
          <w:rFonts w:ascii="宋体" w:hAnsi="宋体"/>
          <w:szCs w:val="21"/>
        </w:rPr>
      </w:pPr>
      <w:r>
        <w:rPr>
          <w:rFonts w:hint="eastAsia" w:ascii="宋体" w:hAnsi="宋体"/>
          <w:szCs w:val="21"/>
        </w:rPr>
        <w:t>供应商总得分=技术文件得分+价格分。</w:t>
      </w:r>
    </w:p>
    <w:p>
      <w:pPr>
        <w:tabs>
          <w:tab w:val="left" w:pos="574"/>
        </w:tabs>
        <w:spacing w:line="360" w:lineRule="auto"/>
        <w:ind w:firstLine="420" w:firstLineChars="200"/>
        <w:rPr>
          <w:rFonts w:ascii="宋体" w:hAnsi="宋体" w:cs="宋体"/>
          <w:szCs w:val="21"/>
        </w:rPr>
      </w:pPr>
      <w:r>
        <w:rPr>
          <w:rFonts w:hint="eastAsia" w:ascii="宋体" w:hAnsi="宋体" w:cs="宋体"/>
          <w:szCs w:val="21"/>
        </w:rPr>
        <w:t>5.2成交供应商候选人的确定</w:t>
      </w:r>
    </w:p>
    <w:p>
      <w:pPr>
        <w:tabs>
          <w:tab w:val="left" w:pos="574"/>
        </w:tabs>
        <w:spacing w:line="360" w:lineRule="auto"/>
        <w:ind w:firstLine="420" w:firstLineChars="200"/>
        <w:rPr>
          <w:rFonts w:ascii="宋体" w:hAnsi="宋体" w:cs="宋体"/>
          <w:szCs w:val="21"/>
        </w:rPr>
      </w:pPr>
      <w:r>
        <w:rPr>
          <w:rFonts w:hint="eastAsia" w:ascii="宋体" w:hAnsi="宋体"/>
          <w:szCs w:val="21"/>
        </w:rPr>
        <w:t>成交供应商候选人的排名次序按总得分从高到低顺序排列，即总得分最高者为第一成交供应商候选人；若出现总得分并列，以报价低的排名在前；如总得分和报价均相同，以技术分高者优先；如均相同，则抽签确定。</w:t>
      </w:r>
    </w:p>
    <w:p>
      <w:pPr>
        <w:tabs>
          <w:tab w:val="left" w:pos="574"/>
        </w:tabs>
        <w:spacing w:line="360" w:lineRule="auto"/>
        <w:ind w:firstLine="420" w:firstLineChars="200"/>
        <w:rPr>
          <w:rFonts w:ascii="宋体" w:hAnsi="宋体" w:cs="宋体"/>
          <w:szCs w:val="21"/>
        </w:rPr>
      </w:pPr>
      <w:r>
        <w:rPr>
          <w:rFonts w:hint="eastAsia" w:ascii="宋体" w:hAnsi="宋体" w:cs="宋体"/>
          <w:szCs w:val="21"/>
        </w:rPr>
        <w:t>5.3采购人应当确定排名第一的成交供应商候选人为中标人。排名第一的成交供应商候选人放弃成交，或者因不可抗力提出不能履行合同，</w:t>
      </w:r>
      <w:r>
        <w:rPr>
          <w:rFonts w:hint="eastAsia"/>
        </w:rPr>
        <w:t>或者因成交后经查询供应商、法定代表人有行贿犯罪记录（近三年来），造成其资格无效的，</w:t>
      </w:r>
      <w:r>
        <w:rPr>
          <w:rFonts w:hint="eastAsia" w:ascii="宋体" w:hAnsi="宋体" w:cs="宋体"/>
          <w:szCs w:val="21"/>
        </w:rPr>
        <w:t>或者磋商文件规定应当提交履约担保而在规定的期限内未能提交的，</w:t>
      </w:r>
      <w:r>
        <w:rPr>
          <w:rFonts w:hint="eastAsia" w:ascii="宋体" w:hAnsi="宋体" w:cs="宋体"/>
          <w:szCs w:val="21"/>
          <w:lang w:eastAsia="zh-CN"/>
        </w:rPr>
        <w:t>则</w:t>
      </w:r>
      <w:r>
        <w:rPr>
          <w:rFonts w:hint="eastAsia" w:ascii="宋体" w:hAnsi="宋体" w:cs="宋体"/>
          <w:szCs w:val="21"/>
        </w:rPr>
        <w:t>本次磋商失败。</w:t>
      </w:r>
    </w:p>
    <w:p>
      <w:pPr>
        <w:tabs>
          <w:tab w:val="left" w:pos="574"/>
        </w:tabs>
        <w:spacing w:line="360" w:lineRule="auto"/>
        <w:ind w:firstLine="420" w:firstLineChars="200"/>
        <w:rPr>
          <w:rFonts w:ascii="宋体" w:hAnsi="宋体" w:cs="宋体"/>
          <w:szCs w:val="21"/>
        </w:rPr>
      </w:pPr>
      <w:r>
        <w:rPr>
          <w:rFonts w:hint="eastAsia" w:ascii="宋体" w:hAnsi="宋体" w:cs="宋体"/>
          <w:szCs w:val="21"/>
        </w:rPr>
        <w:t>5.4</w:t>
      </w:r>
      <w:bookmarkStart w:id="122" w:name="_GoBack"/>
      <w:bookmarkEnd w:id="122"/>
      <w:r>
        <w:rPr>
          <w:rFonts w:hint="eastAsia" w:ascii="宋体" w:hAnsi="宋体" w:cs="宋体"/>
          <w:szCs w:val="21"/>
        </w:rPr>
        <w:t>供应商的响应文件不予退还。</w:t>
      </w:r>
    </w:p>
    <w:p>
      <w:pPr>
        <w:tabs>
          <w:tab w:val="left" w:pos="574"/>
        </w:tabs>
        <w:spacing w:line="360" w:lineRule="auto"/>
        <w:rPr>
          <w:rFonts w:ascii="宋体" w:hAnsi="宋体" w:cs="宋体"/>
          <w:szCs w:val="21"/>
        </w:rPr>
      </w:pPr>
      <w:r>
        <w:rPr>
          <w:rFonts w:ascii="宋体" w:hAnsi="宋体" w:cs="宋体"/>
          <w:szCs w:val="21"/>
        </w:rPr>
        <w:br w:type="page"/>
      </w:r>
    </w:p>
    <w:p>
      <w:pPr>
        <w:pStyle w:val="3"/>
        <w:numPr>
          <w:ilvl w:val="0"/>
          <w:numId w:val="0"/>
        </w:numPr>
        <w:spacing w:before="120" w:after="120" w:line="360" w:lineRule="exact"/>
        <w:jc w:val="center"/>
        <w:rPr>
          <w:rFonts w:ascii="黑体" w:hAnsi="宋体" w:eastAsia="黑体"/>
          <w:bCs/>
          <w:sz w:val="32"/>
          <w:szCs w:val="32"/>
        </w:rPr>
      </w:pPr>
      <w:bookmarkStart w:id="85" w:name="_Toc11619"/>
      <w:r>
        <w:rPr>
          <w:rFonts w:hint="eastAsia" w:ascii="黑体" w:hAnsi="宋体" w:eastAsia="黑体"/>
          <w:b w:val="0"/>
          <w:bCs/>
          <w:sz w:val="36"/>
          <w:szCs w:val="36"/>
        </w:rPr>
        <w:t>第五章　</w:t>
      </w:r>
      <w:bookmarkStart w:id="86" w:name="_Toc100474481"/>
      <w:bookmarkStart w:id="87" w:name="_Toc136335612"/>
      <w:bookmarkStart w:id="88" w:name="_Toc107735837"/>
      <w:bookmarkStart w:id="89" w:name="_Toc103956894"/>
      <w:r>
        <w:rPr>
          <w:rFonts w:hint="eastAsia" w:ascii="黑体" w:hAnsi="宋体" w:eastAsia="黑体"/>
          <w:bCs/>
          <w:sz w:val="32"/>
          <w:szCs w:val="32"/>
        </w:rPr>
        <w:t>合同主要协议条款</w:t>
      </w:r>
      <w:bookmarkEnd w:id="85"/>
    </w:p>
    <w:p/>
    <w:p>
      <w:pPr>
        <w:tabs>
          <w:tab w:val="left" w:pos="3960"/>
        </w:tabs>
        <w:spacing w:line="360" w:lineRule="auto"/>
        <w:ind w:firstLine="480" w:firstLineChars="200"/>
        <w:jc w:val="left"/>
        <w:rPr>
          <w:rFonts w:ascii="宋体" w:hAnsi="宋体" w:cs="宋体"/>
          <w:sz w:val="24"/>
        </w:rPr>
      </w:pPr>
      <w:r>
        <w:rPr>
          <w:rFonts w:hint="eastAsia" w:ascii="宋体" w:hAnsi="宋体" w:cs="宋体"/>
          <w:sz w:val="24"/>
        </w:rPr>
        <w:t>本合同根据《中华人民共和国城乡规划法》、《建设工程勘察设计管理条例》和《中华人民共和国合同法》等有关法律、法规要求编制。</w:t>
      </w:r>
    </w:p>
    <w:p>
      <w:pPr>
        <w:tabs>
          <w:tab w:val="left" w:pos="3960"/>
        </w:tabs>
        <w:spacing w:line="360" w:lineRule="auto"/>
        <w:ind w:left="394" w:hanging="393" w:hangingChars="164"/>
        <w:rPr>
          <w:rFonts w:ascii="宋体" w:hAnsi="宋体" w:cs="宋体"/>
          <w:sz w:val="24"/>
          <w:u w:val="single"/>
        </w:rPr>
      </w:pPr>
      <w:r>
        <w:rPr>
          <w:rFonts w:hint="eastAsia" w:ascii="宋体" w:hAnsi="宋体" w:cs="宋体"/>
          <w:sz w:val="24"/>
        </w:rPr>
        <w:t>委托方（甲方）：</w:t>
      </w:r>
    </w:p>
    <w:p>
      <w:pPr>
        <w:pStyle w:val="2"/>
        <w:spacing w:line="360" w:lineRule="auto"/>
        <w:rPr>
          <w:rFonts w:ascii="宋体" w:hAnsi="宋体" w:cs="宋体"/>
          <w:sz w:val="24"/>
          <w:u w:val="single"/>
        </w:rPr>
      </w:pPr>
      <w:r>
        <w:rPr>
          <w:rFonts w:hint="eastAsia" w:ascii="宋体" w:hAnsi="宋体" w:cs="宋体"/>
          <w:sz w:val="24"/>
        </w:rPr>
        <w:t>受托方（乙方）：</w:t>
      </w:r>
    </w:p>
    <w:p>
      <w:pPr>
        <w:numPr>
          <w:ilvl w:val="0"/>
          <w:numId w:val="6"/>
        </w:numPr>
        <w:snapToGrid w:val="0"/>
        <w:spacing w:line="360" w:lineRule="auto"/>
        <w:rPr>
          <w:rFonts w:ascii="宋体" w:hAnsi="宋体" w:cs="宋体"/>
          <w:sz w:val="24"/>
        </w:rPr>
      </w:pPr>
      <w:r>
        <w:rPr>
          <w:rFonts w:hint="eastAsia" w:ascii="宋体" w:hAnsi="宋体" w:cs="宋体"/>
          <w:sz w:val="24"/>
        </w:rPr>
        <w:t>项目名称：三门县客运中心及三门湾科创广场周边区块交通规划研究采购项目</w:t>
      </w:r>
    </w:p>
    <w:p>
      <w:pPr>
        <w:numPr>
          <w:ilvl w:val="0"/>
          <w:numId w:val="6"/>
        </w:numPr>
        <w:snapToGrid w:val="0"/>
        <w:spacing w:line="360" w:lineRule="auto"/>
        <w:rPr>
          <w:rFonts w:ascii="宋体" w:hAnsi="宋体" w:cs="宋体"/>
          <w:sz w:val="24"/>
        </w:rPr>
      </w:pPr>
      <w:r>
        <w:rPr>
          <w:rFonts w:hint="eastAsia" w:ascii="宋体" w:hAnsi="宋体" w:cs="宋体"/>
          <w:sz w:val="24"/>
        </w:rPr>
        <w:t>项目内容和具体要求：</w:t>
      </w:r>
    </w:p>
    <w:p>
      <w:pPr>
        <w:spacing w:line="360" w:lineRule="auto"/>
        <w:jc w:val="left"/>
        <w:outlineLvl w:val="0"/>
        <w:rPr>
          <w:rFonts w:ascii="宋体" w:hAnsi="宋体" w:cs="宋体"/>
          <w:b/>
          <w:sz w:val="24"/>
        </w:rPr>
      </w:pPr>
      <w:bookmarkStart w:id="90" w:name="_Toc3671"/>
      <w:r>
        <w:rPr>
          <w:rFonts w:hint="eastAsia" w:ascii="宋体" w:hAnsi="宋体" w:cs="宋体"/>
          <w:b/>
          <w:sz w:val="24"/>
        </w:rPr>
        <w:t>1、现状分析</w:t>
      </w:r>
      <w:bookmarkEnd w:id="90"/>
    </w:p>
    <w:p>
      <w:pPr>
        <w:numPr>
          <w:ilvl w:val="0"/>
          <w:numId w:val="7"/>
        </w:numPr>
        <w:spacing w:line="360" w:lineRule="auto"/>
        <w:rPr>
          <w:rFonts w:ascii="宋体" w:hAnsi="宋体" w:cs="宋体"/>
          <w:sz w:val="24"/>
        </w:rPr>
      </w:pPr>
      <w:r>
        <w:rPr>
          <w:rFonts w:hint="eastAsia" w:ascii="宋体" w:hAnsi="宋体" w:cs="宋体"/>
          <w:sz w:val="24"/>
        </w:rPr>
        <w:t>现状周边道路交通设施、用地状况分析。</w:t>
      </w:r>
    </w:p>
    <w:p>
      <w:pPr>
        <w:numPr>
          <w:ilvl w:val="0"/>
          <w:numId w:val="7"/>
        </w:numPr>
        <w:spacing w:line="360" w:lineRule="auto"/>
        <w:rPr>
          <w:rFonts w:ascii="宋体" w:hAnsi="宋体" w:cs="宋体"/>
          <w:sz w:val="24"/>
        </w:rPr>
      </w:pPr>
      <w:r>
        <w:rPr>
          <w:rFonts w:hint="eastAsia" w:ascii="宋体" w:hAnsi="宋体" w:cs="宋体"/>
          <w:sz w:val="24"/>
        </w:rPr>
        <w:t>现状道路交通流量和服务水平分析。</w:t>
      </w:r>
    </w:p>
    <w:p>
      <w:pPr>
        <w:numPr>
          <w:ilvl w:val="0"/>
          <w:numId w:val="7"/>
        </w:numPr>
        <w:spacing w:line="360" w:lineRule="auto"/>
        <w:rPr>
          <w:rFonts w:ascii="宋体" w:hAnsi="宋体" w:cs="宋体"/>
          <w:sz w:val="24"/>
        </w:rPr>
      </w:pPr>
      <w:r>
        <w:rPr>
          <w:rFonts w:hint="eastAsia" w:ascii="宋体" w:hAnsi="宋体" w:cs="宋体"/>
          <w:sz w:val="24"/>
        </w:rPr>
        <w:t>现状公共交通分析。</w:t>
      </w:r>
    </w:p>
    <w:p>
      <w:pPr>
        <w:numPr>
          <w:ilvl w:val="0"/>
          <w:numId w:val="7"/>
        </w:numPr>
        <w:spacing w:line="360" w:lineRule="auto"/>
        <w:rPr>
          <w:rFonts w:ascii="宋体" w:hAnsi="宋体" w:cs="宋体"/>
          <w:sz w:val="24"/>
        </w:rPr>
      </w:pPr>
      <w:r>
        <w:rPr>
          <w:rFonts w:hint="eastAsia" w:ascii="宋体" w:hAnsi="宋体" w:cs="宋体"/>
          <w:sz w:val="24"/>
        </w:rPr>
        <w:t>现状客运站客运量、接驳方式等分析。</w:t>
      </w:r>
    </w:p>
    <w:p>
      <w:pPr>
        <w:spacing w:line="360" w:lineRule="auto"/>
        <w:jc w:val="left"/>
        <w:outlineLvl w:val="0"/>
        <w:rPr>
          <w:rFonts w:ascii="宋体" w:hAnsi="宋体" w:cs="宋体"/>
          <w:b/>
          <w:sz w:val="24"/>
        </w:rPr>
      </w:pPr>
      <w:bookmarkStart w:id="91" w:name="_Toc5621"/>
      <w:r>
        <w:rPr>
          <w:rFonts w:hint="eastAsia" w:ascii="宋体" w:hAnsi="宋体" w:cs="宋体"/>
          <w:b/>
          <w:sz w:val="24"/>
        </w:rPr>
        <w:t>2、规划分析</w:t>
      </w:r>
      <w:bookmarkEnd w:id="91"/>
    </w:p>
    <w:p>
      <w:pPr>
        <w:tabs>
          <w:tab w:val="left" w:pos="540"/>
        </w:tabs>
        <w:spacing w:line="360" w:lineRule="auto"/>
        <w:ind w:firstLine="480" w:firstLineChars="200"/>
        <w:rPr>
          <w:rFonts w:ascii="宋体" w:hAnsi="宋体" w:cs="宋体"/>
          <w:sz w:val="24"/>
        </w:rPr>
      </w:pPr>
      <w:r>
        <w:rPr>
          <w:rFonts w:hint="eastAsia" w:ascii="宋体" w:hAnsi="宋体" w:cs="宋体"/>
          <w:sz w:val="24"/>
        </w:rPr>
        <w:t>区域规划道路交通设施、用地状况分析。</w:t>
      </w:r>
    </w:p>
    <w:p>
      <w:pPr>
        <w:spacing w:line="360" w:lineRule="auto"/>
        <w:jc w:val="left"/>
        <w:outlineLvl w:val="0"/>
        <w:rPr>
          <w:rFonts w:ascii="宋体" w:hAnsi="宋体" w:cs="宋体"/>
          <w:b/>
          <w:sz w:val="24"/>
        </w:rPr>
      </w:pPr>
      <w:bookmarkStart w:id="92" w:name="_Toc5149"/>
      <w:r>
        <w:rPr>
          <w:rFonts w:hint="eastAsia" w:ascii="宋体" w:hAnsi="宋体" w:cs="宋体"/>
          <w:b/>
          <w:sz w:val="24"/>
        </w:rPr>
        <w:t>3、交通影响范围内主要规划内容</w:t>
      </w:r>
      <w:bookmarkEnd w:id="92"/>
    </w:p>
    <w:p>
      <w:pPr>
        <w:tabs>
          <w:tab w:val="left" w:pos="540"/>
        </w:tabs>
        <w:spacing w:line="360" w:lineRule="auto"/>
        <w:ind w:firstLine="480" w:firstLineChars="200"/>
        <w:rPr>
          <w:rFonts w:ascii="宋体" w:hAnsi="宋体" w:cs="宋体"/>
          <w:sz w:val="24"/>
        </w:rPr>
      </w:pPr>
      <w:r>
        <w:rPr>
          <w:rFonts w:hint="eastAsia" w:ascii="宋体" w:hAnsi="宋体" w:cs="宋体"/>
          <w:sz w:val="24"/>
        </w:rPr>
        <w:t>对客运中心区块（含客运站、行政服务中心和万金山公馆以及相应的配套设施）进行专项交通影响分析，具体内容符合《建设项目交通影响评价技术标准》、《浙江省工程建设项目交通影响评价技术导则》的要求。</w:t>
      </w:r>
    </w:p>
    <w:p>
      <w:pPr>
        <w:spacing w:line="360" w:lineRule="auto"/>
        <w:jc w:val="left"/>
        <w:outlineLvl w:val="0"/>
        <w:rPr>
          <w:rFonts w:ascii="宋体" w:hAnsi="宋体" w:cs="宋体"/>
          <w:b/>
          <w:sz w:val="24"/>
        </w:rPr>
      </w:pPr>
      <w:bookmarkStart w:id="93" w:name="_Toc23889"/>
      <w:r>
        <w:rPr>
          <w:rFonts w:hint="eastAsia" w:ascii="宋体" w:hAnsi="宋体" w:cs="宋体"/>
          <w:b/>
          <w:sz w:val="24"/>
        </w:rPr>
        <w:t>4、交通协调范围内主要规划内容</w:t>
      </w:r>
      <w:bookmarkEnd w:id="93"/>
    </w:p>
    <w:p>
      <w:pPr>
        <w:spacing w:line="360" w:lineRule="auto"/>
        <w:ind w:firstLine="480" w:firstLineChars="200"/>
        <w:rPr>
          <w:rFonts w:ascii="宋体" w:hAnsi="宋体" w:cs="宋体"/>
          <w:sz w:val="24"/>
        </w:rPr>
      </w:pPr>
      <w:r>
        <w:rPr>
          <w:rFonts w:hint="eastAsia" w:ascii="宋体"/>
          <w:sz w:val="24"/>
        </w:rPr>
        <w:t>对三门湾科创中心区块（含高新技术企业孵化园、富聚胶带制造有限公司、装饰城市场等客运中心周边的几大地块）</w:t>
      </w:r>
      <w:r>
        <w:rPr>
          <w:rFonts w:hint="eastAsia" w:ascii="宋体" w:hAnsi="宋体" w:cs="宋体"/>
          <w:sz w:val="24"/>
        </w:rPr>
        <w:t>与客运中心之间的交通相互影响，进行交通梳理。</w:t>
      </w:r>
    </w:p>
    <w:p>
      <w:pPr>
        <w:spacing w:line="360" w:lineRule="auto"/>
        <w:jc w:val="left"/>
        <w:outlineLvl w:val="0"/>
        <w:rPr>
          <w:rFonts w:ascii="宋体" w:hAnsi="宋体" w:cs="宋体"/>
          <w:b/>
          <w:sz w:val="24"/>
        </w:rPr>
      </w:pPr>
      <w:bookmarkStart w:id="94" w:name="_Toc28316"/>
      <w:r>
        <w:rPr>
          <w:rFonts w:hint="eastAsia" w:ascii="宋体" w:hAnsi="宋体" w:cs="宋体"/>
          <w:b/>
          <w:sz w:val="24"/>
        </w:rPr>
        <w:t>5、道路网优化</w:t>
      </w:r>
      <w:bookmarkEnd w:id="94"/>
    </w:p>
    <w:p>
      <w:pPr>
        <w:tabs>
          <w:tab w:val="left" w:pos="540"/>
        </w:tabs>
        <w:spacing w:line="360" w:lineRule="auto"/>
        <w:ind w:firstLine="480" w:firstLineChars="200"/>
        <w:rPr>
          <w:rFonts w:ascii="宋体" w:hAnsi="宋体" w:cs="宋体"/>
          <w:sz w:val="24"/>
        </w:rPr>
      </w:pPr>
      <w:r>
        <w:rPr>
          <w:rFonts w:hint="eastAsia" w:ascii="宋体" w:hAnsi="宋体" w:cs="宋体"/>
          <w:sz w:val="24"/>
        </w:rPr>
        <w:t>根据交通影响范围、交通协调范围内各个地块的交通量预测，对周边区域道路网，主要是兴业路、工业大道、凤鸣路、科技路、224省道等道路网进行服务水平评价，并对道路断面、中央分隔带的封闭和打开、辅道机动车通行、交叉口渠化、出入口合并或者限左等提出改善建议和意见。</w:t>
      </w:r>
    </w:p>
    <w:p>
      <w:pPr>
        <w:snapToGrid w:val="0"/>
        <w:spacing w:line="360" w:lineRule="auto"/>
        <w:rPr>
          <w:rFonts w:ascii="宋体" w:hAnsi="宋体" w:cs="宋体"/>
          <w:sz w:val="24"/>
        </w:rPr>
      </w:pPr>
      <w:r>
        <w:rPr>
          <w:rFonts w:hint="eastAsia" w:ascii="宋体" w:hAnsi="宋体" w:cs="宋体"/>
          <w:sz w:val="24"/>
        </w:rPr>
        <w:t>三、项目、技术经济及技术标准：</w:t>
      </w:r>
    </w:p>
    <w:p>
      <w:pPr>
        <w:pStyle w:val="2"/>
        <w:spacing w:line="360" w:lineRule="auto"/>
        <w:ind w:firstLine="480" w:firstLineChars="200"/>
        <w:rPr>
          <w:rFonts w:ascii="宋体" w:hAnsi="宋体" w:cs="宋体"/>
          <w:sz w:val="24"/>
        </w:rPr>
      </w:pPr>
      <w:r>
        <w:rPr>
          <w:rFonts w:hint="eastAsia" w:ascii="宋体" w:hAnsi="宋体" w:cs="宋体"/>
          <w:sz w:val="24"/>
        </w:rPr>
        <w:t>符合《中华人民共和国城乡规划法》等有关法律、法规，内容深度达到建设部《城市规划编制办法》及省、市等地方相关法律、法规要求。</w:t>
      </w:r>
    </w:p>
    <w:p>
      <w:pPr>
        <w:snapToGrid w:val="0"/>
        <w:spacing w:line="360" w:lineRule="auto"/>
        <w:rPr>
          <w:rFonts w:ascii="宋体" w:hAnsi="宋体" w:cs="宋体"/>
          <w:sz w:val="24"/>
        </w:rPr>
      </w:pPr>
      <w:r>
        <w:rPr>
          <w:rFonts w:hint="eastAsia" w:ascii="宋体" w:hAnsi="宋体" w:cs="宋体"/>
          <w:sz w:val="24"/>
        </w:rPr>
        <w:t>四、甲方承担的主要工作内容及责任：</w:t>
      </w:r>
    </w:p>
    <w:p>
      <w:pPr>
        <w:numPr>
          <w:ilvl w:val="0"/>
          <w:numId w:val="8"/>
        </w:numPr>
        <w:snapToGrid w:val="0"/>
        <w:spacing w:line="360" w:lineRule="auto"/>
        <w:rPr>
          <w:rFonts w:ascii="宋体" w:hAnsi="宋体" w:cs="宋体"/>
          <w:b/>
          <w:bCs/>
          <w:sz w:val="24"/>
        </w:rPr>
      </w:pPr>
      <w:r>
        <w:rPr>
          <w:rFonts w:hint="eastAsia" w:ascii="宋体" w:hAnsi="宋体" w:cs="宋体"/>
          <w:b/>
          <w:bCs/>
          <w:color w:val="333333"/>
          <w:sz w:val="24"/>
        </w:rPr>
        <w:t>合同签定后</w:t>
      </w:r>
      <w:r>
        <w:rPr>
          <w:rFonts w:hint="eastAsia" w:ascii="宋体" w:hAnsi="宋体" w:cs="宋体"/>
          <w:b/>
          <w:bCs/>
          <w:sz w:val="24"/>
        </w:rPr>
        <w:t>一周</w:t>
      </w:r>
      <w:r>
        <w:rPr>
          <w:rFonts w:hint="eastAsia" w:ascii="宋体" w:hAnsi="宋体" w:cs="宋体"/>
          <w:b/>
          <w:bCs/>
          <w:color w:val="333333"/>
          <w:sz w:val="24"/>
        </w:rPr>
        <w:t>内须按双方约定的金额向乙方支付预付款，设计周期自乙方收到预付款之日起开始计算。</w:t>
      </w:r>
    </w:p>
    <w:p>
      <w:pPr>
        <w:numPr>
          <w:ilvl w:val="0"/>
          <w:numId w:val="8"/>
        </w:numPr>
        <w:snapToGrid w:val="0"/>
        <w:spacing w:line="360" w:lineRule="auto"/>
        <w:rPr>
          <w:rFonts w:ascii="宋体" w:hAnsi="宋体" w:cs="宋体"/>
          <w:sz w:val="24"/>
        </w:rPr>
      </w:pPr>
      <w:r>
        <w:rPr>
          <w:rFonts w:hint="eastAsia" w:ascii="宋体" w:hAnsi="宋体" w:cs="宋体"/>
          <w:sz w:val="24"/>
        </w:rPr>
        <w:t>按时接收和审查乙方提交的各阶段成果，同时向乙方及时支付相应阶段的规划设计费用。</w:t>
      </w:r>
    </w:p>
    <w:p>
      <w:pPr>
        <w:numPr>
          <w:ilvl w:val="0"/>
          <w:numId w:val="8"/>
        </w:numPr>
        <w:snapToGrid w:val="0"/>
        <w:spacing w:line="360" w:lineRule="auto"/>
        <w:rPr>
          <w:rFonts w:ascii="宋体" w:hAnsi="宋体" w:cs="宋体"/>
          <w:sz w:val="24"/>
        </w:rPr>
      </w:pPr>
      <w:r>
        <w:rPr>
          <w:rFonts w:hint="eastAsia" w:ascii="宋体" w:hAnsi="宋体" w:cs="宋体"/>
          <w:sz w:val="24"/>
        </w:rPr>
        <w:t>按照乙方的提纲提供技术基础资料。（提纲清单另附）</w:t>
      </w:r>
    </w:p>
    <w:p>
      <w:pPr>
        <w:numPr>
          <w:ilvl w:val="0"/>
          <w:numId w:val="8"/>
        </w:numPr>
        <w:snapToGrid w:val="0"/>
        <w:spacing w:line="360" w:lineRule="auto"/>
        <w:rPr>
          <w:rFonts w:ascii="宋体" w:hAnsi="宋体" w:cs="宋体"/>
          <w:sz w:val="24"/>
        </w:rPr>
      </w:pPr>
      <w:r>
        <w:rPr>
          <w:rFonts w:hint="eastAsia" w:ascii="宋体" w:hAnsi="宋体" w:cs="宋体"/>
          <w:sz w:val="24"/>
        </w:rPr>
        <w:t>按照商议的工作日程组织方案审查，并书面返回意见。</w:t>
      </w:r>
    </w:p>
    <w:p>
      <w:pPr>
        <w:numPr>
          <w:ilvl w:val="0"/>
          <w:numId w:val="8"/>
        </w:numPr>
        <w:snapToGrid w:val="0"/>
        <w:spacing w:line="360" w:lineRule="auto"/>
        <w:rPr>
          <w:rFonts w:ascii="宋体" w:hAnsi="宋体" w:cs="宋体"/>
          <w:sz w:val="24"/>
        </w:rPr>
      </w:pPr>
      <w:r>
        <w:rPr>
          <w:rFonts w:hint="eastAsia" w:ascii="宋体" w:hAnsi="宋体" w:cs="宋体"/>
          <w:sz w:val="24"/>
        </w:rPr>
        <w:t>变更计划与工作日程时，及时书面通知乙方。</w:t>
      </w:r>
    </w:p>
    <w:p>
      <w:pPr>
        <w:numPr>
          <w:ilvl w:val="0"/>
          <w:numId w:val="8"/>
        </w:numPr>
        <w:snapToGrid w:val="0"/>
        <w:spacing w:line="360" w:lineRule="auto"/>
        <w:rPr>
          <w:rFonts w:ascii="宋体" w:hAnsi="宋体" w:cs="宋体"/>
          <w:sz w:val="24"/>
        </w:rPr>
      </w:pPr>
      <w:r>
        <w:rPr>
          <w:rFonts w:hint="eastAsia" w:ascii="宋体" w:hAnsi="宋体" w:cs="宋体"/>
          <w:sz w:val="24"/>
        </w:rPr>
        <w:t>为乙方在现场的工作提供方便。</w:t>
      </w:r>
    </w:p>
    <w:p>
      <w:pPr>
        <w:numPr>
          <w:ilvl w:val="0"/>
          <w:numId w:val="8"/>
        </w:numPr>
        <w:snapToGrid w:val="0"/>
        <w:spacing w:line="360" w:lineRule="auto"/>
        <w:rPr>
          <w:rFonts w:ascii="宋体" w:hAnsi="宋体" w:cs="宋体"/>
          <w:sz w:val="24"/>
        </w:rPr>
      </w:pPr>
      <w:r>
        <w:rPr>
          <w:rFonts w:hint="eastAsia" w:ascii="宋体" w:hAnsi="宋体" w:cs="宋体"/>
          <w:sz w:val="24"/>
        </w:rPr>
        <w:t>因乙方责任未按时提交阶段成果，甲方有权顺延支付相应阶段设计费用。</w:t>
      </w:r>
    </w:p>
    <w:p>
      <w:pPr>
        <w:numPr>
          <w:ilvl w:val="0"/>
          <w:numId w:val="8"/>
        </w:numPr>
        <w:snapToGrid w:val="0"/>
        <w:spacing w:line="360" w:lineRule="auto"/>
        <w:rPr>
          <w:rFonts w:ascii="宋体" w:hAnsi="宋体" w:cs="宋体"/>
          <w:sz w:val="24"/>
        </w:rPr>
      </w:pPr>
      <w:r>
        <w:rPr>
          <w:rFonts w:hint="eastAsia" w:ascii="宋体" w:hAnsi="宋体" w:cs="宋体"/>
          <w:sz w:val="24"/>
        </w:rPr>
        <w:t>甲方有权了解规划编制进度和质量，乙方应积极配合并如实反映。</w:t>
      </w:r>
    </w:p>
    <w:p>
      <w:pPr>
        <w:pStyle w:val="2"/>
        <w:spacing w:line="360" w:lineRule="auto"/>
        <w:rPr>
          <w:rFonts w:ascii="宋体" w:hAnsi="宋体" w:cs="宋体"/>
          <w:sz w:val="24"/>
        </w:rPr>
      </w:pPr>
      <w:r>
        <w:rPr>
          <w:rFonts w:hint="eastAsia" w:ascii="宋体" w:hAnsi="宋体" w:cs="宋体"/>
          <w:sz w:val="24"/>
        </w:rPr>
        <w:t>甲方领取成果时，须办理相关接收手续。</w:t>
      </w:r>
    </w:p>
    <w:p>
      <w:pPr>
        <w:snapToGrid w:val="0"/>
        <w:spacing w:line="360" w:lineRule="auto"/>
        <w:rPr>
          <w:rFonts w:ascii="宋体" w:hAnsi="宋体" w:cs="宋体"/>
          <w:sz w:val="24"/>
        </w:rPr>
      </w:pPr>
      <w:r>
        <w:rPr>
          <w:rFonts w:hint="eastAsia" w:ascii="宋体" w:hAnsi="宋体" w:cs="宋体"/>
          <w:sz w:val="24"/>
        </w:rPr>
        <w:t>五、乙方承担的主要工作内容及责任：</w:t>
      </w:r>
    </w:p>
    <w:p>
      <w:pPr>
        <w:numPr>
          <w:ilvl w:val="0"/>
          <w:numId w:val="9"/>
        </w:numPr>
        <w:snapToGrid w:val="0"/>
        <w:spacing w:line="360" w:lineRule="auto"/>
        <w:rPr>
          <w:rFonts w:ascii="宋体" w:hAnsi="宋体" w:cs="宋体"/>
          <w:b/>
          <w:bCs/>
          <w:sz w:val="24"/>
        </w:rPr>
      </w:pPr>
      <w:r>
        <w:rPr>
          <w:rFonts w:hint="eastAsia" w:ascii="宋体" w:hAnsi="宋体" w:cs="宋体"/>
          <w:b/>
          <w:bCs/>
          <w:sz w:val="24"/>
        </w:rPr>
        <w:t>收到甲方预付款后，即安排生产设计任务。因甲方未按时、足额支付预付款，乙方有权推迟设计工作的开始时间，且交付成果的时间相应顺延。</w:t>
      </w:r>
    </w:p>
    <w:p>
      <w:pPr>
        <w:numPr>
          <w:ilvl w:val="0"/>
          <w:numId w:val="9"/>
        </w:numPr>
        <w:snapToGrid w:val="0"/>
        <w:spacing w:line="360" w:lineRule="auto"/>
        <w:rPr>
          <w:rFonts w:ascii="宋体" w:hAnsi="宋体" w:cs="宋体"/>
          <w:b/>
          <w:bCs/>
          <w:sz w:val="24"/>
        </w:rPr>
      </w:pPr>
      <w:r>
        <w:rPr>
          <w:rFonts w:hint="eastAsia" w:ascii="宋体" w:hAnsi="宋体" w:cs="宋体"/>
          <w:b/>
          <w:bCs/>
          <w:sz w:val="24"/>
        </w:rPr>
        <w:t>按合同约定向甲方提交各阶段成果，同时收取相应阶段的规划设计费用。</w:t>
      </w:r>
    </w:p>
    <w:p>
      <w:pPr>
        <w:numPr>
          <w:ilvl w:val="0"/>
          <w:numId w:val="9"/>
        </w:numPr>
        <w:snapToGrid w:val="0"/>
        <w:spacing w:line="360" w:lineRule="auto"/>
        <w:rPr>
          <w:rFonts w:ascii="宋体" w:hAnsi="宋体" w:cs="宋体"/>
          <w:sz w:val="24"/>
        </w:rPr>
      </w:pPr>
      <w:r>
        <w:rPr>
          <w:rFonts w:hint="eastAsia" w:ascii="宋体" w:hAnsi="宋体" w:cs="宋体"/>
          <w:sz w:val="24"/>
        </w:rPr>
        <w:t>向甲方书面提出技术基础资料提纲。</w:t>
      </w:r>
    </w:p>
    <w:p>
      <w:pPr>
        <w:numPr>
          <w:ilvl w:val="0"/>
          <w:numId w:val="9"/>
        </w:numPr>
        <w:snapToGrid w:val="0"/>
        <w:spacing w:line="360" w:lineRule="auto"/>
        <w:rPr>
          <w:rFonts w:ascii="宋体" w:hAnsi="宋体" w:cs="宋体"/>
          <w:sz w:val="24"/>
        </w:rPr>
      </w:pPr>
      <w:r>
        <w:rPr>
          <w:rFonts w:hint="eastAsia" w:ascii="宋体" w:hAnsi="宋体" w:cs="宋体"/>
          <w:sz w:val="24"/>
        </w:rPr>
        <w:t>在编制过程中乙方应积极主动与甲方沟通，准确了解和贯彻甲方意图。</w:t>
      </w:r>
    </w:p>
    <w:p>
      <w:pPr>
        <w:numPr>
          <w:ilvl w:val="0"/>
          <w:numId w:val="9"/>
        </w:numPr>
        <w:snapToGrid w:val="0"/>
        <w:spacing w:line="360" w:lineRule="auto"/>
        <w:rPr>
          <w:rFonts w:ascii="宋体" w:hAnsi="宋体" w:cs="宋体"/>
          <w:sz w:val="24"/>
        </w:rPr>
      </w:pPr>
      <w:r>
        <w:rPr>
          <w:rFonts w:hint="eastAsia" w:ascii="宋体" w:hAnsi="宋体" w:cs="宋体"/>
          <w:sz w:val="24"/>
        </w:rPr>
        <w:t>按照双方商议的工作日程提交并汇报各阶段成果。</w:t>
      </w:r>
    </w:p>
    <w:p>
      <w:pPr>
        <w:numPr>
          <w:ilvl w:val="0"/>
          <w:numId w:val="9"/>
        </w:numPr>
        <w:snapToGrid w:val="0"/>
        <w:spacing w:line="360" w:lineRule="auto"/>
        <w:rPr>
          <w:rFonts w:ascii="宋体" w:hAnsi="宋体" w:cs="宋体"/>
          <w:sz w:val="24"/>
        </w:rPr>
      </w:pPr>
      <w:r>
        <w:rPr>
          <w:rFonts w:hint="eastAsia" w:ascii="宋体" w:hAnsi="宋体" w:cs="宋体"/>
          <w:sz w:val="24"/>
        </w:rPr>
        <w:t>变更规划、设计工作日程时，及时书面通知甲方。</w:t>
      </w:r>
    </w:p>
    <w:p>
      <w:pPr>
        <w:numPr>
          <w:ilvl w:val="0"/>
          <w:numId w:val="9"/>
        </w:numPr>
        <w:snapToGrid w:val="0"/>
        <w:spacing w:line="360" w:lineRule="auto"/>
        <w:rPr>
          <w:rFonts w:ascii="宋体" w:hAnsi="宋体" w:cs="宋体"/>
          <w:sz w:val="24"/>
        </w:rPr>
      </w:pPr>
      <w:r>
        <w:rPr>
          <w:rFonts w:hint="eastAsia" w:ascii="宋体" w:hAnsi="宋体" w:cs="宋体"/>
          <w:sz w:val="24"/>
        </w:rPr>
        <w:t>按甲方的要求和国家、省、市等地方有关规定，保质保量完成规划、设计任务。非乙方原因导致评审通不过的，乙方不承担任何责任。</w:t>
      </w:r>
    </w:p>
    <w:p>
      <w:pPr>
        <w:numPr>
          <w:ilvl w:val="0"/>
          <w:numId w:val="9"/>
        </w:numPr>
        <w:tabs>
          <w:tab w:val="left" w:pos="720"/>
          <w:tab w:val="clear" w:pos="920"/>
        </w:tabs>
        <w:snapToGrid w:val="0"/>
        <w:spacing w:line="360" w:lineRule="auto"/>
        <w:jc w:val="left"/>
        <w:rPr>
          <w:rFonts w:ascii="宋体" w:hAnsi="宋体" w:cs="宋体"/>
          <w:sz w:val="24"/>
        </w:rPr>
      </w:pPr>
      <w:r>
        <w:rPr>
          <w:rFonts w:hint="eastAsia" w:ascii="宋体" w:hAnsi="宋体" w:cs="宋体"/>
          <w:sz w:val="24"/>
        </w:rPr>
        <w:t xml:space="preserve">按国家规定的数量，递交各阶段规划成果。其中中间成果 </w:t>
      </w:r>
      <w:r>
        <w:rPr>
          <w:rFonts w:hint="eastAsia" w:ascii="宋体" w:hAnsi="宋体" w:cs="宋体"/>
          <w:sz w:val="24"/>
          <w:u w:val="single"/>
        </w:rPr>
        <w:t xml:space="preserve">6 </w:t>
      </w:r>
      <w:r>
        <w:rPr>
          <w:rFonts w:hint="eastAsia" w:ascii="宋体" w:hAnsi="宋体" w:cs="宋体"/>
          <w:sz w:val="24"/>
        </w:rPr>
        <w:t>份;最终成果</w:t>
      </w:r>
      <w:r>
        <w:rPr>
          <w:rFonts w:hint="eastAsia" w:ascii="宋体" w:hAnsi="宋体" w:cs="宋体"/>
          <w:sz w:val="24"/>
          <w:u w:val="single"/>
        </w:rPr>
        <w:t>6</w:t>
      </w:r>
      <w:r>
        <w:rPr>
          <w:rFonts w:hint="eastAsia" w:ascii="宋体" w:hAnsi="宋体" w:cs="宋体"/>
          <w:sz w:val="24"/>
        </w:rPr>
        <w:t>份，电子文件</w:t>
      </w:r>
      <w:r>
        <w:rPr>
          <w:rFonts w:hint="eastAsia" w:ascii="宋体" w:hAnsi="宋体" w:cs="宋体"/>
          <w:sz w:val="24"/>
          <w:u w:val="single"/>
        </w:rPr>
        <w:t xml:space="preserve"> 1 </w:t>
      </w:r>
      <w:r>
        <w:rPr>
          <w:rFonts w:hint="eastAsia" w:ascii="宋体" w:hAnsi="宋体" w:cs="宋体"/>
          <w:sz w:val="24"/>
        </w:rPr>
        <w:t>套(</w:t>
      </w:r>
      <w:r>
        <w:rPr>
          <w:rFonts w:hint="eastAsia" w:ascii="宋体" w:hAnsi="宋体" w:cs="宋体"/>
          <w:b/>
          <w:bCs/>
          <w:sz w:val="24"/>
        </w:rPr>
        <w:t>甲方结清规划设计费后)</w:t>
      </w:r>
      <w:r>
        <w:rPr>
          <w:rFonts w:hint="eastAsia" w:ascii="宋体" w:hAnsi="宋体" w:cs="宋体"/>
          <w:sz w:val="24"/>
        </w:rPr>
        <w:t>，增加部份另收成本费</w:t>
      </w:r>
      <w:r>
        <w:rPr>
          <w:rFonts w:hint="eastAsia" w:ascii="宋体" w:hAnsi="宋体" w:cs="宋体"/>
          <w:b/>
          <w:bCs/>
          <w:sz w:val="24"/>
        </w:rPr>
        <w:t>。</w:t>
      </w:r>
    </w:p>
    <w:p>
      <w:pPr>
        <w:snapToGrid w:val="0"/>
        <w:spacing w:line="360" w:lineRule="auto"/>
        <w:rPr>
          <w:rFonts w:ascii="宋体" w:hAnsi="宋体" w:cs="宋体"/>
          <w:sz w:val="24"/>
        </w:rPr>
      </w:pPr>
      <w:r>
        <w:rPr>
          <w:rFonts w:hint="eastAsia" w:ascii="宋体" w:hAnsi="宋体" w:cs="宋体"/>
          <w:sz w:val="24"/>
        </w:rPr>
        <w:t>六、实施计划进度和完成项目期限：</w:t>
      </w:r>
    </w:p>
    <w:p>
      <w:pPr>
        <w:spacing w:line="360" w:lineRule="auto"/>
        <w:ind w:firstLine="480" w:firstLineChars="200"/>
        <w:rPr>
          <w:rFonts w:ascii="宋体"/>
          <w:sz w:val="24"/>
        </w:rPr>
      </w:pPr>
      <w:r>
        <w:rPr>
          <w:rFonts w:hint="eastAsia" w:ascii="宋体"/>
          <w:sz w:val="24"/>
        </w:rPr>
        <w:t>合同签订，资料收集完成后，2周完成评审方案。</w:t>
      </w:r>
    </w:p>
    <w:p>
      <w:pPr>
        <w:spacing w:line="360" w:lineRule="auto"/>
        <w:ind w:firstLine="480" w:firstLineChars="200"/>
        <w:rPr>
          <w:rFonts w:ascii="宋体"/>
          <w:sz w:val="24"/>
        </w:rPr>
      </w:pPr>
      <w:r>
        <w:rPr>
          <w:rFonts w:hint="eastAsia" w:ascii="宋体"/>
          <w:sz w:val="24"/>
        </w:rPr>
        <w:t>收到评审意见后，2周完成规划成果。</w:t>
      </w:r>
    </w:p>
    <w:p>
      <w:pPr>
        <w:snapToGrid w:val="0"/>
        <w:spacing w:line="360" w:lineRule="auto"/>
        <w:rPr>
          <w:rFonts w:ascii="宋体" w:hAnsi="宋体" w:cs="宋体"/>
          <w:sz w:val="24"/>
        </w:rPr>
      </w:pPr>
      <w:r>
        <w:rPr>
          <w:rFonts w:hint="eastAsia" w:ascii="宋体" w:hAnsi="宋体" w:cs="宋体"/>
          <w:sz w:val="24"/>
        </w:rPr>
        <w:t>七、验收、评价方法：</w:t>
      </w:r>
    </w:p>
    <w:p>
      <w:pPr>
        <w:snapToGrid w:val="0"/>
        <w:spacing w:line="360" w:lineRule="auto"/>
        <w:ind w:firstLine="480" w:firstLineChars="200"/>
        <w:rPr>
          <w:rFonts w:ascii="宋体" w:hAnsi="宋体" w:cs="宋体"/>
          <w:sz w:val="24"/>
        </w:rPr>
      </w:pPr>
      <w:r>
        <w:rPr>
          <w:rFonts w:hint="eastAsia" w:ascii="宋体" w:hAnsi="宋体" w:cs="宋体"/>
          <w:sz w:val="24"/>
        </w:rPr>
        <w:t xml:space="preserve">规划设计 </w:t>
      </w:r>
      <w:r>
        <w:rPr>
          <w:rFonts w:hint="eastAsia" w:ascii="宋体" w:hAnsi="宋体" w:cs="宋体"/>
          <w:sz w:val="24"/>
          <w:u w:val="single"/>
        </w:rPr>
        <w:t xml:space="preserve"> 由甲方组织 </w:t>
      </w:r>
      <w:r>
        <w:rPr>
          <w:rFonts w:hint="eastAsia" w:ascii="宋体" w:hAnsi="宋体" w:cs="宋体"/>
          <w:sz w:val="24"/>
        </w:rPr>
        <w:t xml:space="preserve"> 方案审查，意见反馈。</w:t>
      </w:r>
    </w:p>
    <w:p>
      <w:pPr>
        <w:pStyle w:val="2"/>
        <w:spacing w:line="360" w:lineRule="auto"/>
        <w:rPr>
          <w:rFonts w:ascii="宋体" w:hAnsi="宋体" w:cs="宋体"/>
          <w:sz w:val="24"/>
        </w:rPr>
      </w:pPr>
      <w:r>
        <w:rPr>
          <w:rFonts w:hint="eastAsia" w:ascii="宋体" w:hAnsi="宋体" w:cs="宋体"/>
          <w:sz w:val="24"/>
        </w:rPr>
        <w:t xml:space="preserve">工程设计 </w:t>
      </w:r>
      <w:r>
        <w:rPr>
          <w:rFonts w:hint="eastAsia" w:ascii="宋体" w:hAnsi="宋体" w:cs="宋体"/>
          <w:sz w:val="24"/>
          <w:u w:val="single"/>
        </w:rPr>
        <w:t xml:space="preserve">      /     </w:t>
      </w:r>
      <w:r>
        <w:rPr>
          <w:rFonts w:hint="eastAsia" w:ascii="宋体" w:hAnsi="宋体" w:cs="宋体"/>
          <w:sz w:val="24"/>
        </w:rPr>
        <w:t xml:space="preserve">  初设批准，意见反馈。</w:t>
      </w:r>
    </w:p>
    <w:p>
      <w:pPr>
        <w:snapToGrid w:val="0"/>
        <w:spacing w:line="360" w:lineRule="auto"/>
        <w:rPr>
          <w:rFonts w:ascii="宋体" w:hAnsi="宋体" w:cs="宋体"/>
          <w:sz w:val="24"/>
        </w:rPr>
      </w:pPr>
      <w:r>
        <w:rPr>
          <w:rFonts w:hint="eastAsia" w:ascii="宋体" w:hAnsi="宋体" w:cs="宋体"/>
          <w:sz w:val="24"/>
        </w:rPr>
        <w:t>八、规划设计费及支付方式：</w:t>
      </w:r>
    </w:p>
    <w:p>
      <w:pPr>
        <w:snapToGrid w:val="0"/>
        <w:spacing w:line="360" w:lineRule="auto"/>
        <w:ind w:firstLine="480" w:firstLineChars="200"/>
        <w:rPr>
          <w:rFonts w:ascii="宋体" w:hAnsi="宋体" w:cs="宋体"/>
          <w:sz w:val="24"/>
        </w:rPr>
      </w:pPr>
      <w:r>
        <w:rPr>
          <w:rFonts w:hint="eastAsia" w:ascii="宋体" w:hAnsi="宋体" w:cs="宋体"/>
          <w:sz w:val="24"/>
        </w:rPr>
        <w:t>本项目按项目采购最终中标价格，收规划设计费计人民币（大写） 元，计 元。</w:t>
      </w:r>
    </w:p>
    <w:p>
      <w:pPr>
        <w:snapToGrid w:val="0"/>
        <w:spacing w:line="360" w:lineRule="auto"/>
        <w:ind w:left="540"/>
        <w:rPr>
          <w:rFonts w:ascii="宋体" w:hAnsi="宋体" w:cs="宋体"/>
          <w:sz w:val="24"/>
        </w:rPr>
      </w:pPr>
      <w:r>
        <w:rPr>
          <w:rFonts w:hint="eastAsia" w:ascii="宋体" w:hAnsi="宋体" w:cs="宋体"/>
          <w:b/>
          <w:bCs/>
          <w:sz w:val="24"/>
        </w:rPr>
        <w:t>1.支付进度：</w:t>
      </w:r>
    </w:p>
    <w:p>
      <w:pPr>
        <w:tabs>
          <w:tab w:val="left" w:pos="180"/>
          <w:tab w:val="left" w:pos="360"/>
          <w:tab w:val="left" w:pos="540"/>
          <w:tab w:val="left" w:pos="8280"/>
        </w:tabs>
        <w:adjustRightInd w:val="0"/>
        <w:spacing w:line="360" w:lineRule="auto"/>
        <w:ind w:firstLine="482" w:firstLineChars="200"/>
        <w:rPr>
          <w:rFonts w:ascii="宋体" w:hAnsi="宋体" w:cs="宋体"/>
          <w:b/>
          <w:bCs/>
          <w:sz w:val="24"/>
        </w:rPr>
      </w:pPr>
      <w:r>
        <w:rPr>
          <w:rFonts w:hint="eastAsia" w:ascii="宋体" w:hAnsi="宋体" w:cs="宋体"/>
          <w:b/>
          <w:bCs/>
          <w:sz w:val="24"/>
        </w:rPr>
        <w:t>共分三个阶段付款。</w:t>
      </w:r>
    </w:p>
    <w:p>
      <w:pPr>
        <w:tabs>
          <w:tab w:val="left" w:pos="180"/>
          <w:tab w:val="left" w:pos="360"/>
          <w:tab w:val="left" w:pos="540"/>
          <w:tab w:val="left" w:pos="8280"/>
        </w:tabs>
        <w:adjustRightInd w:val="0"/>
        <w:spacing w:line="360" w:lineRule="auto"/>
        <w:ind w:firstLine="482" w:firstLineChars="200"/>
        <w:rPr>
          <w:rFonts w:ascii="宋体" w:hAnsi="宋体" w:cs="宋体"/>
          <w:b/>
          <w:bCs/>
          <w:sz w:val="24"/>
        </w:rPr>
      </w:pPr>
      <w:r>
        <w:rPr>
          <w:rFonts w:hint="eastAsia" w:ascii="宋体" w:hAnsi="宋体" w:cs="宋体"/>
          <w:b/>
          <w:bCs/>
          <w:sz w:val="24"/>
        </w:rPr>
        <w:t>第一阶段：合同生效后7天内支付合同总价的30%；</w:t>
      </w:r>
    </w:p>
    <w:p>
      <w:pPr>
        <w:tabs>
          <w:tab w:val="left" w:pos="180"/>
          <w:tab w:val="left" w:pos="360"/>
          <w:tab w:val="left" w:pos="540"/>
          <w:tab w:val="left" w:pos="8280"/>
        </w:tabs>
        <w:adjustRightInd w:val="0"/>
        <w:spacing w:line="360" w:lineRule="auto"/>
        <w:ind w:firstLine="482" w:firstLineChars="200"/>
        <w:rPr>
          <w:rFonts w:ascii="宋体" w:hAnsi="宋体" w:cs="宋体"/>
          <w:b/>
          <w:bCs/>
          <w:sz w:val="24"/>
        </w:rPr>
      </w:pPr>
      <w:r>
        <w:rPr>
          <w:rFonts w:hint="eastAsia" w:ascii="宋体" w:hAnsi="宋体" w:cs="宋体"/>
          <w:b/>
          <w:bCs/>
          <w:sz w:val="24"/>
        </w:rPr>
        <w:t>第二阶段：完成评审方案后7天内支付合同总价的40%；</w:t>
      </w:r>
    </w:p>
    <w:p>
      <w:pPr>
        <w:snapToGrid w:val="0"/>
        <w:spacing w:line="360" w:lineRule="auto"/>
        <w:ind w:left="476"/>
        <w:rPr>
          <w:rFonts w:ascii="宋体" w:hAnsi="宋体" w:cs="宋体"/>
          <w:b/>
          <w:bCs/>
          <w:sz w:val="24"/>
        </w:rPr>
      </w:pPr>
      <w:r>
        <w:rPr>
          <w:rFonts w:hint="eastAsia" w:ascii="宋体" w:hAnsi="宋体" w:cs="宋体"/>
          <w:b/>
          <w:bCs/>
          <w:sz w:val="24"/>
        </w:rPr>
        <w:t>第三阶段：规划成果后7天以支付合同总价的30%。</w:t>
      </w:r>
    </w:p>
    <w:p>
      <w:pPr>
        <w:snapToGrid w:val="0"/>
        <w:spacing w:line="360" w:lineRule="auto"/>
        <w:ind w:left="476"/>
        <w:rPr>
          <w:rFonts w:ascii="宋体" w:hAnsi="宋体" w:cs="宋体"/>
          <w:sz w:val="24"/>
        </w:rPr>
      </w:pPr>
      <w:r>
        <w:rPr>
          <w:rFonts w:hint="eastAsia" w:ascii="宋体" w:hAnsi="宋体" w:cs="宋体"/>
          <w:sz w:val="24"/>
        </w:rPr>
        <w:t>2.</w:t>
      </w:r>
      <w:r>
        <w:rPr>
          <w:rFonts w:hint="eastAsia" w:ascii="宋体" w:hAnsi="宋体" w:cs="宋体"/>
          <w:b/>
          <w:bCs/>
          <w:sz w:val="24"/>
        </w:rPr>
        <w:t>乙方提交各阶段成果，甲方支付相应阶段的规划设计费用，若甲方未支付某阶段费用，乙方有权保留阶段成果。</w:t>
      </w:r>
    </w:p>
    <w:p>
      <w:pPr>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b/>
          <w:bCs/>
          <w:sz w:val="24"/>
        </w:rPr>
        <w:t>支付方式：</w:t>
      </w:r>
      <w:r>
        <w:rPr>
          <w:rFonts w:hint="eastAsia" w:ascii="宋体" w:hAnsi="宋体" w:cs="宋体"/>
          <w:b/>
          <w:bCs/>
          <w:sz w:val="24"/>
          <w:lang w:val="en-US" w:eastAsia="zh-CN"/>
        </w:rPr>
        <w:t xml:space="preserve">    </w:t>
      </w:r>
      <w:r>
        <w:rPr>
          <w:rFonts w:hint="eastAsia" w:ascii="宋体" w:hAnsi="宋体" w:cs="宋体"/>
          <w:sz w:val="24"/>
        </w:rPr>
        <w:t>。</w:t>
      </w:r>
    </w:p>
    <w:p>
      <w:pPr>
        <w:snapToGrid w:val="0"/>
        <w:spacing w:line="360" w:lineRule="auto"/>
        <w:rPr>
          <w:rFonts w:ascii="宋体" w:hAnsi="宋体" w:cs="宋体"/>
          <w:sz w:val="24"/>
        </w:rPr>
      </w:pPr>
      <w:r>
        <w:rPr>
          <w:rFonts w:hint="eastAsia" w:ascii="宋体" w:hAnsi="宋体" w:cs="宋体"/>
          <w:sz w:val="24"/>
        </w:rPr>
        <w:t>九、违约金及争议解决方法：</w:t>
      </w:r>
    </w:p>
    <w:p>
      <w:pPr>
        <w:numPr>
          <w:ilvl w:val="0"/>
          <w:numId w:val="10"/>
        </w:numPr>
        <w:snapToGrid w:val="0"/>
        <w:spacing w:line="360" w:lineRule="auto"/>
        <w:rPr>
          <w:rFonts w:ascii="宋体" w:hAnsi="宋体" w:cs="宋体"/>
          <w:sz w:val="24"/>
        </w:rPr>
      </w:pPr>
      <w:r>
        <w:rPr>
          <w:rFonts w:hint="eastAsia" w:ascii="宋体" w:hAnsi="宋体" w:cs="宋体"/>
          <w:sz w:val="24"/>
        </w:rPr>
        <w:t>按《中华人民共和国合同法》，《建设工程勘察设计管理条例》规定执行。</w:t>
      </w:r>
    </w:p>
    <w:p>
      <w:pPr>
        <w:numPr>
          <w:ilvl w:val="0"/>
          <w:numId w:val="10"/>
        </w:numPr>
        <w:snapToGrid w:val="0"/>
        <w:spacing w:line="360" w:lineRule="auto"/>
        <w:rPr>
          <w:rFonts w:ascii="宋体" w:hAnsi="宋体" w:cs="宋体"/>
          <w:sz w:val="24"/>
        </w:rPr>
      </w:pPr>
      <w:r>
        <w:rPr>
          <w:rFonts w:hint="eastAsia" w:ascii="宋体" w:hAnsi="宋体" w:cs="宋体"/>
          <w:sz w:val="24"/>
        </w:rPr>
        <w:t>双方协商解决或者向项目所在地人民法院提起诉讼。</w:t>
      </w:r>
    </w:p>
    <w:p>
      <w:pPr>
        <w:pStyle w:val="2"/>
        <w:rPr>
          <w:rFonts w:ascii="宋体" w:hAnsi="宋体" w:cs="宋体"/>
          <w:sz w:val="24"/>
        </w:rPr>
      </w:pPr>
    </w:p>
    <w:p>
      <w:pPr>
        <w:widowControl/>
        <w:adjustRightInd w:val="0"/>
        <w:snapToGrid w:val="0"/>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委托方名称：                               受托方名称：</w:t>
      </w:r>
    </w:p>
    <w:p>
      <w:pPr>
        <w:widowControl/>
        <w:adjustRightInd w:val="0"/>
        <w:snapToGrid w:val="0"/>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（盖章）                                  （盖章）</w:t>
      </w:r>
    </w:p>
    <w:p>
      <w:pPr>
        <w:widowControl/>
        <w:adjustRightInd w:val="0"/>
        <w:snapToGrid w:val="0"/>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法定代表人：（签字）                      法定代表人：（签字）</w:t>
      </w:r>
    </w:p>
    <w:p>
      <w:pPr>
        <w:widowControl/>
        <w:adjustRightInd w:val="0"/>
        <w:snapToGrid w:val="0"/>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委托代理人：（签字）                      委托代理人：（签字）</w:t>
      </w:r>
    </w:p>
    <w:p>
      <w:pPr>
        <w:widowControl/>
        <w:adjustRightInd w:val="0"/>
        <w:snapToGrid w:val="0"/>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住    所：                                住    所：</w:t>
      </w:r>
    </w:p>
    <w:p>
      <w:pPr>
        <w:widowControl/>
        <w:adjustRightInd w:val="0"/>
        <w:snapToGrid w:val="0"/>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邮政编码：                                邮政编码：</w:t>
      </w:r>
    </w:p>
    <w:p>
      <w:pPr>
        <w:widowControl/>
        <w:adjustRightInd w:val="0"/>
        <w:snapToGrid w:val="0"/>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电    话：                                电    话：</w:t>
      </w:r>
    </w:p>
    <w:p>
      <w:pPr>
        <w:widowControl/>
        <w:adjustRightInd w:val="0"/>
        <w:snapToGrid w:val="0"/>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传    真：                                传    真：</w:t>
      </w:r>
    </w:p>
    <w:p>
      <w:pPr>
        <w:widowControl/>
        <w:adjustRightInd w:val="0"/>
        <w:snapToGrid w:val="0"/>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开户银行：                                开户银行：</w:t>
      </w:r>
    </w:p>
    <w:p>
      <w:pPr>
        <w:widowControl/>
        <w:adjustRightInd w:val="0"/>
        <w:snapToGrid w:val="0"/>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银行帐号：                                银行帐号：</w:t>
      </w:r>
    </w:p>
    <w:p>
      <w:pPr>
        <w:spacing w:line="360" w:lineRule="auto"/>
        <w:ind w:firstLine="4830" w:firstLineChars="2300"/>
        <w:rPr>
          <w:rFonts w:ascii="宋体" w:hAnsi="宋体"/>
          <w:szCs w:val="21"/>
        </w:rPr>
      </w:pPr>
      <w:r>
        <w:rPr>
          <w:rFonts w:ascii="宋体" w:hAnsi="宋体"/>
          <w:szCs w:val="21"/>
        </w:rPr>
        <w:br w:type="page"/>
      </w:r>
    </w:p>
    <w:p>
      <w:pPr>
        <w:spacing w:line="360" w:lineRule="auto"/>
        <w:ind w:firstLine="4830" w:firstLineChars="2300"/>
        <w:rPr>
          <w:rFonts w:ascii="宋体" w:hAnsi="宋体"/>
          <w:szCs w:val="21"/>
        </w:rPr>
      </w:pPr>
    </w:p>
    <w:bookmarkEnd w:id="86"/>
    <w:bookmarkEnd w:id="87"/>
    <w:bookmarkEnd w:id="88"/>
    <w:bookmarkEnd w:id="89"/>
    <w:p>
      <w:pPr>
        <w:rPr>
          <w:rFonts w:ascii="宋体" w:hAnsi="宋体"/>
          <w:b/>
          <w:sz w:val="36"/>
        </w:rPr>
      </w:pPr>
    </w:p>
    <w:p>
      <w:pPr>
        <w:jc w:val="center"/>
        <w:outlineLvl w:val="0"/>
        <w:rPr>
          <w:rFonts w:ascii="黑体" w:hAnsi="宋体" w:eastAsia="黑体"/>
          <w:b/>
          <w:bCs/>
          <w:sz w:val="36"/>
          <w:szCs w:val="36"/>
        </w:rPr>
      </w:pPr>
      <w:bookmarkStart w:id="95" w:name="_Toc3124"/>
      <w:r>
        <w:rPr>
          <w:rFonts w:hint="eastAsia" w:ascii="黑体" w:hAnsi="宋体" w:eastAsia="黑体"/>
          <w:b/>
          <w:bCs/>
          <w:sz w:val="36"/>
          <w:szCs w:val="36"/>
        </w:rPr>
        <w:t>第五</w:t>
      </w:r>
      <w:r>
        <w:rPr>
          <w:rFonts w:hint="eastAsia" w:ascii="宋体"/>
          <w:b/>
          <w:kern w:val="0"/>
          <w:sz w:val="36"/>
        </w:rPr>
        <w:t>章</w:t>
      </w:r>
      <w:r>
        <w:rPr>
          <w:rFonts w:hint="eastAsia" w:ascii="黑体" w:hAnsi="宋体" w:eastAsia="黑体"/>
          <w:b/>
          <w:bCs/>
          <w:sz w:val="36"/>
          <w:szCs w:val="36"/>
        </w:rPr>
        <w:t>：   应提交的有关格式</w:t>
      </w:r>
      <w:bookmarkEnd w:id="95"/>
    </w:p>
    <w:p>
      <w:pPr>
        <w:spacing w:line="320" w:lineRule="exact"/>
        <w:outlineLvl w:val="1"/>
        <w:rPr>
          <w:rFonts w:ascii="宋体" w:hAnsi="宋体"/>
          <w:b/>
          <w:sz w:val="28"/>
        </w:rPr>
      </w:pPr>
      <w:r>
        <w:rPr>
          <w:rFonts w:ascii="宋体" w:hAnsi="宋体"/>
        </w:rPr>
        <w:br w:type="page"/>
      </w:r>
    </w:p>
    <w:p>
      <w:pPr>
        <w:spacing w:line="360" w:lineRule="auto"/>
        <w:outlineLvl w:val="1"/>
        <w:rPr>
          <w:rFonts w:ascii="宋体" w:hAnsi="宋体"/>
          <w:b/>
          <w:sz w:val="30"/>
          <w:szCs w:val="30"/>
        </w:rPr>
      </w:pPr>
      <w:bookmarkStart w:id="96" w:name="_Toc13942"/>
      <w:r>
        <w:rPr>
          <w:rFonts w:hint="eastAsia" w:ascii="宋体" w:hAnsi="宋体"/>
          <w:b/>
          <w:sz w:val="30"/>
          <w:szCs w:val="30"/>
        </w:rPr>
        <w:t>一、技术文件</w:t>
      </w:r>
      <w:bookmarkEnd w:id="96"/>
    </w:p>
    <w:p>
      <w:pPr>
        <w:spacing w:line="360" w:lineRule="auto"/>
        <w:outlineLvl w:val="1"/>
        <w:rPr>
          <w:rFonts w:ascii="宋体" w:hAnsi="宋体"/>
          <w:b/>
          <w:sz w:val="28"/>
        </w:rPr>
      </w:pPr>
      <w:bookmarkStart w:id="97" w:name="_Toc462675238"/>
      <w:bookmarkStart w:id="98" w:name="_Toc2111"/>
      <w:r>
        <w:rPr>
          <w:rFonts w:hint="eastAsia" w:ascii="宋体" w:hAnsi="宋体"/>
          <w:b/>
          <w:sz w:val="28"/>
        </w:rPr>
        <w:t>附件1</w:t>
      </w:r>
      <w:bookmarkEnd w:id="97"/>
      <w:bookmarkEnd w:id="98"/>
    </w:p>
    <w:p>
      <w:pPr>
        <w:spacing w:line="500" w:lineRule="exact"/>
        <w:jc w:val="center"/>
        <w:rPr>
          <w:b/>
          <w:sz w:val="36"/>
        </w:rPr>
      </w:pPr>
      <w:r>
        <w:rPr>
          <w:rFonts w:hint="eastAsia" w:ascii="宋体"/>
          <w:b/>
          <w:sz w:val="36"/>
        </w:rPr>
        <w:t>法定代表人授权书</w:t>
      </w:r>
    </w:p>
    <w:p>
      <w:pPr>
        <w:spacing w:line="500" w:lineRule="exact"/>
        <w:jc w:val="center"/>
        <w:rPr>
          <w:sz w:val="28"/>
          <w:u w:val="single"/>
        </w:rPr>
      </w:pPr>
    </w:p>
    <w:p>
      <w:pPr>
        <w:spacing w:line="360" w:lineRule="auto"/>
        <w:rPr>
          <w:rFonts w:ascii="宋体"/>
          <w:sz w:val="24"/>
          <w:u w:val="single"/>
        </w:rPr>
      </w:pPr>
      <w:r>
        <w:rPr>
          <w:rFonts w:hint="eastAsia"/>
          <w:sz w:val="24"/>
          <w:u w:val="single"/>
        </w:rPr>
        <w:t>台州市北部湾区经济开发有限公司</w:t>
      </w:r>
      <w:r>
        <w:rPr>
          <w:rFonts w:hint="eastAsia" w:ascii="宋体"/>
          <w:sz w:val="24"/>
          <w:u w:val="single"/>
        </w:rPr>
        <w:t>：</w:t>
      </w:r>
    </w:p>
    <w:p>
      <w:pPr>
        <w:spacing w:line="360" w:lineRule="auto"/>
        <w:rPr>
          <w:sz w:val="24"/>
        </w:rPr>
      </w:pPr>
    </w:p>
    <w:p>
      <w:pPr>
        <w:spacing w:line="360" w:lineRule="auto"/>
        <w:rPr>
          <w:rFonts w:ascii="宋体" w:hAnsi="宋体"/>
          <w:sz w:val="24"/>
          <w:u w:val="single"/>
        </w:rPr>
      </w:pPr>
      <w:r>
        <w:rPr>
          <w:rFonts w:hint="eastAsia" w:ascii="宋体" w:hAnsi="宋体"/>
          <w:sz w:val="24"/>
        </w:rPr>
        <w:t>（单位全称）法定代表（姓名）授权（谈判供应商代表名称）为全权代表，参加贵处组织的项目（括号内填写谈判编号及项目），全权处理谈判活动中的一切事宜。同时宣布承诺如下：</w:t>
      </w:r>
    </w:p>
    <w:p>
      <w:pPr>
        <w:spacing w:line="360" w:lineRule="auto"/>
        <w:ind w:firstLine="360" w:firstLineChars="150"/>
        <w:rPr>
          <w:rFonts w:ascii="宋体" w:hAnsi="宋体"/>
          <w:sz w:val="24"/>
        </w:rPr>
      </w:pPr>
      <w:r>
        <w:rPr>
          <w:rFonts w:hint="eastAsia" w:ascii="宋体" w:hAnsi="宋体"/>
          <w:sz w:val="24"/>
        </w:rPr>
        <w:t>（1）谈判供应商已详细阅读全部谈判文件（含修改文件），并理解其实质性内容，同意承担谈判文件规定的全部义务和相关责任。</w:t>
      </w:r>
    </w:p>
    <w:p>
      <w:pPr>
        <w:spacing w:line="360" w:lineRule="auto"/>
        <w:ind w:left="420"/>
        <w:rPr>
          <w:rFonts w:ascii="宋体" w:hAnsi="宋体"/>
          <w:sz w:val="24"/>
        </w:rPr>
      </w:pPr>
      <w:r>
        <w:rPr>
          <w:rFonts w:hint="eastAsia" w:ascii="宋体" w:hAnsi="宋体"/>
          <w:sz w:val="24"/>
        </w:rPr>
        <w:t>（2）谈判供应商同意提供谈判人可能要求的与其谈判有关的一切数据或资料。</w:t>
      </w:r>
    </w:p>
    <w:p>
      <w:pPr>
        <w:spacing w:line="360" w:lineRule="auto"/>
        <w:ind w:left="420"/>
        <w:rPr>
          <w:rFonts w:ascii="宋体" w:hAnsi="宋体"/>
          <w:sz w:val="24"/>
        </w:rPr>
      </w:pPr>
      <w:r>
        <w:rPr>
          <w:rFonts w:hint="eastAsia" w:ascii="宋体" w:hAnsi="宋体"/>
          <w:sz w:val="24"/>
        </w:rPr>
        <w:t>（3）谈判供应商所提交的一切谈判资料均为合法且真实有效。</w:t>
      </w:r>
    </w:p>
    <w:p>
      <w:pPr>
        <w:spacing w:line="360" w:lineRule="auto"/>
        <w:rPr>
          <w:rFonts w:ascii="宋体" w:hAnsi="宋体"/>
          <w:sz w:val="24"/>
        </w:rPr>
      </w:pPr>
    </w:p>
    <w:p>
      <w:pPr>
        <w:rPr>
          <w:rFonts w:ascii="宋体" w:hAnsi="宋体"/>
          <w:sz w:val="24"/>
        </w:rPr>
      </w:pPr>
      <w:r>
        <w:rPr>
          <w:rFonts w:hint="eastAsia" w:ascii="宋体" w:hAnsi="宋体"/>
          <w:sz w:val="24"/>
        </w:rPr>
        <w:t>法定代表人签字：</w:t>
      </w:r>
    </w:p>
    <w:p>
      <w:pPr>
        <w:rPr>
          <w:rFonts w:ascii="宋体" w:hAnsi="宋体"/>
          <w:sz w:val="24"/>
        </w:rPr>
      </w:pPr>
    </w:p>
    <w:p>
      <w:pPr>
        <w:rPr>
          <w:sz w:val="24"/>
        </w:rPr>
      </w:pPr>
    </w:p>
    <w:p>
      <w:pPr>
        <w:rPr>
          <w:rFonts w:ascii="宋体"/>
          <w:sz w:val="24"/>
        </w:rPr>
      </w:pPr>
      <w:r>
        <w:rPr>
          <w:rFonts w:hint="eastAsia" w:ascii="宋体" w:hAnsi="宋体"/>
          <w:kern w:val="0"/>
          <w:sz w:val="24"/>
        </w:rPr>
        <w:t>供应商</w:t>
      </w:r>
      <w:r>
        <w:rPr>
          <w:rFonts w:hint="eastAsia" w:ascii="宋体"/>
          <w:sz w:val="24"/>
        </w:rPr>
        <w:t xml:space="preserve">单位全称（公章）：        </w:t>
      </w:r>
    </w:p>
    <w:p>
      <w:pPr>
        <w:rPr>
          <w:rFonts w:ascii="宋体"/>
          <w:sz w:val="24"/>
        </w:rPr>
      </w:pPr>
    </w:p>
    <w:p>
      <w:pPr>
        <w:ind w:firstLine="3480" w:firstLineChars="1450"/>
        <w:rPr>
          <w:sz w:val="24"/>
        </w:rPr>
      </w:pPr>
      <w:r>
        <w:rPr>
          <w:rFonts w:hint="eastAsia" w:ascii="宋体"/>
          <w:sz w:val="24"/>
        </w:rPr>
        <w:t xml:space="preserve">      日期：   年  月  日</w:t>
      </w:r>
    </w:p>
    <w:p>
      <w:pPr>
        <w:rPr>
          <w:sz w:val="24"/>
        </w:rPr>
      </w:pPr>
    </w:p>
    <w:p>
      <w:pPr>
        <w:rPr>
          <w:sz w:val="24"/>
        </w:rPr>
      </w:pPr>
    </w:p>
    <w:p/>
    <w:p>
      <w:pPr>
        <w:spacing w:line="380" w:lineRule="atLeast"/>
        <w:rPr>
          <w:sz w:val="24"/>
        </w:rPr>
      </w:pPr>
    </w:p>
    <w:p>
      <w:pPr>
        <w:spacing w:line="400" w:lineRule="atLeast"/>
        <w:rPr>
          <w:b/>
          <w:sz w:val="24"/>
        </w:rPr>
      </w:pPr>
      <w:r>
        <w:rPr>
          <w:rFonts w:hint="eastAsia" w:ascii="宋体"/>
          <w:b/>
          <w:sz w:val="24"/>
        </w:rPr>
        <w:t>附：</w:t>
      </w:r>
    </w:p>
    <w:p>
      <w:pPr>
        <w:spacing w:line="400" w:lineRule="atLeast"/>
        <w:rPr>
          <w:sz w:val="24"/>
        </w:rPr>
      </w:pPr>
      <w:r>
        <w:rPr>
          <w:rFonts w:hint="eastAsia" w:ascii="宋体"/>
          <w:sz w:val="24"/>
        </w:rPr>
        <w:t xml:space="preserve">全权代表姓名：                    职务：                           </w:t>
      </w:r>
    </w:p>
    <w:p>
      <w:pPr>
        <w:spacing w:line="400" w:lineRule="atLeast"/>
        <w:rPr>
          <w:sz w:val="24"/>
        </w:rPr>
      </w:pPr>
      <w:r>
        <w:rPr>
          <w:rFonts w:hint="eastAsia" w:ascii="宋体"/>
          <w:sz w:val="24"/>
        </w:rPr>
        <w:t>传真：</w:t>
      </w:r>
    </w:p>
    <w:tbl>
      <w:tblPr>
        <w:tblStyle w:val="15"/>
        <w:tblpPr w:leftFromText="180" w:rightFromText="180" w:vertAnchor="text" w:horzAnchor="page" w:tblpX="5143" w:tblpY="296"/>
        <w:tblW w:w="4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4004" w:type="dxa"/>
          </w:tcPr>
          <w:p>
            <w:pPr>
              <w:spacing w:line="400" w:lineRule="atLeast"/>
              <w:rPr>
                <w:rFonts w:ascii="宋体"/>
                <w:b/>
                <w:sz w:val="24"/>
              </w:rPr>
            </w:pPr>
          </w:p>
          <w:p>
            <w:pPr>
              <w:spacing w:line="400" w:lineRule="atLeast"/>
              <w:ind w:firstLine="361" w:firstLineChars="150"/>
              <w:rPr>
                <w:rFonts w:ascii="宋体"/>
                <w:b/>
                <w:sz w:val="24"/>
              </w:rPr>
            </w:pPr>
            <w:r>
              <w:rPr>
                <w:rFonts w:hint="eastAsia" w:ascii="宋体"/>
                <w:b/>
                <w:sz w:val="24"/>
              </w:rPr>
              <w:t>全权代表身份证复印件粘帖处</w:t>
            </w:r>
          </w:p>
        </w:tc>
      </w:tr>
    </w:tbl>
    <w:p>
      <w:pPr>
        <w:spacing w:line="400" w:lineRule="atLeast"/>
        <w:rPr>
          <w:rFonts w:ascii="宋体"/>
          <w:sz w:val="24"/>
        </w:rPr>
      </w:pPr>
      <w:r>
        <w:rPr>
          <w:rFonts w:hint="eastAsia" w:ascii="宋体"/>
          <w:sz w:val="24"/>
        </w:rPr>
        <w:t>电话：</w:t>
      </w:r>
    </w:p>
    <w:p>
      <w:pPr>
        <w:spacing w:line="400" w:lineRule="atLeast"/>
        <w:rPr>
          <w:sz w:val="24"/>
        </w:rPr>
      </w:pPr>
      <w:r>
        <w:rPr>
          <w:rFonts w:hint="eastAsia" w:ascii="宋体"/>
          <w:sz w:val="24"/>
        </w:rPr>
        <w:t>详细通讯地址：</w:t>
      </w:r>
    </w:p>
    <w:p>
      <w:pPr>
        <w:spacing w:line="400" w:lineRule="atLeast"/>
        <w:rPr>
          <w:rFonts w:ascii="宋体"/>
          <w:sz w:val="24"/>
        </w:rPr>
      </w:pPr>
      <w:r>
        <w:rPr>
          <w:rFonts w:hint="eastAsia" w:ascii="宋体"/>
          <w:sz w:val="24"/>
        </w:rPr>
        <w:t>邮政编码：</w:t>
      </w:r>
    </w:p>
    <w:p>
      <w:pPr>
        <w:spacing w:line="320" w:lineRule="exact"/>
        <w:outlineLvl w:val="1"/>
        <w:rPr>
          <w:rFonts w:ascii="宋体" w:hAnsi="宋体"/>
          <w:b/>
          <w:sz w:val="28"/>
        </w:rPr>
      </w:pPr>
      <w:r>
        <w:rPr>
          <w:rFonts w:ascii="宋体" w:hAnsi="宋体"/>
          <w:b/>
          <w:sz w:val="30"/>
        </w:rPr>
        <w:br w:type="page"/>
      </w:r>
      <w:bookmarkStart w:id="99" w:name="_Toc21542"/>
      <w:r>
        <w:rPr>
          <w:rFonts w:hint="eastAsia" w:ascii="宋体" w:hAnsi="宋体"/>
          <w:b/>
          <w:sz w:val="28"/>
        </w:rPr>
        <w:t>附件2：</w:t>
      </w:r>
      <w:bookmarkEnd w:id="99"/>
    </w:p>
    <w:p>
      <w:pPr>
        <w:spacing w:line="500" w:lineRule="exact"/>
        <w:jc w:val="center"/>
        <w:rPr>
          <w:rFonts w:ascii="宋体" w:hAnsi="宋体"/>
          <w:b/>
          <w:sz w:val="22"/>
          <w:szCs w:val="21"/>
          <w:u w:val="single"/>
        </w:rPr>
      </w:pPr>
      <w:r>
        <w:rPr>
          <w:rFonts w:hint="eastAsia" w:ascii="宋体"/>
          <w:b/>
          <w:sz w:val="28"/>
          <w:szCs w:val="21"/>
        </w:rPr>
        <w:t>三门县客运中心及三门湾科创广场周边区块交通规划研究采购项目</w:t>
      </w:r>
    </w:p>
    <w:p>
      <w:pPr>
        <w:tabs>
          <w:tab w:val="left" w:pos="105"/>
        </w:tabs>
        <w:snapToGrid w:val="0"/>
        <w:spacing w:beforeLines="50" w:after="50"/>
        <w:jc w:val="center"/>
        <w:rPr>
          <w:rFonts w:ascii="宋体" w:hAnsi="宋体"/>
          <w:b/>
          <w:sz w:val="36"/>
          <w:szCs w:val="36"/>
        </w:rPr>
      </w:pPr>
      <w:r>
        <w:rPr>
          <w:rFonts w:hint="eastAsia" w:ascii="宋体" w:hAnsi="宋体"/>
          <w:b/>
          <w:sz w:val="36"/>
          <w:szCs w:val="36"/>
        </w:rPr>
        <w:t>投标函</w:t>
      </w:r>
    </w:p>
    <w:p>
      <w:pPr>
        <w:tabs>
          <w:tab w:val="left" w:pos="105"/>
        </w:tabs>
        <w:snapToGrid w:val="0"/>
        <w:spacing w:beforeLines="50" w:after="50"/>
        <w:jc w:val="center"/>
        <w:rPr>
          <w:rFonts w:ascii="宋体" w:hAnsi="宋体"/>
          <w:b/>
          <w:sz w:val="36"/>
          <w:szCs w:val="36"/>
        </w:rPr>
      </w:pPr>
    </w:p>
    <w:p>
      <w:pPr>
        <w:snapToGrid w:val="0"/>
        <w:spacing w:line="360" w:lineRule="auto"/>
        <w:rPr>
          <w:rFonts w:ascii="宋体" w:hAnsi="宋体"/>
          <w:sz w:val="24"/>
          <w:szCs w:val="20"/>
        </w:rPr>
      </w:pPr>
      <w:r>
        <w:rPr>
          <w:rFonts w:hint="eastAsia" w:ascii="宋体" w:hAnsi="宋体"/>
          <w:sz w:val="24"/>
        </w:rPr>
        <w:t>致：</w:t>
      </w:r>
      <w:r>
        <w:rPr>
          <w:rFonts w:ascii="宋体" w:hAnsi="宋体"/>
          <w:sz w:val="24"/>
          <w:u w:val="single"/>
        </w:rPr>
        <w:t>_______     _</w:t>
      </w:r>
      <w:r>
        <w:rPr>
          <w:rFonts w:ascii="宋体" w:hAnsi="宋体"/>
          <w:sz w:val="24"/>
        </w:rPr>
        <w:t>_</w:t>
      </w:r>
      <w:r>
        <w:rPr>
          <w:rFonts w:hint="eastAsia" w:ascii="宋体" w:hAnsi="宋体"/>
          <w:sz w:val="24"/>
        </w:rPr>
        <w:t>（招标采购单位名称）：</w:t>
      </w:r>
    </w:p>
    <w:p>
      <w:pPr>
        <w:snapToGrid w:val="0"/>
        <w:spacing w:line="360" w:lineRule="auto"/>
        <w:ind w:firstLine="480"/>
        <w:rPr>
          <w:rFonts w:ascii="宋体" w:hAnsi="宋体"/>
          <w:sz w:val="24"/>
          <w:szCs w:val="20"/>
        </w:rPr>
      </w:pPr>
      <w:r>
        <w:rPr>
          <w:rFonts w:hint="eastAsia" w:ascii="宋体" w:hAnsi="宋体"/>
          <w:sz w:val="24"/>
        </w:rPr>
        <w:t>根据贵方为项目的谈判公告（项目编号：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u w:val="single"/>
        </w:rPr>
        <w:t xml:space="preserve">_______     </w:t>
      </w:r>
      <w:r>
        <w:rPr>
          <w:rFonts w:hint="eastAsia" w:ascii="宋体" w:hAnsi="宋体"/>
          <w:sz w:val="24"/>
        </w:rPr>
        <w:t>（全名）经正式授权并代表</w:t>
      </w:r>
      <w:r>
        <w:rPr>
          <w:rFonts w:hint="eastAsia" w:ascii="宋体" w:hAnsi="宋体"/>
          <w:kern w:val="0"/>
          <w:sz w:val="24"/>
        </w:rPr>
        <w:t>谈判供应商</w:t>
      </w:r>
      <w:r>
        <w:rPr>
          <w:rFonts w:ascii="宋体" w:hAnsi="宋体"/>
          <w:sz w:val="24"/>
        </w:rPr>
        <w:t>_____</w:t>
      </w:r>
      <w:r>
        <w:rPr>
          <w:rFonts w:ascii="宋体" w:hAnsi="宋体"/>
          <w:sz w:val="24"/>
          <w:u w:val="single"/>
        </w:rPr>
        <w:t>__       __</w:t>
      </w:r>
      <w:r>
        <w:rPr>
          <w:rFonts w:hint="eastAsia" w:ascii="宋体" w:hAnsi="宋体"/>
          <w:sz w:val="24"/>
        </w:rPr>
        <w:t>（</w:t>
      </w:r>
      <w:r>
        <w:rPr>
          <w:rFonts w:hint="eastAsia" w:ascii="宋体" w:hAnsi="宋体"/>
          <w:kern w:val="0"/>
          <w:sz w:val="24"/>
        </w:rPr>
        <w:t>谈判供应商</w:t>
      </w:r>
      <w:r>
        <w:rPr>
          <w:rFonts w:hint="eastAsia" w:ascii="宋体" w:hAnsi="宋体"/>
          <w:sz w:val="24"/>
        </w:rPr>
        <w:t>名称）提交商务技术文件、报价文件。</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hint="eastAsia" w:ascii="宋体" w:hAnsi="宋体"/>
          <w:kern w:val="0"/>
          <w:sz w:val="24"/>
        </w:rPr>
        <w:t xml:space="preserve"> 谈判供应商</w:t>
      </w:r>
      <w:r>
        <w:rPr>
          <w:rFonts w:hint="eastAsia" w:ascii="宋体" w:hAnsi="宋体"/>
          <w:sz w:val="24"/>
        </w:rPr>
        <w:t>已详细审查全部“谈判文件”，包括修改文件（如有的话）以及全部参考资料和有关附件，已经了解我方对于谈判文件、采购过程、采购结果有依法进行询问、质疑、投诉的权利及相关渠道和要求。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hint="eastAsia" w:ascii="宋体" w:hAnsi="宋体"/>
          <w:kern w:val="0"/>
          <w:sz w:val="24"/>
        </w:rPr>
        <w:t xml:space="preserve"> 谈判供应商</w:t>
      </w:r>
      <w:r>
        <w:rPr>
          <w:rFonts w:hint="eastAsia" w:ascii="宋体" w:hAnsi="宋体"/>
          <w:sz w:val="24"/>
        </w:rPr>
        <w:t>在谈判之前已经与贵方进行了充分的沟通，完全理解并接受谈判文件的各项规定和要求，对谈判文件的合理性、合法性不再有异议。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.本谈判有效期自开标日起</w:t>
      </w:r>
      <w:r>
        <w:rPr>
          <w:rFonts w:hint="eastAsia" w:ascii="宋体" w:hAnsi="宋体"/>
          <w:sz w:val="24"/>
          <w:u w:val="single"/>
        </w:rPr>
        <w:t>90天内有交效</w:t>
      </w:r>
      <w:r>
        <w:rPr>
          <w:rFonts w:hint="eastAsia" w:ascii="宋体" w:hAnsi="宋体"/>
          <w:sz w:val="24"/>
        </w:rPr>
        <w:t>。</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.如成交，本谈判响应文件至本项目合同履行完毕止均保持有效，本</w:t>
      </w:r>
      <w:r>
        <w:rPr>
          <w:rFonts w:hint="eastAsia" w:ascii="宋体" w:hAnsi="宋体"/>
          <w:kern w:val="0"/>
          <w:sz w:val="24"/>
        </w:rPr>
        <w:t>谈判供应商</w:t>
      </w:r>
      <w:r>
        <w:rPr>
          <w:rFonts w:hint="eastAsia" w:ascii="宋体" w:hAnsi="宋体"/>
          <w:sz w:val="24"/>
        </w:rPr>
        <w:t>将按“谈判文件”及政府采购法律、法规的规定履行合同责任和义务。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w:t>
      </w:r>
      <w:r>
        <w:rPr>
          <w:rFonts w:hint="eastAsia" w:ascii="宋体" w:hAnsi="宋体"/>
          <w:kern w:val="0"/>
          <w:sz w:val="24"/>
        </w:rPr>
        <w:t xml:space="preserve"> 谈判供应商</w:t>
      </w:r>
      <w:r>
        <w:rPr>
          <w:rFonts w:hint="eastAsia" w:ascii="宋体" w:hAnsi="宋体"/>
          <w:sz w:val="24"/>
        </w:rPr>
        <w:t>同意按照贵方要求提供与谈判有关的一切数据或资料。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.与本谈判有关的一切正式往来信函请寄：</w:t>
      </w:r>
    </w:p>
    <w:p>
      <w:pPr>
        <w:snapToGrid w:val="0"/>
        <w:spacing w:line="360" w:lineRule="auto"/>
        <w:rPr>
          <w:rFonts w:ascii="宋体" w:hAnsi="宋体"/>
          <w:i/>
          <w:sz w:val="24"/>
          <w:szCs w:val="20"/>
          <w:u w:val="single"/>
        </w:rPr>
      </w:pPr>
      <w:r>
        <w:rPr>
          <w:rFonts w:hint="eastAsia" w:ascii="宋体" w:hAnsi="宋体"/>
          <w:sz w:val="24"/>
        </w:rPr>
        <w:t>地址：</w:t>
      </w:r>
      <w:r>
        <w:rPr>
          <w:rFonts w:ascii="宋体" w:hAnsi="宋体"/>
          <w:sz w:val="24"/>
          <w:u w:val="single"/>
        </w:rPr>
        <w:t>__________        _____</w:t>
      </w:r>
      <w:r>
        <w:rPr>
          <w:rFonts w:hint="eastAsia" w:ascii="宋体" w:hAnsi="宋体"/>
          <w:sz w:val="24"/>
        </w:rPr>
        <w:t>邮编</w:t>
      </w:r>
      <w:r>
        <w:rPr>
          <w:rFonts w:hint="eastAsia" w:ascii="宋体" w:hAnsi="宋体"/>
          <w:sz w:val="24"/>
          <w:u w:val="single"/>
        </w:rPr>
        <w:t>：</w:t>
      </w:r>
      <w:r>
        <w:rPr>
          <w:rFonts w:ascii="宋体" w:hAnsi="宋体"/>
          <w:sz w:val="24"/>
          <w:u w:val="single"/>
        </w:rPr>
        <w:t xml:space="preserve">__________ </w:t>
      </w:r>
      <w:r>
        <w:rPr>
          <w:rFonts w:hint="eastAsia" w:ascii="宋体" w:hAnsi="宋体"/>
          <w:sz w:val="24"/>
        </w:rPr>
        <w:t>电话：</w:t>
      </w:r>
      <w:r>
        <w:rPr>
          <w:rFonts w:ascii="宋体" w:hAnsi="宋体"/>
          <w:i/>
          <w:sz w:val="24"/>
          <w:u w:val="single"/>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u w:val="single"/>
        </w:rPr>
        <w:t>______________</w:t>
      </w:r>
      <w:r>
        <w:rPr>
          <w:rFonts w:hint="eastAsia" w:ascii="宋体" w:hAnsi="宋体"/>
          <w:kern w:val="0"/>
          <w:sz w:val="24"/>
        </w:rPr>
        <w:t xml:space="preserve">  供应商</w:t>
      </w:r>
      <w:r>
        <w:rPr>
          <w:rFonts w:hint="eastAsia" w:ascii="宋体" w:hAnsi="宋体"/>
          <w:sz w:val="24"/>
        </w:rPr>
        <w:t>代表姓名</w:t>
      </w:r>
      <w:r>
        <w:rPr>
          <w:rFonts w:ascii="宋体" w:hAnsi="宋体"/>
          <w:sz w:val="24"/>
          <w:u w:val="single"/>
        </w:rPr>
        <w:t xml:space="preserve">___________ </w:t>
      </w:r>
      <w:r>
        <w:rPr>
          <w:rFonts w:hint="eastAsia" w:ascii="宋体" w:hAnsi="宋体"/>
          <w:sz w:val="24"/>
        </w:rPr>
        <w:t>职务：</w:t>
      </w:r>
      <w:r>
        <w:rPr>
          <w:rFonts w:ascii="宋体" w:hAnsi="宋体"/>
          <w:sz w:val="24"/>
          <w:u w:val="single"/>
        </w:rPr>
        <w:t>______ _______</w:t>
      </w:r>
    </w:p>
    <w:p>
      <w:pPr>
        <w:snapToGrid w:val="0"/>
        <w:spacing w:line="360" w:lineRule="auto"/>
        <w:rPr>
          <w:rFonts w:ascii="宋体" w:hAnsi="宋体"/>
          <w:sz w:val="24"/>
          <w:szCs w:val="20"/>
          <w:u w:val="single"/>
        </w:rPr>
      </w:pPr>
      <w:r>
        <w:rPr>
          <w:rFonts w:hint="eastAsia" w:ascii="宋体" w:hAnsi="宋体"/>
          <w:kern w:val="0"/>
          <w:sz w:val="24"/>
        </w:rPr>
        <w:t>供应商</w:t>
      </w:r>
      <w:r>
        <w:rPr>
          <w:rFonts w:hint="eastAsia" w:ascii="宋体" w:hAnsi="宋体"/>
          <w:sz w:val="24"/>
        </w:rPr>
        <w:t>名称</w:t>
      </w:r>
      <w:r>
        <w:rPr>
          <w:rFonts w:ascii="宋体" w:hAnsi="宋体"/>
          <w:sz w:val="24"/>
        </w:rPr>
        <w:t>(</w:t>
      </w:r>
      <w:r>
        <w:rPr>
          <w:rFonts w:hint="eastAsia" w:ascii="宋体" w:hAnsi="宋体"/>
          <w:sz w:val="24"/>
        </w:rPr>
        <w:t>公章</w:t>
      </w:r>
      <w:r>
        <w:rPr>
          <w:rFonts w:ascii="宋体" w:hAnsi="宋体"/>
          <w:sz w:val="24"/>
        </w:rPr>
        <w:t>):</w:t>
      </w:r>
      <w:r>
        <w:rPr>
          <w:rFonts w:ascii="宋体" w:hAnsi="宋体"/>
          <w:sz w:val="24"/>
          <w:u w:val="single"/>
        </w:rPr>
        <w:t>_______________</w:t>
      </w:r>
    </w:p>
    <w:p>
      <w:pPr>
        <w:snapToGrid w:val="0"/>
        <w:spacing w:line="360" w:lineRule="auto"/>
        <w:rPr>
          <w:rFonts w:ascii="宋体" w:hAnsi="宋体"/>
          <w:sz w:val="24"/>
          <w:szCs w:val="20"/>
        </w:rPr>
      </w:pPr>
      <w:r>
        <w:rPr>
          <w:rFonts w:hint="eastAsia" w:ascii="宋体" w:hAnsi="宋体"/>
          <w:sz w:val="24"/>
        </w:rPr>
        <w:t>开户银行：      银行帐号：</w:t>
      </w:r>
    </w:p>
    <w:p>
      <w:pPr>
        <w:snapToGrid w:val="0"/>
        <w:spacing w:line="360" w:lineRule="auto"/>
        <w:rPr>
          <w:rFonts w:ascii="宋体" w:hAnsi="宋体"/>
          <w:sz w:val="30"/>
          <w:szCs w:val="20"/>
        </w:rPr>
      </w:pPr>
      <w:r>
        <w:rPr>
          <w:rFonts w:hint="eastAsia" w:ascii="宋体" w:hAnsi="宋体"/>
          <w:sz w:val="24"/>
        </w:rPr>
        <w:t>授权代表签字或盖章</w:t>
      </w:r>
      <w:r>
        <w:rPr>
          <w:rFonts w:ascii="宋体" w:hAnsi="宋体"/>
          <w:sz w:val="24"/>
        </w:rPr>
        <w:t>:</w:t>
      </w:r>
      <w:r>
        <w:rPr>
          <w:rFonts w:ascii="宋体" w:hAnsi="宋体"/>
          <w:sz w:val="24"/>
          <w:u w:val="single"/>
        </w:rPr>
        <w:t xml:space="preserve">___________        </w:t>
      </w:r>
      <w:r>
        <w:rPr>
          <w:rFonts w:hint="eastAsia" w:ascii="宋体" w:hAnsi="宋体"/>
          <w:sz w:val="24"/>
        </w:rPr>
        <w:t>日期</w:t>
      </w:r>
      <w:r>
        <w:rPr>
          <w:rFonts w:ascii="宋体" w:hAnsi="宋体"/>
          <w:sz w:val="24"/>
        </w:rPr>
        <w:t>:_</w:t>
      </w:r>
      <w:r>
        <w:rPr>
          <w:rFonts w:ascii="宋体" w:hAnsi="宋体"/>
          <w:sz w:val="24"/>
          <w:u w:val="single"/>
        </w:rPr>
        <w:t>____</w:t>
      </w:r>
      <w:r>
        <w:rPr>
          <w:rFonts w:hint="eastAsia" w:ascii="宋体" w:hAnsi="宋体"/>
          <w:sz w:val="24"/>
        </w:rPr>
        <w:t>年</w:t>
      </w:r>
      <w:r>
        <w:rPr>
          <w:rFonts w:ascii="宋体" w:hAnsi="宋体"/>
          <w:sz w:val="24"/>
          <w:u w:val="single"/>
        </w:rPr>
        <w:t>___</w:t>
      </w:r>
      <w:r>
        <w:rPr>
          <w:rFonts w:hint="eastAsia" w:ascii="宋体" w:hAnsi="宋体"/>
          <w:sz w:val="24"/>
        </w:rPr>
        <w:t>月</w:t>
      </w:r>
      <w:r>
        <w:rPr>
          <w:rFonts w:ascii="宋体" w:hAnsi="宋体"/>
          <w:sz w:val="24"/>
          <w:u w:val="single"/>
        </w:rPr>
        <w:t>___</w:t>
      </w:r>
      <w:r>
        <w:rPr>
          <w:rFonts w:hint="eastAsia" w:ascii="宋体" w:hAnsi="宋体"/>
          <w:sz w:val="24"/>
        </w:rPr>
        <w:t>日</w:t>
      </w:r>
    </w:p>
    <w:p>
      <w:pPr>
        <w:spacing w:line="360" w:lineRule="atLeast"/>
        <w:rPr>
          <w:rFonts w:ascii="宋体" w:hAnsi="宋体"/>
          <w:b/>
          <w:sz w:val="28"/>
        </w:rPr>
      </w:pPr>
    </w:p>
    <w:p>
      <w:pPr>
        <w:spacing w:line="360" w:lineRule="atLeast"/>
        <w:rPr>
          <w:rFonts w:ascii="宋体" w:hAnsi="宋体"/>
          <w:b/>
          <w:sz w:val="28"/>
        </w:rPr>
      </w:pPr>
    </w:p>
    <w:p>
      <w:pPr>
        <w:spacing w:line="320" w:lineRule="exact"/>
        <w:outlineLvl w:val="1"/>
        <w:rPr>
          <w:rFonts w:ascii="宋体" w:hAnsi="宋体"/>
          <w:b/>
          <w:sz w:val="28"/>
        </w:rPr>
      </w:pPr>
      <w:r>
        <w:rPr>
          <w:rFonts w:ascii="宋体" w:hAnsi="宋体"/>
          <w:b/>
          <w:sz w:val="28"/>
        </w:rPr>
        <w:br w:type="page"/>
      </w:r>
    </w:p>
    <w:p>
      <w:pPr>
        <w:spacing w:line="320" w:lineRule="exact"/>
        <w:outlineLvl w:val="1"/>
        <w:rPr>
          <w:rFonts w:ascii="宋体" w:hAnsi="宋体"/>
          <w:b/>
          <w:sz w:val="28"/>
        </w:rPr>
      </w:pPr>
      <w:bookmarkStart w:id="100" w:name="_Toc21473"/>
      <w:bookmarkStart w:id="101" w:name="_Toc462675239"/>
      <w:r>
        <w:rPr>
          <w:rFonts w:hint="eastAsia" w:ascii="宋体" w:hAnsi="宋体"/>
          <w:b/>
          <w:sz w:val="28"/>
        </w:rPr>
        <w:t>附件3</w:t>
      </w:r>
      <w:bookmarkEnd w:id="100"/>
      <w:bookmarkEnd w:id="101"/>
    </w:p>
    <w:p>
      <w:pPr>
        <w:spacing w:line="360" w:lineRule="auto"/>
        <w:jc w:val="center"/>
        <w:rPr>
          <w:rFonts w:ascii="小标宋"/>
          <w:bCs/>
          <w:sz w:val="36"/>
          <w:szCs w:val="36"/>
        </w:rPr>
      </w:pPr>
      <w:r>
        <w:rPr>
          <w:rFonts w:hint="eastAsia" w:ascii="黑体" w:hAnsi="宋体" w:eastAsia="黑体"/>
          <w:b/>
          <w:sz w:val="36"/>
          <w:szCs w:val="36"/>
        </w:rPr>
        <w:t>三门县政府采购诚信投标承诺书</w:t>
      </w:r>
    </w:p>
    <w:p>
      <w:pPr>
        <w:adjustRightInd w:val="0"/>
        <w:snapToGrid w:val="0"/>
        <w:spacing w:line="586" w:lineRule="exact"/>
        <w:ind w:firstLine="491" w:firstLineChars="205"/>
        <w:rPr>
          <w:sz w:val="24"/>
        </w:rPr>
      </w:pPr>
      <w:r>
        <w:rPr>
          <w:rFonts w:hint="eastAsia"/>
          <w:sz w:val="24"/>
        </w:rPr>
        <w:t>本人以企业法定代表人的身份郑重承诺：</w:t>
      </w:r>
    </w:p>
    <w:p>
      <w:pPr>
        <w:adjustRightInd w:val="0"/>
        <w:snapToGrid w:val="0"/>
        <w:spacing w:line="586" w:lineRule="exact"/>
        <w:ind w:firstLine="523" w:firstLineChars="218"/>
        <w:rPr>
          <w:sz w:val="24"/>
        </w:rPr>
      </w:pPr>
      <w:r>
        <w:rPr>
          <w:rFonts w:hint="eastAsia"/>
          <w:sz w:val="24"/>
        </w:rPr>
        <w:t>一、将遵循公开、公平、公正和诚实信用的原则参加</w:t>
      </w:r>
      <w:r>
        <w:rPr>
          <w:rFonts w:hint="eastAsia" w:ascii="宋体" w:hAnsi="宋体"/>
          <w:b/>
          <w:sz w:val="24"/>
          <w:szCs w:val="22"/>
          <w:u w:val="single"/>
        </w:rPr>
        <w:t>三门县客运中心及三门湾科创广场周边区块交通规划研究采购项目</w:t>
      </w:r>
      <w:r>
        <w:rPr>
          <w:rFonts w:hint="eastAsia"/>
          <w:sz w:val="24"/>
        </w:rPr>
        <w:t>的谈判；</w:t>
      </w:r>
    </w:p>
    <w:p>
      <w:pPr>
        <w:adjustRightInd w:val="0"/>
        <w:snapToGrid w:val="0"/>
        <w:spacing w:line="586" w:lineRule="exact"/>
        <w:ind w:firstLine="523" w:firstLineChars="218"/>
        <w:rPr>
          <w:sz w:val="24"/>
        </w:rPr>
      </w:pPr>
      <w:r>
        <w:rPr>
          <w:rFonts w:hint="eastAsia"/>
          <w:sz w:val="24"/>
        </w:rPr>
        <w:t>二、所提供的一切材料都是真实、有效、合法的；</w:t>
      </w:r>
    </w:p>
    <w:p>
      <w:pPr>
        <w:adjustRightInd w:val="0"/>
        <w:snapToGrid w:val="0"/>
        <w:spacing w:line="586" w:lineRule="exact"/>
        <w:ind w:firstLine="535" w:firstLineChars="223"/>
        <w:rPr>
          <w:sz w:val="24"/>
        </w:rPr>
      </w:pPr>
      <w:r>
        <w:rPr>
          <w:rFonts w:hint="eastAsia"/>
          <w:sz w:val="24"/>
        </w:rPr>
        <w:t>三、不与其他</w:t>
      </w:r>
      <w:r>
        <w:rPr>
          <w:rFonts w:hint="eastAsia" w:ascii="宋体" w:hAnsi="宋体"/>
          <w:kern w:val="0"/>
          <w:sz w:val="24"/>
        </w:rPr>
        <w:t>谈判供应商</w:t>
      </w:r>
      <w:r>
        <w:rPr>
          <w:rFonts w:hint="eastAsia"/>
          <w:sz w:val="24"/>
        </w:rPr>
        <w:t>相互串通谈判报价，不排挤其他</w:t>
      </w:r>
      <w:r>
        <w:rPr>
          <w:rFonts w:hint="eastAsia" w:ascii="宋体" w:hAnsi="宋体"/>
          <w:kern w:val="0"/>
          <w:sz w:val="24"/>
        </w:rPr>
        <w:t>谈判供应商</w:t>
      </w:r>
      <w:r>
        <w:rPr>
          <w:rFonts w:hint="eastAsia"/>
          <w:sz w:val="24"/>
        </w:rPr>
        <w:t>的公平竞争，不损害采购人或其他</w:t>
      </w:r>
      <w:r>
        <w:rPr>
          <w:rFonts w:hint="eastAsia" w:ascii="宋体" w:hAnsi="宋体"/>
          <w:kern w:val="0"/>
          <w:sz w:val="24"/>
        </w:rPr>
        <w:t>谈判供应商</w:t>
      </w:r>
      <w:r>
        <w:rPr>
          <w:rFonts w:hint="eastAsia"/>
          <w:sz w:val="24"/>
        </w:rPr>
        <w:t>的合法权益；</w:t>
      </w:r>
    </w:p>
    <w:p>
      <w:pPr>
        <w:adjustRightInd w:val="0"/>
        <w:snapToGrid w:val="0"/>
        <w:spacing w:line="586" w:lineRule="exact"/>
        <w:ind w:firstLine="554" w:firstLineChars="231"/>
        <w:rPr>
          <w:sz w:val="24"/>
        </w:rPr>
      </w:pPr>
      <w:r>
        <w:rPr>
          <w:rFonts w:hint="eastAsia"/>
          <w:sz w:val="24"/>
        </w:rPr>
        <w:t>四、不与采购人或招标代理机构串通谈判，损害国家利益、社会公共利益或者他人的合法权益；</w:t>
      </w:r>
    </w:p>
    <w:p>
      <w:pPr>
        <w:adjustRightInd w:val="0"/>
        <w:snapToGrid w:val="0"/>
        <w:spacing w:line="586" w:lineRule="exact"/>
        <w:ind w:firstLine="554" w:firstLineChars="231"/>
        <w:rPr>
          <w:sz w:val="24"/>
        </w:rPr>
      </w:pPr>
      <w:r>
        <w:rPr>
          <w:rFonts w:hint="eastAsia"/>
          <w:sz w:val="24"/>
        </w:rPr>
        <w:t>五、不向采购人或者评标委员会成员行贿以牟取成交；</w:t>
      </w:r>
    </w:p>
    <w:p>
      <w:pPr>
        <w:adjustRightInd w:val="0"/>
        <w:snapToGrid w:val="0"/>
        <w:spacing w:line="586" w:lineRule="exact"/>
        <w:ind w:firstLine="576" w:firstLineChars="240"/>
        <w:rPr>
          <w:sz w:val="24"/>
        </w:rPr>
      </w:pPr>
      <w:r>
        <w:rPr>
          <w:rFonts w:hint="eastAsia"/>
          <w:sz w:val="24"/>
        </w:rPr>
        <w:t>六、不以他人名义谈判或者以其他方式弄虚作假，骗取成交。</w:t>
      </w:r>
    </w:p>
    <w:p>
      <w:pPr>
        <w:adjustRightInd w:val="0"/>
        <w:snapToGrid w:val="0"/>
        <w:spacing w:line="586" w:lineRule="exact"/>
        <w:ind w:firstLine="619" w:firstLineChars="258"/>
        <w:rPr>
          <w:sz w:val="24"/>
        </w:rPr>
      </w:pPr>
      <w:r>
        <w:rPr>
          <w:rFonts w:hint="eastAsia"/>
          <w:sz w:val="24"/>
        </w:rPr>
        <w:t>本公司若有违反本承诺内容的行为，自愿放弃谈判保证金并愿意承担法律责任。如已成交的，自动放弃成交资格；给采购人造成损失的，依法承担赔偿责任。</w:t>
      </w:r>
    </w:p>
    <w:p>
      <w:pPr>
        <w:adjustRightInd w:val="0"/>
        <w:snapToGrid w:val="0"/>
        <w:spacing w:line="586" w:lineRule="exact"/>
        <w:rPr>
          <w:sz w:val="24"/>
        </w:rPr>
      </w:pPr>
    </w:p>
    <w:p>
      <w:pPr>
        <w:adjustRightInd w:val="0"/>
        <w:snapToGrid w:val="0"/>
        <w:spacing w:line="586" w:lineRule="exact"/>
        <w:ind w:firstLine="4560" w:firstLineChars="1900"/>
        <w:rPr>
          <w:sz w:val="24"/>
        </w:rPr>
      </w:pPr>
      <w:r>
        <w:rPr>
          <w:rFonts w:hint="eastAsia"/>
          <w:sz w:val="24"/>
        </w:rPr>
        <w:t>法定代表人（签字或盖章）：</w:t>
      </w:r>
    </w:p>
    <w:p>
      <w:pPr>
        <w:adjustRightInd w:val="0"/>
        <w:snapToGrid w:val="0"/>
        <w:spacing w:line="586" w:lineRule="exact"/>
        <w:rPr>
          <w:sz w:val="24"/>
        </w:rPr>
      </w:pPr>
    </w:p>
    <w:p>
      <w:pPr>
        <w:adjustRightInd w:val="0"/>
        <w:snapToGrid w:val="0"/>
        <w:spacing w:line="586" w:lineRule="exact"/>
        <w:ind w:firstLine="4560" w:firstLineChars="1900"/>
        <w:rPr>
          <w:sz w:val="24"/>
        </w:rPr>
      </w:pPr>
      <w:r>
        <w:rPr>
          <w:rFonts w:hint="eastAsia" w:ascii="宋体" w:hAnsi="宋体"/>
          <w:kern w:val="0"/>
          <w:sz w:val="24"/>
        </w:rPr>
        <w:t>供应商</w:t>
      </w:r>
      <w:r>
        <w:rPr>
          <w:rFonts w:hint="eastAsia"/>
          <w:sz w:val="24"/>
        </w:rPr>
        <w:t>（盖章）：</w:t>
      </w:r>
    </w:p>
    <w:p>
      <w:pPr>
        <w:adjustRightInd w:val="0"/>
        <w:snapToGrid w:val="0"/>
        <w:spacing w:line="586" w:lineRule="exact"/>
        <w:rPr>
          <w:sz w:val="24"/>
        </w:rPr>
      </w:pPr>
    </w:p>
    <w:p>
      <w:pPr>
        <w:adjustRightInd w:val="0"/>
        <w:snapToGrid w:val="0"/>
        <w:spacing w:line="586" w:lineRule="exact"/>
        <w:ind w:right="640" w:firstLine="3360" w:firstLineChars="1400"/>
        <w:jc w:val="center"/>
        <w:rPr>
          <w:sz w:val="24"/>
        </w:rPr>
      </w:pPr>
      <w:bookmarkStart w:id="102" w:name="_Toc148157964"/>
      <w:bookmarkStart w:id="103" w:name="_Toc143319553"/>
      <w:bookmarkStart w:id="104" w:name="_Toc146440177"/>
      <w:bookmarkStart w:id="105" w:name="_Toc141242988"/>
      <w:bookmarkStart w:id="106" w:name="_Toc143318918"/>
      <w:bookmarkStart w:id="107" w:name="_Toc155322974"/>
      <w:r>
        <w:rPr>
          <w:rFonts w:hint="eastAsia"/>
          <w:sz w:val="24"/>
        </w:rPr>
        <w:t xml:space="preserve">      年   月   日</w:t>
      </w:r>
      <w:bookmarkEnd w:id="102"/>
      <w:bookmarkEnd w:id="103"/>
      <w:bookmarkEnd w:id="104"/>
      <w:bookmarkEnd w:id="105"/>
      <w:bookmarkEnd w:id="106"/>
      <w:bookmarkEnd w:id="107"/>
    </w:p>
    <w:p>
      <w:pPr>
        <w:spacing w:line="360" w:lineRule="auto"/>
        <w:rPr>
          <w:rFonts w:ascii="宋体" w:hAnsi="宋体"/>
          <w:b/>
          <w:sz w:val="24"/>
        </w:rPr>
      </w:pPr>
    </w:p>
    <w:p>
      <w:pPr>
        <w:pStyle w:val="7"/>
        <w:tabs>
          <w:tab w:val="left" w:pos="2472"/>
        </w:tabs>
        <w:snapToGrid w:val="0"/>
        <w:jc w:val="center"/>
        <w:rPr>
          <w:sz w:val="30"/>
          <w:szCs w:val="30"/>
        </w:rPr>
      </w:pPr>
    </w:p>
    <w:p>
      <w:pPr>
        <w:pStyle w:val="7"/>
        <w:tabs>
          <w:tab w:val="left" w:pos="2472"/>
        </w:tabs>
        <w:snapToGrid w:val="0"/>
        <w:rPr>
          <w:sz w:val="30"/>
          <w:szCs w:val="30"/>
        </w:rPr>
      </w:pPr>
    </w:p>
    <w:p>
      <w:pPr>
        <w:pStyle w:val="7"/>
        <w:tabs>
          <w:tab w:val="left" w:pos="2472"/>
        </w:tabs>
        <w:snapToGrid w:val="0"/>
        <w:rPr>
          <w:sz w:val="30"/>
          <w:szCs w:val="30"/>
        </w:rPr>
      </w:pPr>
    </w:p>
    <w:p>
      <w:pPr>
        <w:pStyle w:val="7"/>
        <w:tabs>
          <w:tab w:val="left" w:pos="2472"/>
        </w:tabs>
        <w:snapToGrid w:val="0"/>
        <w:rPr>
          <w:sz w:val="30"/>
          <w:szCs w:val="30"/>
        </w:rPr>
      </w:pPr>
    </w:p>
    <w:p>
      <w:pPr>
        <w:pStyle w:val="7"/>
        <w:tabs>
          <w:tab w:val="left" w:pos="2472"/>
        </w:tabs>
        <w:snapToGrid w:val="0"/>
        <w:rPr>
          <w:sz w:val="30"/>
          <w:szCs w:val="30"/>
        </w:rPr>
      </w:pPr>
    </w:p>
    <w:p>
      <w:pPr>
        <w:spacing w:line="320" w:lineRule="exact"/>
        <w:outlineLvl w:val="1"/>
        <w:rPr>
          <w:rFonts w:ascii="宋体" w:hAnsi="宋体"/>
          <w:sz w:val="24"/>
        </w:rPr>
      </w:pPr>
      <w:bookmarkStart w:id="108" w:name="_Toc462675240"/>
      <w:bookmarkStart w:id="109" w:name="_Toc29904"/>
      <w:r>
        <w:rPr>
          <w:rFonts w:hint="eastAsia" w:ascii="宋体" w:hAnsi="宋体"/>
          <w:b/>
          <w:sz w:val="28"/>
        </w:rPr>
        <w:t>附件4</w:t>
      </w:r>
      <w:bookmarkEnd w:id="108"/>
      <w:bookmarkEnd w:id="109"/>
    </w:p>
    <w:p>
      <w:pPr>
        <w:spacing w:line="360" w:lineRule="atLeast"/>
        <w:jc w:val="center"/>
        <w:rPr>
          <w:spacing w:val="-20"/>
          <w:kern w:val="0"/>
          <w:sz w:val="30"/>
          <w:szCs w:val="30"/>
          <w:u w:val="single"/>
        </w:rPr>
      </w:pPr>
      <w:r>
        <w:rPr>
          <w:rFonts w:hint="eastAsia" w:ascii="宋体" w:hAnsi="宋体"/>
          <w:b/>
          <w:sz w:val="28"/>
          <w:u w:val="single"/>
        </w:rPr>
        <w:t>三门县客运中心及三门湾科创广场周边区块交通规划研究采购项目</w:t>
      </w:r>
    </w:p>
    <w:p>
      <w:pPr>
        <w:pStyle w:val="19"/>
        <w:widowControl w:val="0"/>
        <w:spacing w:before="0" w:beforeAutospacing="0" w:after="0" w:afterAutospacing="0" w:line="760" w:lineRule="exact"/>
        <w:textAlignment w:val="auto"/>
        <w:rPr>
          <w:bCs w:val="0"/>
          <w:kern w:val="2"/>
          <w:sz w:val="36"/>
          <w:szCs w:val="36"/>
        </w:rPr>
      </w:pPr>
      <w:r>
        <w:rPr>
          <w:rFonts w:hint="eastAsia"/>
          <w:bCs w:val="0"/>
          <w:kern w:val="2"/>
          <w:sz w:val="36"/>
          <w:szCs w:val="36"/>
        </w:rPr>
        <w:t>磋商人情况一览表</w:t>
      </w:r>
    </w:p>
    <w:tbl>
      <w:tblPr>
        <w:tblStyle w:val="15"/>
        <w:tblW w:w="9631"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55"/>
        <w:gridCol w:w="724"/>
        <w:gridCol w:w="41"/>
        <w:gridCol w:w="692"/>
        <w:gridCol w:w="1476"/>
        <w:gridCol w:w="334"/>
        <w:gridCol w:w="1115"/>
        <w:gridCol w:w="557"/>
        <w:gridCol w:w="295"/>
        <w:gridCol w:w="1048"/>
        <w:gridCol w:w="1047"/>
        <w:gridCol w:w="104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1979" w:type="dxa"/>
            <w:gridSpan w:val="2"/>
            <w:vAlign w:val="center"/>
          </w:tcPr>
          <w:p>
            <w:pPr>
              <w:pStyle w:val="7"/>
              <w:jc w:val="center"/>
              <w:rPr>
                <w:rFonts w:ascii="Times New Roman" w:hAnsi="Times New Roman"/>
                <w:szCs w:val="18"/>
              </w:rPr>
            </w:pPr>
            <w:r>
              <w:rPr>
                <w:rFonts w:hint="eastAsia" w:ascii="Times New Roman" w:hAnsi="Times New Roman"/>
                <w:szCs w:val="18"/>
              </w:rPr>
              <w:t>企业名称</w:t>
            </w:r>
          </w:p>
        </w:tc>
        <w:tc>
          <w:tcPr>
            <w:tcW w:w="7652" w:type="dxa"/>
            <w:gridSpan w:val="10"/>
            <w:vAlign w:val="center"/>
          </w:tcPr>
          <w:p>
            <w:pPr>
              <w:pStyle w:val="7"/>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1979" w:type="dxa"/>
            <w:gridSpan w:val="2"/>
            <w:vAlign w:val="center"/>
          </w:tcPr>
          <w:p>
            <w:pPr>
              <w:pStyle w:val="7"/>
              <w:jc w:val="center"/>
              <w:rPr>
                <w:rFonts w:ascii="Times New Roman" w:hAnsi="Times New Roman"/>
                <w:szCs w:val="18"/>
              </w:rPr>
            </w:pPr>
            <w:r>
              <w:rPr>
                <w:rFonts w:hint="eastAsia" w:ascii="Times New Roman" w:hAnsi="Times New Roman"/>
                <w:szCs w:val="18"/>
              </w:rPr>
              <w:t>注册地址</w:t>
            </w:r>
          </w:p>
        </w:tc>
        <w:tc>
          <w:tcPr>
            <w:tcW w:w="7652" w:type="dxa"/>
            <w:gridSpan w:val="10"/>
            <w:vAlign w:val="center"/>
          </w:tcPr>
          <w:p>
            <w:pPr>
              <w:pStyle w:val="7"/>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22" w:hRule="atLeast"/>
          <w:jc w:val="center"/>
        </w:trPr>
        <w:tc>
          <w:tcPr>
            <w:tcW w:w="1979" w:type="dxa"/>
            <w:gridSpan w:val="2"/>
            <w:vMerge w:val="restart"/>
            <w:vAlign w:val="center"/>
          </w:tcPr>
          <w:p>
            <w:pPr>
              <w:pStyle w:val="7"/>
              <w:jc w:val="center"/>
              <w:rPr>
                <w:rFonts w:ascii="Times New Roman" w:hAnsi="Times New Roman"/>
                <w:szCs w:val="18"/>
              </w:rPr>
            </w:pPr>
            <w:r>
              <w:rPr>
                <w:rFonts w:hint="eastAsia" w:ascii="Times New Roman" w:hAnsi="Times New Roman"/>
                <w:szCs w:val="18"/>
              </w:rPr>
              <w:t>通讯代码</w:t>
            </w:r>
          </w:p>
        </w:tc>
        <w:tc>
          <w:tcPr>
            <w:tcW w:w="733" w:type="dxa"/>
            <w:gridSpan w:val="2"/>
            <w:vAlign w:val="center"/>
          </w:tcPr>
          <w:p>
            <w:pPr>
              <w:pStyle w:val="7"/>
              <w:jc w:val="center"/>
              <w:rPr>
                <w:rFonts w:ascii="Times New Roman" w:hAnsi="Times New Roman"/>
                <w:szCs w:val="18"/>
              </w:rPr>
            </w:pPr>
            <w:r>
              <w:rPr>
                <w:rFonts w:hint="eastAsia" w:ascii="Times New Roman" w:hAnsi="Times New Roman"/>
                <w:szCs w:val="18"/>
              </w:rPr>
              <w:t>电话</w:t>
            </w:r>
          </w:p>
        </w:tc>
        <w:tc>
          <w:tcPr>
            <w:tcW w:w="1810" w:type="dxa"/>
            <w:gridSpan w:val="2"/>
            <w:vAlign w:val="center"/>
          </w:tcPr>
          <w:p>
            <w:pPr>
              <w:pStyle w:val="7"/>
              <w:jc w:val="center"/>
              <w:rPr>
                <w:rFonts w:ascii="Times New Roman" w:hAnsi="Times New Roman"/>
                <w:szCs w:val="18"/>
              </w:rPr>
            </w:pPr>
          </w:p>
        </w:tc>
        <w:tc>
          <w:tcPr>
            <w:tcW w:w="1967" w:type="dxa"/>
            <w:gridSpan w:val="3"/>
            <w:vAlign w:val="center"/>
          </w:tcPr>
          <w:p>
            <w:pPr>
              <w:pStyle w:val="7"/>
              <w:jc w:val="center"/>
              <w:rPr>
                <w:rFonts w:ascii="Times New Roman" w:hAnsi="Times New Roman"/>
                <w:szCs w:val="18"/>
              </w:rPr>
            </w:pPr>
            <w:r>
              <w:rPr>
                <w:rFonts w:hint="eastAsia" w:ascii="Times New Roman" w:hAnsi="Times New Roman"/>
                <w:szCs w:val="18"/>
              </w:rPr>
              <w:t>传  真</w:t>
            </w:r>
          </w:p>
        </w:tc>
        <w:tc>
          <w:tcPr>
            <w:tcW w:w="3142" w:type="dxa"/>
            <w:gridSpan w:val="3"/>
            <w:vAlign w:val="center"/>
          </w:tcPr>
          <w:p>
            <w:pPr>
              <w:pStyle w:val="7"/>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22" w:hRule="atLeast"/>
          <w:jc w:val="center"/>
        </w:trPr>
        <w:tc>
          <w:tcPr>
            <w:tcW w:w="1979" w:type="dxa"/>
            <w:gridSpan w:val="2"/>
            <w:vMerge w:val="continue"/>
            <w:vAlign w:val="center"/>
          </w:tcPr>
          <w:p>
            <w:pPr>
              <w:pStyle w:val="7"/>
              <w:jc w:val="center"/>
              <w:rPr>
                <w:rFonts w:ascii="Times New Roman" w:hAnsi="Times New Roman"/>
                <w:szCs w:val="18"/>
              </w:rPr>
            </w:pPr>
          </w:p>
        </w:tc>
        <w:tc>
          <w:tcPr>
            <w:tcW w:w="733" w:type="dxa"/>
            <w:gridSpan w:val="2"/>
            <w:vAlign w:val="center"/>
          </w:tcPr>
          <w:p>
            <w:pPr>
              <w:pStyle w:val="7"/>
              <w:jc w:val="center"/>
              <w:rPr>
                <w:rFonts w:ascii="Times New Roman" w:hAnsi="Times New Roman"/>
                <w:szCs w:val="18"/>
              </w:rPr>
            </w:pPr>
            <w:r>
              <w:rPr>
                <w:rFonts w:hint="eastAsia" w:ascii="Times New Roman" w:hAnsi="Times New Roman"/>
                <w:szCs w:val="18"/>
              </w:rPr>
              <w:t>网址</w:t>
            </w:r>
          </w:p>
        </w:tc>
        <w:tc>
          <w:tcPr>
            <w:tcW w:w="1810" w:type="dxa"/>
            <w:gridSpan w:val="2"/>
            <w:vAlign w:val="center"/>
          </w:tcPr>
          <w:p>
            <w:pPr>
              <w:pStyle w:val="7"/>
              <w:jc w:val="center"/>
              <w:rPr>
                <w:rFonts w:ascii="Times New Roman" w:hAnsi="Times New Roman"/>
                <w:szCs w:val="18"/>
              </w:rPr>
            </w:pPr>
          </w:p>
        </w:tc>
        <w:tc>
          <w:tcPr>
            <w:tcW w:w="1967" w:type="dxa"/>
            <w:gridSpan w:val="3"/>
            <w:vAlign w:val="center"/>
          </w:tcPr>
          <w:p>
            <w:pPr>
              <w:pStyle w:val="7"/>
              <w:jc w:val="center"/>
              <w:rPr>
                <w:rFonts w:ascii="Times New Roman" w:hAnsi="Times New Roman"/>
                <w:szCs w:val="18"/>
              </w:rPr>
            </w:pPr>
            <w:r>
              <w:rPr>
                <w:rFonts w:hint="eastAsia" w:ascii="Times New Roman" w:hAnsi="Times New Roman"/>
                <w:szCs w:val="18"/>
              </w:rPr>
              <w:t>邮政编码</w:t>
            </w:r>
          </w:p>
        </w:tc>
        <w:tc>
          <w:tcPr>
            <w:tcW w:w="3142" w:type="dxa"/>
            <w:gridSpan w:val="3"/>
            <w:vAlign w:val="center"/>
          </w:tcPr>
          <w:p>
            <w:pPr>
              <w:pStyle w:val="7"/>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1979" w:type="dxa"/>
            <w:gridSpan w:val="2"/>
            <w:vAlign w:val="center"/>
          </w:tcPr>
          <w:p>
            <w:pPr>
              <w:pStyle w:val="7"/>
              <w:jc w:val="center"/>
              <w:rPr>
                <w:rFonts w:ascii="Times New Roman" w:hAnsi="Times New Roman"/>
                <w:szCs w:val="18"/>
              </w:rPr>
            </w:pPr>
            <w:r>
              <w:rPr>
                <w:rFonts w:hint="eastAsia" w:ascii="Times New Roman" w:hAnsi="Times New Roman"/>
                <w:szCs w:val="18"/>
              </w:rPr>
              <w:t>成立时间</w:t>
            </w:r>
          </w:p>
        </w:tc>
        <w:tc>
          <w:tcPr>
            <w:tcW w:w="7652" w:type="dxa"/>
            <w:gridSpan w:val="10"/>
            <w:vAlign w:val="center"/>
          </w:tcPr>
          <w:p>
            <w:pPr>
              <w:pStyle w:val="7"/>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1979" w:type="dxa"/>
            <w:gridSpan w:val="2"/>
            <w:vAlign w:val="center"/>
          </w:tcPr>
          <w:p>
            <w:pPr>
              <w:pStyle w:val="7"/>
              <w:jc w:val="center"/>
              <w:rPr>
                <w:rFonts w:ascii="Times New Roman" w:hAnsi="Times New Roman"/>
                <w:szCs w:val="18"/>
              </w:rPr>
            </w:pPr>
            <w:r>
              <w:rPr>
                <w:rFonts w:hint="eastAsia" w:ascii="Times New Roman" w:hAnsi="Times New Roman"/>
                <w:szCs w:val="18"/>
              </w:rPr>
              <w:t>企业性质</w:t>
            </w:r>
          </w:p>
        </w:tc>
        <w:tc>
          <w:tcPr>
            <w:tcW w:w="2209" w:type="dxa"/>
            <w:gridSpan w:val="3"/>
            <w:vAlign w:val="center"/>
          </w:tcPr>
          <w:p>
            <w:pPr>
              <w:pStyle w:val="7"/>
              <w:jc w:val="center"/>
              <w:rPr>
                <w:rFonts w:ascii="Times New Roman" w:hAnsi="Times New Roman"/>
                <w:szCs w:val="18"/>
              </w:rPr>
            </w:pPr>
          </w:p>
        </w:tc>
        <w:tc>
          <w:tcPr>
            <w:tcW w:w="2006" w:type="dxa"/>
            <w:gridSpan w:val="3"/>
            <w:vAlign w:val="center"/>
          </w:tcPr>
          <w:p>
            <w:pPr>
              <w:pStyle w:val="7"/>
              <w:jc w:val="center"/>
              <w:rPr>
                <w:rFonts w:ascii="Times New Roman" w:hAnsi="Times New Roman"/>
                <w:szCs w:val="18"/>
              </w:rPr>
            </w:pPr>
            <w:r>
              <w:rPr>
                <w:rFonts w:hint="eastAsia" w:ascii="Times New Roman" w:hAnsi="Times New Roman"/>
                <w:szCs w:val="18"/>
              </w:rPr>
              <w:t>上级主管</w:t>
            </w:r>
          </w:p>
          <w:p>
            <w:pPr>
              <w:pStyle w:val="7"/>
              <w:jc w:val="center"/>
              <w:rPr>
                <w:rFonts w:ascii="Times New Roman" w:hAnsi="Times New Roman"/>
                <w:szCs w:val="18"/>
              </w:rPr>
            </w:pPr>
            <w:r>
              <w:rPr>
                <w:rFonts w:hint="eastAsia" w:ascii="Times New Roman" w:hAnsi="Times New Roman"/>
                <w:szCs w:val="18"/>
              </w:rPr>
              <w:t>单    位</w:t>
            </w:r>
          </w:p>
        </w:tc>
        <w:tc>
          <w:tcPr>
            <w:tcW w:w="3437" w:type="dxa"/>
            <w:gridSpan w:val="4"/>
            <w:vAlign w:val="center"/>
          </w:tcPr>
          <w:p>
            <w:pPr>
              <w:pStyle w:val="7"/>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1979" w:type="dxa"/>
            <w:gridSpan w:val="2"/>
            <w:vAlign w:val="center"/>
          </w:tcPr>
          <w:p>
            <w:pPr>
              <w:pStyle w:val="7"/>
              <w:jc w:val="center"/>
              <w:rPr>
                <w:rFonts w:ascii="Times New Roman" w:hAnsi="Times New Roman"/>
                <w:szCs w:val="18"/>
              </w:rPr>
            </w:pPr>
            <w:r>
              <w:rPr>
                <w:rFonts w:hint="eastAsia" w:ascii="Times New Roman" w:hAnsi="Times New Roman"/>
                <w:szCs w:val="18"/>
              </w:rPr>
              <w:t>法定代表人</w:t>
            </w:r>
          </w:p>
        </w:tc>
        <w:tc>
          <w:tcPr>
            <w:tcW w:w="733" w:type="dxa"/>
            <w:gridSpan w:val="2"/>
            <w:vAlign w:val="center"/>
          </w:tcPr>
          <w:p>
            <w:pPr>
              <w:pStyle w:val="7"/>
              <w:jc w:val="center"/>
              <w:rPr>
                <w:rFonts w:ascii="Times New Roman" w:hAnsi="Times New Roman"/>
                <w:szCs w:val="18"/>
              </w:rPr>
            </w:pPr>
            <w:r>
              <w:rPr>
                <w:rFonts w:hint="eastAsia" w:ascii="Times New Roman" w:hAnsi="Times New Roman"/>
                <w:szCs w:val="18"/>
              </w:rPr>
              <w:t>姓名</w:t>
            </w:r>
          </w:p>
        </w:tc>
        <w:tc>
          <w:tcPr>
            <w:tcW w:w="1476" w:type="dxa"/>
            <w:vAlign w:val="center"/>
          </w:tcPr>
          <w:p>
            <w:pPr>
              <w:pStyle w:val="7"/>
              <w:jc w:val="center"/>
              <w:rPr>
                <w:rFonts w:ascii="Times New Roman" w:hAnsi="Times New Roman"/>
                <w:szCs w:val="18"/>
              </w:rPr>
            </w:pPr>
          </w:p>
        </w:tc>
        <w:tc>
          <w:tcPr>
            <w:tcW w:w="2006" w:type="dxa"/>
            <w:gridSpan w:val="3"/>
            <w:vAlign w:val="center"/>
          </w:tcPr>
          <w:p>
            <w:pPr>
              <w:pStyle w:val="7"/>
              <w:jc w:val="center"/>
              <w:rPr>
                <w:rFonts w:ascii="Times New Roman" w:hAnsi="Times New Roman"/>
                <w:szCs w:val="18"/>
              </w:rPr>
            </w:pPr>
            <w:r>
              <w:rPr>
                <w:rFonts w:hint="eastAsia" w:ascii="Times New Roman" w:hAnsi="Times New Roman"/>
                <w:szCs w:val="18"/>
              </w:rPr>
              <w:t>出生年月</w:t>
            </w:r>
          </w:p>
        </w:tc>
        <w:tc>
          <w:tcPr>
            <w:tcW w:w="1343" w:type="dxa"/>
            <w:gridSpan w:val="2"/>
            <w:vAlign w:val="center"/>
          </w:tcPr>
          <w:p>
            <w:pPr>
              <w:pStyle w:val="7"/>
              <w:jc w:val="center"/>
              <w:rPr>
                <w:rFonts w:ascii="Times New Roman" w:hAnsi="Times New Roman"/>
                <w:szCs w:val="18"/>
              </w:rPr>
            </w:pPr>
          </w:p>
        </w:tc>
        <w:tc>
          <w:tcPr>
            <w:tcW w:w="1047" w:type="dxa"/>
            <w:vAlign w:val="center"/>
          </w:tcPr>
          <w:p>
            <w:pPr>
              <w:pStyle w:val="7"/>
              <w:jc w:val="center"/>
              <w:rPr>
                <w:rFonts w:ascii="Times New Roman" w:hAnsi="Times New Roman"/>
                <w:szCs w:val="18"/>
              </w:rPr>
            </w:pPr>
            <w:r>
              <w:rPr>
                <w:rFonts w:hint="eastAsia" w:ascii="Times New Roman" w:hAnsi="Times New Roman"/>
                <w:szCs w:val="18"/>
              </w:rPr>
              <w:t>职称</w:t>
            </w:r>
          </w:p>
        </w:tc>
        <w:tc>
          <w:tcPr>
            <w:tcW w:w="1047" w:type="dxa"/>
            <w:vAlign w:val="center"/>
          </w:tcPr>
          <w:p>
            <w:pPr>
              <w:pStyle w:val="7"/>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1979" w:type="dxa"/>
            <w:gridSpan w:val="2"/>
            <w:vAlign w:val="center"/>
          </w:tcPr>
          <w:p>
            <w:pPr>
              <w:pStyle w:val="7"/>
              <w:jc w:val="center"/>
              <w:rPr>
                <w:rFonts w:ascii="Times New Roman" w:hAnsi="Times New Roman"/>
                <w:szCs w:val="18"/>
              </w:rPr>
            </w:pPr>
            <w:r>
              <w:rPr>
                <w:rFonts w:hint="eastAsia" w:ascii="Times New Roman" w:hAnsi="Times New Roman"/>
                <w:szCs w:val="18"/>
              </w:rPr>
              <w:t>企业技术负责人</w:t>
            </w:r>
          </w:p>
        </w:tc>
        <w:tc>
          <w:tcPr>
            <w:tcW w:w="733" w:type="dxa"/>
            <w:gridSpan w:val="2"/>
            <w:vAlign w:val="center"/>
          </w:tcPr>
          <w:p>
            <w:pPr>
              <w:pStyle w:val="7"/>
              <w:jc w:val="center"/>
              <w:rPr>
                <w:rFonts w:ascii="Times New Roman" w:hAnsi="Times New Roman"/>
                <w:szCs w:val="18"/>
              </w:rPr>
            </w:pPr>
            <w:r>
              <w:rPr>
                <w:rFonts w:hint="eastAsia" w:ascii="Times New Roman" w:hAnsi="Times New Roman"/>
                <w:szCs w:val="18"/>
              </w:rPr>
              <w:t>姓名</w:t>
            </w:r>
          </w:p>
        </w:tc>
        <w:tc>
          <w:tcPr>
            <w:tcW w:w="1476" w:type="dxa"/>
            <w:vAlign w:val="center"/>
          </w:tcPr>
          <w:p>
            <w:pPr>
              <w:pStyle w:val="7"/>
              <w:jc w:val="center"/>
              <w:rPr>
                <w:rFonts w:ascii="Times New Roman" w:hAnsi="Times New Roman"/>
                <w:szCs w:val="18"/>
              </w:rPr>
            </w:pPr>
          </w:p>
        </w:tc>
        <w:tc>
          <w:tcPr>
            <w:tcW w:w="2006" w:type="dxa"/>
            <w:gridSpan w:val="3"/>
            <w:vAlign w:val="center"/>
          </w:tcPr>
          <w:p>
            <w:pPr>
              <w:pStyle w:val="7"/>
              <w:jc w:val="center"/>
              <w:rPr>
                <w:rFonts w:ascii="Times New Roman" w:hAnsi="Times New Roman"/>
                <w:szCs w:val="18"/>
              </w:rPr>
            </w:pPr>
            <w:r>
              <w:rPr>
                <w:rFonts w:hint="eastAsia" w:ascii="Times New Roman" w:hAnsi="Times New Roman"/>
                <w:szCs w:val="18"/>
              </w:rPr>
              <w:t>出生年月</w:t>
            </w:r>
          </w:p>
        </w:tc>
        <w:tc>
          <w:tcPr>
            <w:tcW w:w="1343" w:type="dxa"/>
            <w:gridSpan w:val="2"/>
            <w:vAlign w:val="center"/>
          </w:tcPr>
          <w:p>
            <w:pPr>
              <w:pStyle w:val="7"/>
              <w:jc w:val="center"/>
              <w:rPr>
                <w:rFonts w:ascii="Times New Roman" w:hAnsi="Times New Roman"/>
                <w:szCs w:val="18"/>
              </w:rPr>
            </w:pPr>
          </w:p>
        </w:tc>
        <w:tc>
          <w:tcPr>
            <w:tcW w:w="1047" w:type="dxa"/>
            <w:vAlign w:val="center"/>
          </w:tcPr>
          <w:p>
            <w:pPr>
              <w:pStyle w:val="7"/>
              <w:jc w:val="center"/>
              <w:rPr>
                <w:rFonts w:ascii="Times New Roman" w:hAnsi="Times New Roman"/>
                <w:szCs w:val="18"/>
              </w:rPr>
            </w:pPr>
            <w:r>
              <w:rPr>
                <w:rFonts w:hint="eastAsia" w:ascii="Times New Roman" w:hAnsi="Times New Roman"/>
                <w:szCs w:val="18"/>
              </w:rPr>
              <w:t>职称</w:t>
            </w:r>
          </w:p>
        </w:tc>
        <w:tc>
          <w:tcPr>
            <w:tcW w:w="1047" w:type="dxa"/>
            <w:vAlign w:val="center"/>
          </w:tcPr>
          <w:p>
            <w:pPr>
              <w:pStyle w:val="7"/>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020" w:type="dxa"/>
            <w:gridSpan w:val="3"/>
            <w:vAlign w:val="center"/>
          </w:tcPr>
          <w:p>
            <w:pPr>
              <w:pStyle w:val="7"/>
              <w:jc w:val="center"/>
              <w:rPr>
                <w:rFonts w:ascii="Times New Roman" w:hAnsi="Times New Roman"/>
                <w:szCs w:val="18"/>
              </w:rPr>
            </w:pPr>
            <w:r>
              <w:rPr>
                <w:rFonts w:hint="eastAsia" w:ascii="Times New Roman" w:hAnsi="Times New Roman"/>
                <w:szCs w:val="18"/>
              </w:rPr>
              <w:t>企业资质等级</w:t>
            </w:r>
          </w:p>
        </w:tc>
        <w:tc>
          <w:tcPr>
            <w:tcW w:w="2502" w:type="dxa"/>
            <w:gridSpan w:val="3"/>
            <w:vAlign w:val="center"/>
          </w:tcPr>
          <w:p>
            <w:pPr>
              <w:pStyle w:val="7"/>
              <w:jc w:val="center"/>
              <w:rPr>
                <w:rFonts w:ascii="Times New Roman" w:hAnsi="Times New Roman"/>
                <w:szCs w:val="18"/>
              </w:rPr>
            </w:pPr>
          </w:p>
        </w:tc>
        <w:tc>
          <w:tcPr>
            <w:tcW w:w="5109" w:type="dxa"/>
            <w:gridSpan w:val="6"/>
            <w:vAlign w:val="center"/>
          </w:tcPr>
          <w:p>
            <w:pPr>
              <w:pStyle w:val="7"/>
              <w:jc w:val="center"/>
              <w:rPr>
                <w:rFonts w:ascii="Times New Roman" w:hAnsi="Times New Roman"/>
                <w:szCs w:val="18"/>
              </w:rPr>
            </w:pPr>
            <w:r>
              <w:rPr>
                <w:rFonts w:hint="eastAsia" w:ascii="Times New Roman" w:hAnsi="Times New Roman"/>
                <w:szCs w:val="18"/>
              </w:rPr>
              <w:t>员工总人数（人）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22" w:hRule="atLeast"/>
          <w:jc w:val="center"/>
        </w:trPr>
        <w:tc>
          <w:tcPr>
            <w:tcW w:w="2020" w:type="dxa"/>
            <w:gridSpan w:val="3"/>
            <w:vAlign w:val="center"/>
          </w:tcPr>
          <w:p>
            <w:pPr>
              <w:pStyle w:val="7"/>
              <w:jc w:val="center"/>
              <w:rPr>
                <w:rFonts w:ascii="Times New Roman" w:hAnsi="Times New Roman"/>
                <w:szCs w:val="18"/>
              </w:rPr>
            </w:pPr>
            <w:r>
              <w:rPr>
                <w:rFonts w:hint="eastAsia" w:ascii="Times New Roman" w:hAnsi="Times New Roman"/>
                <w:szCs w:val="18"/>
              </w:rPr>
              <w:t>法人营业执照号</w:t>
            </w:r>
          </w:p>
        </w:tc>
        <w:tc>
          <w:tcPr>
            <w:tcW w:w="2502" w:type="dxa"/>
            <w:gridSpan w:val="3"/>
            <w:vAlign w:val="center"/>
          </w:tcPr>
          <w:p>
            <w:pPr>
              <w:pStyle w:val="7"/>
              <w:jc w:val="center"/>
              <w:rPr>
                <w:rFonts w:ascii="Times New Roman" w:hAnsi="Times New Roman"/>
                <w:szCs w:val="18"/>
              </w:rPr>
            </w:pPr>
          </w:p>
        </w:tc>
        <w:tc>
          <w:tcPr>
            <w:tcW w:w="1115" w:type="dxa"/>
            <w:vMerge w:val="restart"/>
            <w:textDirection w:val="tbRlV"/>
            <w:vAlign w:val="center"/>
          </w:tcPr>
          <w:p>
            <w:pPr>
              <w:pStyle w:val="7"/>
              <w:ind w:left="113" w:right="113"/>
              <w:jc w:val="center"/>
              <w:rPr>
                <w:rFonts w:ascii="Times New Roman" w:hAnsi="Times New Roman"/>
                <w:szCs w:val="18"/>
              </w:rPr>
            </w:pPr>
            <w:r>
              <w:rPr>
                <w:rFonts w:hint="eastAsia" w:ascii="Times New Roman" w:hAnsi="Times New Roman"/>
                <w:szCs w:val="18"/>
              </w:rPr>
              <w:t>其   中</w:t>
            </w:r>
          </w:p>
        </w:tc>
        <w:tc>
          <w:tcPr>
            <w:tcW w:w="3994" w:type="dxa"/>
            <w:gridSpan w:val="5"/>
            <w:vAlign w:val="center"/>
          </w:tcPr>
          <w:p>
            <w:pPr>
              <w:pStyle w:val="7"/>
              <w:jc w:val="center"/>
              <w:rPr>
                <w:rFonts w:ascii="Times New Roman" w:hAnsi="Times New Roman"/>
                <w:szCs w:val="18"/>
              </w:rPr>
            </w:pPr>
            <w:r>
              <w:rPr>
                <w:rFonts w:hint="eastAsia" w:ascii="Times New Roman" w:hAnsi="Times New Roman"/>
                <w:szCs w:val="18"/>
              </w:rPr>
              <w:t>项目负责人（人）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22" w:hRule="atLeast"/>
          <w:jc w:val="center"/>
        </w:trPr>
        <w:tc>
          <w:tcPr>
            <w:tcW w:w="2020" w:type="dxa"/>
            <w:gridSpan w:val="3"/>
            <w:vAlign w:val="center"/>
          </w:tcPr>
          <w:p>
            <w:pPr>
              <w:pStyle w:val="7"/>
              <w:jc w:val="center"/>
              <w:rPr>
                <w:rFonts w:ascii="Times New Roman" w:hAnsi="Times New Roman"/>
                <w:szCs w:val="18"/>
              </w:rPr>
            </w:pPr>
            <w:r>
              <w:rPr>
                <w:rFonts w:hint="eastAsia" w:ascii="Times New Roman" w:hAnsi="Times New Roman"/>
                <w:szCs w:val="18"/>
              </w:rPr>
              <w:t>固定资产（万元）</w:t>
            </w:r>
          </w:p>
        </w:tc>
        <w:tc>
          <w:tcPr>
            <w:tcW w:w="2502" w:type="dxa"/>
            <w:gridSpan w:val="3"/>
            <w:vAlign w:val="center"/>
          </w:tcPr>
          <w:p>
            <w:pPr>
              <w:pStyle w:val="7"/>
              <w:jc w:val="center"/>
              <w:rPr>
                <w:rFonts w:ascii="Times New Roman" w:hAnsi="Times New Roman"/>
                <w:szCs w:val="18"/>
              </w:rPr>
            </w:pPr>
          </w:p>
        </w:tc>
        <w:tc>
          <w:tcPr>
            <w:tcW w:w="1115" w:type="dxa"/>
            <w:vMerge w:val="continue"/>
            <w:vAlign w:val="center"/>
          </w:tcPr>
          <w:p>
            <w:pPr>
              <w:pStyle w:val="7"/>
              <w:jc w:val="center"/>
              <w:rPr>
                <w:rFonts w:ascii="Times New Roman" w:hAnsi="Times New Roman"/>
                <w:szCs w:val="18"/>
              </w:rPr>
            </w:pPr>
          </w:p>
        </w:tc>
        <w:tc>
          <w:tcPr>
            <w:tcW w:w="3994" w:type="dxa"/>
            <w:gridSpan w:val="5"/>
            <w:vAlign w:val="center"/>
          </w:tcPr>
          <w:p>
            <w:pPr>
              <w:pStyle w:val="7"/>
              <w:jc w:val="center"/>
              <w:rPr>
                <w:rFonts w:ascii="Times New Roman" w:hAnsi="Times New Roman"/>
                <w:szCs w:val="18"/>
              </w:rPr>
            </w:pPr>
            <w:r>
              <w:rPr>
                <w:rFonts w:hint="eastAsia" w:ascii="Times New Roman" w:hAnsi="Times New Roman"/>
                <w:szCs w:val="18"/>
              </w:rPr>
              <w:t>高级职称人员（人）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22" w:hRule="atLeast"/>
          <w:jc w:val="center"/>
        </w:trPr>
        <w:tc>
          <w:tcPr>
            <w:tcW w:w="2020" w:type="dxa"/>
            <w:gridSpan w:val="3"/>
            <w:vAlign w:val="center"/>
          </w:tcPr>
          <w:p>
            <w:pPr>
              <w:pStyle w:val="7"/>
              <w:jc w:val="center"/>
              <w:rPr>
                <w:rFonts w:ascii="Times New Roman" w:hAnsi="Times New Roman"/>
                <w:szCs w:val="18"/>
              </w:rPr>
            </w:pPr>
            <w:r>
              <w:rPr>
                <w:rFonts w:hint="eastAsia" w:ascii="Times New Roman" w:hAnsi="Times New Roman"/>
                <w:szCs w:val="18"/>
              </w:rPr>
              <w:t>流动资金（万元）</w:t>
            </w:r>
          </w:p>
        </w:tc>
        <w:tc>
          <w:tcPr>
            <w:tcW w:w="2502" w:type="dxa"/>
            <w:gridSpan w:val="3"/>
            <w:vAlign w:val="center"/>
          </w:tcPr>
          <w:p>
            <w:pPr>
              <w:pStyle w:val="7"/>
              <w:jc w:val="center"/>
              <w:rPr>
                <w:rFonts w:ascii="Times New Roman" w:hAnsi="Times New Roman"/>
                <w:szCs w:val="18"/>
              </w:rPr>
            </w:pPr>
          </w:p>
        </w:tc>
        <w:tc>
          <w:tcPr>
            <w:tcW w:w="1115" w:type="dxa"/>
            <w:vMerge w:val="continue"/>
            <w:vAlign w:val="center"/>
          </w:tcPr>
          <w:p>
            <w:pPr>
              <w:pStyle w:val="7"/>
              <w:jc w:val="center"/>
              <w:rPr>
                <w:rFonts w:ascii="Times New Roman" w:hAnsi="Times New Roman"/>
                <w:szCs w:val="18"/>
              </w:rPr>
            </w:pPr>
          </w:p>
        </w:tc>
        <w:tc>
          <w:tcPr>
            <w:tcW w:w="3994" w:type="dxa"/>
            <w:gridSpan w:val="5"/>
            <w:vAlign w:val="center"/>
          </w:tcPr>
          <w:p>
            <w:pPr>
              <w:pStyle w:val="7"/>
              <w:jc w:val="center"/>
              <w:rPr>
                <w:rFonts w:ascii="Times New Roman" w:hAnsi="Times New Roman"/>
                <w:szCs w:val="18"/>
              </w:rPr>
            </w:pPr>
            <w:r>
              <w:rPr>
                <w:rFonts w:hint="eastAsia" w:ascii="Times New Roman" w:hAnsi="Times New Roman"/>
                <w:szCs w:val="18"/>
              </w:rPr>
              <w:t>中级职称人员（人）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22" w:hRule="atLeast"/>
          <w:jc w:val="center"/>
        </w:trPr>
        <w:tc>
          <w:tcPr>
            <w:tcW w:w="1255" w:type="dxa"/>
            <w:vMerge w:val="restart"/>
            <w:vAlign w:val="center"/>
          </w:tcPr>
          <w:p>
            <w:pPr>
              <w:pStyle w:val="7"/>
              <w:jc w:val="center"/>
              <w:rPr>
                <w:rFonts w:ascii="Times New Roman" w:hAnsi="Times New Roman"/>
                <w:szCs w:val="18"/>
              </w:rPr>
            </w:pPr>
            <w:r>
              <w:rPr>
                <w:rFonts w:hint="eastAsia" w:ascii="Times New Roman" w:hAnsi="Times New Roman"/>
                <w:szCs w:val="18"/>
              </w:rPr>
              <w:t>开户银行</w:t>
            </w:r>
          </w:p>
        </w:tc>
        <w:tc>
          <w:tcPr>
            <w:tcW w:w="765" w:type="dxa"/>
            <w:gridSpan w:val="2"/>
            <w:vAlign w:val="center"/>
          </w:tcPr>
          <w:p>
            <w:pPr>
              <w:pStyle w:val="7"/>
              <w:jc w:val="center"/>
              <w:rPr>
                <w:rFonts w:ascii="Times New Roman" w:hAnsi="Times New Roman"/>
                <w:szCs w:val="18"/>
              </w:rPr>
            </w:pPr>
            <w:r>
              <w:rPr>
                <w:rFonts w:hint="eastAsia" w:ascii="Times New Roman" w:hAnsi="Times New Roman"/>
                <w:szCs w:val="18"/>
              </w:rPr>
              <w:t>名称</w:t>
            </w:r>
          </w:p>
        </w:tc>
        <w:tc>
          <w:tcPr>
            <w:tcW w:w="2502" w:type="dxa"/>
            <w:gridSpan w:val="3"/>
            <w:vAlign w:val="center"/>
          </w:tcPr>
          <w:p>
            <w:pPr>
              <w:pStyle w:val="7"/>
              <w:jc w:val="center"/>
              <w:rPr>
                <w:rFonts w:ascii="Times New Roman" w:hAnsi="Times New Roman"/>
                <w:szCs w:val="18"/>
              </w:rPr>
            </w:pPr>
          </w:p>
        </w:tc>
        <w:tc>
          <w:tcPr>
            <w:tcW w:w="1115" w:type="dxa"/>
            <w:vMerge w:val="continue"/>
            <w:vAlign w:val="center"/>
          </w:tcPr>
          <w:p>
            <w:pPr>
              <w:pStyle w:val="7"/>
              <w:jc w:val="center"/>
              <w:rPr>
                <w:rFonts w:ascii="Times New Roman" w:hAnsi="Times New Roman"/>
                <w:szCs w:val="18"/>
              </w:rPr>
            </w:pPr>
          </w:p>
        </w:tc>
        <w:tc>
          <w:tcPr>
            <w:tcW w:w="3994" w:type="dxa"/>
            <w:gridSpan w:val="5"/>
            <w:vAlign w:val="center"/>
          </w:tcPr>
          <w:p>
            <w:pPr>
              <w:pStyle w:val="7"/>
              <w:jc w:val="center"/>
              <w:rPr>
                <w:rFonts w:ascii="Times New Roman" w:hAnsi="Times New Roman"/>
                <w:szCs w:val="18"/>
              </w:rPr>
            </w:pPr>
            <w:r>
              <w:rPr>
                <w:rFonts w:hint="eastAsia" w:ascii="Times New Roman" w:hAnsi="Times New Roman"/>
                <w:szCs w:val="18"/>
              </w:rPr>
              <w:t>初级职称人员（人）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22" w:hRule="atLeast"/>
          <w:jc w:val="center"/>
        </w:trPr>
        <w:tc>
          <w:tcPr>
            <w:tcW w:w="1255" w:type="dxa"/>
            <w:vMerge w:val="continue"/>
            <w:vAlign w:val="center"/>
          </w:tcPr>
          <w:p>
            <w:pPr>
              <w:pStyle w:val="7"/>
              <w:jc w:val="center"/>
              <w:rPr>
                <w:rFonts w:ascii="Times New Roman" w:hAnsi="Times New Roman"/>
                <w:szCs w:val="18"/>
              </w:rPr>
            </w:pPr>
          </w:p>
        </w:tc>
        <w:tc>
          <w:tcPr>
            <w:tcW w:w="765" w:type="dxa"/>
            <w:gridSpan w:val="2"/>
            <w:vAlign w:val="center"/>
          </w:tcPr>
          <w:p>
            <w:pPr>
              <w:pStyle w:val="7"/>
              <w:jc w:val="center"/>
              <w:rPr>
                <w:rFonts w:ascii="Times New Roman" w:hAnsi="Times New Roman"/>
                <w:szCs w:val="18"/>
              </w:rPr>
            </w:pPr>
            <w:r>
              <w:rPr>
                <w:rFonts w:hint="eastAsia" w:ascii="Times New Roman" w:hAnsi="Times New Roman"/>
                <w:szCs w:val="18"/>
              </w:rPr>
              <w:t>账号</w:t>
            </w:r>
          </w:p>
        </w:tc>
        <w:tc>
          <w:tcPr>
            <w:tcW w:w="2502" w:type="dxa"/>
            <w:gridSpan w:val="3"/>
            <w:vAlign w:val="center"/>
          </w:tcPr>
          <w:p>
            <w:pPr>
              <w:pStyle w:val="7"/>
              <w:jc w:val="center"/>
              <w:rPr>
                <w:rFonts w:ascii="Times New Roman" w:hAnsi="Times New Roman"/>
                <w:szCs w:val="18"/>
              </w:rPr>
            </w:pPr>
          </w:p>
        </w:tc>
        <w:tc>
          <w:tcPr>
            <w:tcW w:w="1115" w:type="dxa"/>
            <w:vMerge w:val="continue"/>
            <w:vAlign w:val="center"/>
          </w:tcPr>
          <w:p>
            <w:pPr>
              <w:pStyle w:val="7"/>
              <w:jc w:val="center"/>
              <w:rPr>
                <w:rFonts w:ascii="Times New Roman" w:hAnsi="Times New Roman"/>
                <w:szCs w:val="18"/>
              </w:rPr>
            </w:pPr>
          </w:p>
        </w:tc>
        <w:tc>
          <w:tcPr>
            <w:tcW w:w="3994" w:type="dxa"/>
            <w:gridSpan w:val="5"/>
            <w:vAlign w:val="center"/>
          </w:tcPr>
          <w:p>
            <w:pPr>
              <w:pStyle w:val="7"/>
              <w:jc w:val="center"/>
              <w:rPr>
                <w:rFonts w:ascii="Times New Roman" w:hAnsi="Times New Roman"/>
                <w:szCs w:val="18"/>
              </w:rPr>
            </w:pPr>
            <w:r>
              <w:rPr>
                <w:rFonts w:hint="eastAsia" w:ascii="Times New Roman" w:hAnsi="Times New Roman"/>
                <w:szCs w:val="18"/>
              </w:rPr>
              <w:t>技工（人）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5637" w:type="dxa"/>
            <w:gridSpan w:val="7"/>
            <w:vAlign w:val="center"/>
          </w:tcPr>
          <w:p>
            <w:pPr>
              <w:pStyle w:val="7"/>
              <w:jc w:val="center"/>
              <w:rPr>
                <w:rFonts w:ascii="Times New Roman" w:hAnsi="Times New Roman"/>
                <w:szCs w:val="18"/>
              </w:rPr>
            </w:pPr>
            <w:r>
              <w:rPr>
                <w:rFonts w:hint="eastAsia" w:ascii="Times New Roman" w:hAnsi="Times New Roman"/>
                <w:szCs w:val="18"/>
              </w:rPr>
              <w:t>最近五年完成的营业额（万元）</w:t>
            </w:r>
          </w:p>
        </w:tc>
        <w:tc>
          <w:tcPr>
            <w:tcW w:w="3994" w:type="dxa"/>
            <w:gridSpan w:val="5"/>
            <w:vAlign w:val="center"/>
          </w:tcPr>
          <w:p>
            <w:pPr>
              <w:pStyle w:val="7"/>
              <w:jc w:val="center"/>
              <w:rPr>
                <w:rFonts w:ascii="Times New Roman" w:hAnsi="Times New Roman"/>
                <w:szCs w:val="18"/>
              </w:rPr>
            </w:pPr>
            <w:r>
              <w:rPr>
                <w:rFonts w:hint="eastAsia" w:ascii="Times New Roman" w:hAnsi="Times New Roman"/>
                <w:szCs w:val="18"/>
              </w:rPr>
              <w:t>近期完成的类似工程情况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22" w:hRule="atLeast"/>
          <w:jc w:val="center"/>
        </w:trPr>
        <w:tc>
          <w:tcPr>
            <w:tcW w:w="1979" w:type="dxa"/>
            <w:gridSpan w:val="2"/>
            <w:vAlign w:val="center"/>
          </w:tcPr>
          <w:p>
            <w:pPr>
              <w:pStyle w:val="7"/>
              <w:jc w:val="center"/>
              <w:rPr>
                <w:rFonts w:ascii="Times New Roman" w:hAnsi="Times New Roman"/>
                <w:szCs w:val="18"/>
              </w:rPr>
            </w:pPr>
            <w:r>
              <w:rPr>
                <w:rFonts w:hint="eastAsia" w:ascii="Times New Roman" w:hAnsi="Times New Roman"/>
                <w:szCs w:val="18"/>
              </w:rPr>
              <w:t>______年</w:t>
            </w:r>
          </w:p>
        </w:tc>
        <w:tc>
          <w:tcPr>
            <w:tcW w:w="3658" w:type="dxa"/>
            <w:gridSpan w:val="5"/>
            <w:vAlign w:val="center"/>
          </w:tcPr>
          <w:p>
            <w:pPr>
              <w:pStyle w:val="7"/>
              <w:jc w:val="center"/>
              <w:rPr>
                <w:rFonts w:ascii="Times New Roman" w:hAnsi="Times New Roman"/>
                <w:szCs w:val="18"/>
              </w:rPr>
            </w:pPr>
          </w:p>
        </w:tc>
        <w:tc>
          <w:tcPr>
            <w:tcW w:w="3994" w:type="dxa"/>
            <w:gridSpan w:val="5"/>
            <w:vMerge w:val="restart"/>
            <w:vAlign w:val="center"/>
          </w:tcPr>
          <w:p>
            <w:pPr>
              <w:pStyle w:val="7"/>
              <w:ind w:firstLine="420" w:firstLineChars="200"/>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22" w:hRule="atLeast"/>
          <w:jc w:val="center"/>
        </w:trPr>
        <w:tc>
          <w:tcPr>
            <w:tcW w:w="1979" w:type="dxa"/>
            <w:gridSpan w:val="2"/>
            <w:vAlign w:val="center"/>
          </w:tcPr>
          <w:p>
            <w:pPr>
              <w:pStyle w:val="7"/>
              <w:jc w:val="center"/>
              <w:rPr>
                <w:rFonts w:ascii="Times New Roman" w:hAnsi="Times New Roman"/>
                <w:szCs w:val="18"/>
              </w:rPr>
            </w:pPr>
            <w:r>
              <w:rPr>
                <w:rFonts w:hint="eastAsia" w:ascii="Times New Roman" w:hAnsi="Times New Roman"/>
                <w:szCs w:val="18"/>
              </w:rPr>
              <w:t>______年</w:t>
            </w:r>
          </w:p>
        </w:tc>
        <w:tc>
          <w:tcPr>
            <w:tcW w:w="3658" w:type="dxa"/>
            <w:gridSpan w:val="5"/>
            <w:vAlign w:val="center"/>
          </w:tcPr>
          <w:p>
            <w:pPr>
              <w:pStyle w:val="7"/>
              <w:jc w:val="center"/>
              <w:rPr>
                <w:rFonts w:ascii="Times New Roman" w:hAnsi="Times New Roman"/>
                <w:szCs w:val="18"/>
              </w:rPr>
            </w:pPr>
          </w:p>
        </w:tc>
        <w:tc>
          <w:tcPr>
            <w:tcW w:w="3994" w:type="dxa"/>
            <w:gridSpan w:val="5"/>
            <w:vMerge w:val="continue"/>
            <w:vAlign w:val="center"/>
          </w:tcPr>
          <w:p>
            <w:pPr>
              <w:pStyle w:val="7"/>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22" w:hRule="atLeast"/>
          <w:jc w:val="center"/>
        </w:trPr>
        <w:tc>
          <w:tcPr>
            <w:tcW w:w="1979" w:type="dxa"/>
            <w:gridSpan w:val="2"/>
            <w:vAlign w:val="center"/>
          </w:tcPr>
          <w:p>
            <w:pPr>
              <w:pStyle w:val="7"/>
              <w:jc w:val="center"/>
              <w:rPr>
                <w:rFonts w:ascii="Times New Roman" w:hAnsi="Times New Roman"/>
                <w:szCs w:val="18"/>
              </w:rPr>
            </w:pPr>
            <w:r>
              <w:rPr>
                <w:rFonts w:hint="eastAsia" w:ascii="Times New Roman" w:hAnsi="Times New Roman"/>
                <w:szCs w:val="18"/>
              </w:rPr>
              <w:t>______年</w:t>
            </w:r>
          </w:p>
        </w:tc>
        <w:tc>
          <w:tcPr>
            <w:tcW w:w="3658" w:type="dxa"/>
            <w:gridSpan w:val="5"/>
            <w:vAlign w:val="center"/>
          </w:tcPr>
          <w:p>
            <w:pPr>
              <w:pStyle w:val="7"/>
              <w:jc w:val="center"/>
              <w:rPr>
                <w:rFonts w:ascii="Times New Roman" w:hAnsi="Times New Roman"/>
                <w:szCs w:val="18"/>
              </w:rPr>
            </w:pPr>
          </w:p>
        </w:tc>
        <w:tc>
          <w:tcPr>
            <w:tcW w:w="3994" w:type="dxa"/>
            <w:gridSpan w:val="5"/>
            <w:vMerge w:val="continue"/>
            <w:vAlign w:val="center"/>
          </w:tcPr>
          <w:p>
            <w:pPr>
              <w:pStyle w:val="7"/>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22" w:hRule="atLeast"/>
          <w:jc w:val="center"/>
        </w:trPr>
        <w:tc>
          <w:tcPr>
            <w:tcW w:w="1979" w:type="dxa"/>
            <w:gridSpan w:val="2"/>
            <w:vAlign w:val="center"/>
          </w:tcPr>
          <w:p>
            <w:pPr>
              <w:pStyle w:val="7"/>
              <w:jc w:val="center"/>
              <w:rPr>
                <w:rFonts w:ascii="Times New Roman" w:hAnsi="Times New Roman"/>
                <w:szCs w:val="18"/>
              </w:rPr>
            </w:pPr>
            <w:r>
              <w:rPr>
                <w:rFonts w:hint="eastAsia" w:ascii="Times New Roman" w:hAnsi="Times New Roman"/>
                <w:szCs w:val="18"/>
              </w:rPr>
              <w:t>______年</w:t>
            </w:r>
          </w:p>
        </w:tc>
        <w:tc>
          <w:tcPr>
            <w:tcW w:w="3658" w:type="dxa"/>
            <w:gridSpan w:val="5"/>
            <w:vAlign w:val="center"/>
          </w:tcPr>
          <w:p>
            <w:pPr>
              <w:pStyle w:val="7"/>
              <w:jc w:val="center"/>
              <w:rPr>
                <w:rFonts w:ascii="Times New Roman" w:hAnsi="Times New Roman"/>
                <w:szCs w:val="18"/>
              </w:rPr>
            </w:pPr>
          </w:p>
        </w:tc>
        <w:tc>
          <w:tcPr>
            <w:tcW w:w="3994" w:type="dxa"/>
            <w:gridSpan w:val="5"/>
            <w:vMerge w:val="continue"/>
            <w:vAlign w:val="center"/>
          </w:tcPr>
          <w:p>
            <w:pPr>
              <w:pStyle w:val="7"/>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22" w:hRule="atLeast"/>
          <w:jc w:val="center"/>
        </w:trPr>
        <w:tc>
          <w:tcPr>
            <w:tcW w:w="1979" w:type="dxa"/>
            <w:gridSpan w:val="2"/>
            <w:vAlign w:val="center"/>
          </w:tcPr>
          <w:p>
            <w:pPr>
              <w:pStyle w:val="7"/>
              <w:jc w:val="center"/>
              <w:rPr>
                <w:rFonts w:ascii="Times New Roman" w:hAnsi="Times New Roman"/>
                <w:szCs w:val="18"/>
              </w:rPr>
            </w:pPr>
            <w:r>
              <w:rPr>
                <w:rFonts w:hint="eastAsia" w:ascii="Times New Roman" w:hAnsi="Times New Roman"/>
                <w:szCs w:val="18"/>
              </w:rPr>
              <w:t>______年</w:t>
            </w:r>
          </w:p>
        </w:tc>
        <w:tc>
          <w:tcPr>
            <w:tcW w:w="3658" w:type="dxa"/>
            <w:gridSpan w:val="5"/>
            <w:vAlign w:val="center"/>
          </w:tcPr>
          <w:p>
            <w:pPr>
              <w:pStyle w:val="7"/>
              <w:jc w:val="center"/>
              <w:rPr>
                <w:rFonts w:ascii="Times New Roman" w:hAnsi="Times New Roman"/>
                <w:szCs w:val="18"/>
              </w:rPr>
            </w:pPr>
          </w:p>
        </w:tc>
        <w:tc>
          <w:tcPr>
            <w:tcW w:w="3994" w:type="dxa"/>
            <w:gridSpan w:val="5"/>
            <w:vMerge w:val="continue"/>
            <w:vAlign w:val="center"/>
          </w:tcPr>
          <w:p>
            <w:pPr>
              <w:pStyle w:val="7"/>
              <w:jc w:val="center"/>
              <w:rPr>
                <w:rFonts w:ascii="Times New Roman" w:hAnsi="Times New Roman"/>
                <w:szCs w:val="18"/>
              </w:rPr>
            </w:pPr>
          </w:p>
        </w:tc>
      </w:tr>
    </w:tbl>
    <w:p>
      <w:pPr>
        <w:spacing w:line="520" w:lineRule="exact"/>
        <w:ind w:firstLine="120" w:firstLineChars="50"/>
        <w:rPr>
          <w:rFonts w:ascii="宋体" w:hAnsi="宋体"/>
          <w:sz w:val="24"/>
        </w:rPr>
      </w:pPr>
      <w:r>
        <w:rPr>
          <w:rFonts w:hint="eastAsia" w:ascii="宋体" w:hAnsi="宋体"/>
          <w:sz w:val="24"/>
        </w:rPr>
        <w:t>注：表格不能满足时可自行增加。</w:t>
      </w:r>
    </w:p>
    <w:p>
      <w:pPr>
        <w:spacing w:line="320" w:lineRule="exact"/>
        <w:ind w:left="420"/>
        <w:rPr>
          <w:rFonts w:ascii="宋体" w:hAnsi="宋体"/>
          <w:kern w:val="0"/>
          <w:sz w:val="24"/>
        </w:rPr>
      </w:pPr>
    </w:p>
    <w:p>
      <w:pPr>
        <w:spacing w:line="320" w:lineRule="exact"/>
        <w:ind w:left="420"/>
        <w:rPr>
          <w:rFonts w:ascii="宋体" w:hAnsi="宋体"/>
          <w:sz w:val="24"/>
          <w:u w:val="single"/>
        </w:rPr>
      </w:pPr>
      <w:r>
        <w:rPr>
          <w:rFonts w:hint="eastAsia" w:ascii="宋体" w:hAnsi="宋体"/>
          <w:kern w:val="0"/>
          <w:sz w:val="24"/>
        </w:rPr>
        <w:t>供应商</w:t>
      </w:r>
      <w:r>
        <w:rPr>
          <w:rFonts w:hint="eastAsia" w:ascii="宋体" w:hAnsi="宋体"/>
          <w:sz w:val="24"/>
        </w:rPr>
        <w:t>名称（盖章）：</w:t>
      </w:r>
    </w:p>
    <w:p>
      <w:pPr>
        <w:spacing w:line="320" w:lineRule="exact"/>
        <w:ind w:firstLine="435"/>
        <w:rPr>
          <w:rFonts w:ascii="宋体" w:hAnsi="宋体"/>
          <w:sz w:val="24"/>
        </w:rPr>
      </w:pPr>
      <w:r>
        <w:rPr>
          <w:rFonts w:hint="eastAsia" w:ascii="宋体" w:hAnsi="宋体"/>
          <w:kern w:val="0"/>
          <w:sz w:val="24"/>
        </w:rPr>
        <w:t>供应商</w:t>
      </w:r>
      <w:r>
        <w:rPr>
          <w:rFonts w:hint="eastAsia" w:ascii="宋体" w:hAnsi="宋体"/>
          <w:sz w:val="24"/>
        </w:rPr>
        <w:t>代表签字或盖章：</w:t>
      </w:r>
    </w:p>
    <w:p>
      <w:pPr>
        <w:spacing w:line="320" w:lineRule="exact"/>
        <w:ind w:firstLine="435"/>
        <w:rPr>
          <w:rFonts w:ascii="宋体" w:hAnsi="宋体"/>
          <w:sz w:val="24"/>
        </w:rPr>
      </w:pPr>
      <w:r>
        <w:rPr>
          <w:rFonts w:hint="eastAsia" w:ascii="宋体" w:hAnsi="宋体"/>
          <w:sz w:val="24"/>
        </w:rPr>
        <w:t>职        务：</w:t>
      </w:r>
    </w:p>
    <w:p>
      <w:pPr>
        <w:snapToGrid w:val="0"/>
        <w:spacing w:before="50"/>
        <w:ind w:firstLine="480" w:firstLineChars="200"/>
        <w:jc w:val="left"/>
        <w:rPr>
          <w:rFonts w:ascii="宋体" w:hAnsi="宋体"/>
          <w:b/>
          <w:sz w:val="36"/>
          <w:szCs w:val="36"/>
        </w:rPr>
      </w:pPr>
      <w:r>
        <w:rPr>
          <w:rFonts w:hint="eastAsia" w:ascii="宋体" w:hAnsi="宋体"/>
          <w:sz w:val="24"/>
        </w:rPr>
        <w:t>日        期：</w:t>
      </w:r>
    </w:p>
    <w:p>
      <w:pPr>
        <w:spacing w:line="320" w:lineRule="exact"/>
        <w:outlineLvl w:val="1"/>
        <w:rPr>
          <w:rFonts w:ascii="宋体" w:hAnsi="宋体"/>
          <w:b/>
          <w:sz w:val="28"/>
        </w:rPr>
      </w:pPr>
      <w:r>
        <w:rPr>
          <w:rFonts w:ascii="宋体" w:hAnsi="宋体"/>
          <w:b/>
          <w:sz w:val="28"/>
        </w:rPr>
        <w:br w:type="page"/>
      </w:r>
    </w:p>
    <w:p>
      <w:pPr>
        <w:spacing w:line="320" w:lineRule="exact"/>
        <w:outlineLvl w:val="1"/>
        <w:rPr>
          <w:rFonts w:ascii="宋体" w:hAnsi="宋体"/>
          <w:sz w:val="24"/>
        </w:rPr>
      </w:pPr>
      <w:bookmarkStart w:id="110" w:name="_Toc4687"/>
      <w:bookmarkStart w:id="111" w:name="_Toc462675241"/>
      <w:r>
        <w:rPr>
          <w:rFonts w:hint="eastAsia" w:ascii="宋体" w:hAnsi="宋体"/>
          <w:b/>
          <w:sz w:val="28"/>
        </w:rPr>
        <w:t>附件5</w:t>
      </w:r>
      <w:bookmarkEnd w:id="110"/>
      <w:bookmarkEnd w:id="111"/>
    </w:p>
    <w:p>
      <w:pPr>
        <w:jc w:val="center"/>
        <w:rPr>
          <w:rFonts w:ascii="宋体" w:hAnsi="宋体"/>
          <w:b/>
          <w:sz w:val="28"/>
          <w:u w:val="single"/>
        </w:rPr>
      </w:pPr>
      <w:r>
        <w:rPr>
          <w:rFonts w:hint="eastAsia" w:ascii="宋体" w:hAnsi="宋体"/>
          <w:b/>
          <w:sz w:val="28"/>
          <w:u w:val="single"/>
        </w:rPr>
        <w:t>三门县客运中心及三门湾科创广场周边区块交通规划研究采购项目</w:t>
      </w:r>
    </w:p>
    <w:p>
      <w:pPr>
        <w:jc w:val="center"/>
        <w:rPr>
          <w:b/>
          <w:bCs/>
          <w:sz w:val="28"/>
        </w:rPr>
      </w:pPr>
      <w:r>
        <w:rPr>
          <w:rFonts w:hint="eastAsia" w:ascii="宋体" w:hAnsi="宋体"/>
          <w:b/>
          <w:bCs/>
          <w:sz w:val="44"/>
        </w:rPr>
        <w:t>项目实施人员一览表</w:t>
      </w:r>
    </w:p>
    <w:tbl>
      <w:tblPr>
        <w:tblStyle w:val="15"/>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00"/>
        <w:gridCol w:w="778"/>
        <w:gridCol w:w="777"/>
        <w:gridCol w:w="777"/>
        <w:gridCol w:w="777"/>
        <w:gridCol w:w="726"/>
        <w:gridCol w:w="840"/>
        <w:gridCol w:w="1647"/>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000000"/>
                <w:sz w:val="24"/>
              </w:rPr>
            </w:pPr>
            <w:r>
              <w:rPr>
                <w:rFonts w:hint="eastAsia" w:hAnsi="宋体"/>
                <w:color w:val="000000"/>
                <w:sz w:val="24"/>
              </w:rPr>
              <w:t>序号</w:t>
            </w:r>
          </w:p>
        </w:tc>
        <w:tc>
          <w:tcPr>
            <w:tcW w:w="110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000000"/>
                <w:sz w:val="24"/>
              </w:rPr>
            </w:pPr>
            <w:r>
              <w:rPr>
                <w:rFonts w:hint="eastAsia" w:hAnsi="宋体"/>
                <w:color w:val="000000"/>
                <w:sz w:val="24"/>
              </w:rPr>
              <w:t>姓名</w:t>
            </w:r>
          </w:p>
        </w:tc>
        <w:tc>
          <w:tcPr>
            <w:tcW w:w="778"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000000"/>
                <w:sz w:val="24"/>
              </w:rPr>
            </w:pPr>
            <w:r>
              <w:rPr>
                <w:rFonts w:hint="eastAsia" w:hAnsi="宋体"/>
                <w:color w:val="000000"/>
                <w:sz w:val="24"/>
              </w:rPr>
              <w:t>性别</w:t>
            </w:r>
          </w:p>
        </w:tc>
        <w:tc>
          <w:tcPr>
            <w:tcW w:w="77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000000"/>
                <w:sz w:val="24"/>
              </w:rPr>
            </w:pPr>
            <w:r>
              <w:rPr>
                <w:rFonts w:hint="eastAsia" w:hAnsi="宋体"/>
                <w:color w:val="000000"/>
                <w:sz w:val="24"/>
              </w:rPr>
              <w:t>年龄</w:t>
            </w:r>
          </w:p>
        </w:tc>
        <w:tc>
          <w:tcPr>
            <w:tcW w:w="77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000000"/>
                <w:sz w:val="24"/>
              </w:rPr>
            </w:pPr>
            <w:r>
              <w:rPr>
                <w:rFonts w:hint="eastAsia" w:hAnsi="宋体"/>
                <w:color w:val="000000"/>
                <w:sz w:val="24"/>
              </w:rPr>
              <w:t>职务</w:t>
            </w:r>
          </w:p>
        </w:tc>
        <w:tc>
          <w:tcPr>
            <w:tcW w:w="777"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000000"/>
                <w:sz w:val="24"/>
              </w:rPr>
            </w:pPr>
            <w:r>
              <w:rPr>
                <w:rFonts w:hint="eastAsia" w:hAnsi="宋体"/>
                <w:color w:val="000000"/>
                <w:sz w:val="24"/>
              </w:rPr>
              <w:t>专业</w:t>
            </w:r>
          </w:p>
        </w:tc>
        <w:tc>
          <w:tcPr>
            <w:tcW w:w="726"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000000"/>
                <w:sz w:val="24"/>
              </w:rPr>
            </w:pPr>
            <w:r>
              <w:rPr>
                <w:rFonts w:hint="eastAsia" w:hAnsi="宋体"/>
                <w:color w:val="000000"/>
                <w:sz w:val="24"/>
              </w:rPr>
              <w:t>技术职称</w:t>
            </w:r>
          </w:p>
        </w:tc>
        <w:tc>
          <w:tcPr>
            <w:tcW w:w="840" w:type="dxa"/>
            <w:tcBorders>
              <w:top w:val="single" w:color="auto" w:sz="4" w:space="0"/>
              <w:left w:val="single" w:color="auto" w:sz="4" w:space="0"/>
              <w:bottom w:val="single" w:color="auto" w:sz="4" w:space="0"/>
              <w:right w:val="single" w:color="auto" w:sz="4" w:space="0"/>
            </w:tcBorders>
            <w:vAlign w:val="center"/>
          </w:tcPr>
          <w:p>
            <w:pPr>
              <w:pStyle w:val="7"/>
              <w:jc w:val="center"/>
              <w:rPr>
                <w:rFonts w:hAnsi="宋体"/>
                <w:color w:val="000000"/>
                <w:sz w:val="24"/>
              </w:rPr>
            </w:pPr>
            <w:r>
              <w:rPr>
                <w:rFonts w:hint="eastAsia" w:hAnsi="宋体"/>
                <w:color w:val="000000"/>
                <w:sz w:val="24"/>
              </w:rPr>
              <w:t>工作年限</w:t>
            </w:r>
          </w:p>
        </w:tc>
        <w:tc>
          <w:tcPr>
            <w:tcW w:w="164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7"/>
              <w:jc w:val="center"/>
              <w:rPr>
                <w:rFonts w:hAnsi="宋体"/>
                <w:color w:val="000000"/>
                <w:sz w:val="24"/>
              </w:rPr>
            </w:pPr>
            <w:r>
              <w:rPr>
                <w:rFonts w:hint="eastAsia" w:hAnsi="宋体"/>
                <w:color w:val="000000"/>
                <w:sz w:val="24"/>
              </w:rPr>
              <w:t>主要经历及承担过的项目</w:t>
            </w:r>
          </w:p>
        </w:tc>
        <w:tc>
          <w:tcPr>
            <w:tcW w:w="157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7"/>
              <w:jc w:val="center"/>
              <w:rPr>
                <w:rFonts w:hAnsi="宋体"/>
                <w:color w:val="000000"/>
                <w:spacing w:val="-12"/>
                <w:sz w:val="24"/>
              </w:rPr>
            </w:pPr>
            <w:r>
              <w:rPr>
                <w:rFonts w:hint="eastAsia" w:hAnsi="宋体"/>
                <w:color w:val="000000"/>
                <w:spacing w:val="-12"/>
                <w:sz w:val="24"/>
              </w:rPr>
              <w:t>拟担任本项目的具体工作及职务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3" w:type="dxa"/>
            <w:gridSpan w:val="10"/>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r>
              <w:rPr>
                <w:rFonts w:hint="eastAsia" w:hAnsi="宋体"/>
                <w:color w:val="000000"/>
                <w:sz w:val="24"/>
              </w:rPr>
              <w:t>一、拟派往本项目的项目负责人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2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3" w:type="dxa"/>
            <w:gridSpan w:val="10"/>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r>
              <w:rPr>
                <w:rFonts w:hint="eastAsia" w:hAnsi="宋体"/>
                <w:color w:val="000000"/>
                <w:sz w:val="24"/>
              </w:rPr>
              <w:t>二、拟投入本项目的人员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2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2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2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2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2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2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2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5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8"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726"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7"/>
              <w:spacing w:line="420" w:lineRule="exact"/>
              <w:rPr>
                <w:rFonts w:hAnsi="宋体"/>
                <w:color w:val="000000"/>
                <w:sz w:val="24"/>
              </w:rPr>
            </w:pPr>
          </w:p>
        </w:tc>
      </w:tr>
    </w:tbl>
    <w:p>
      <w:pPr>
        <w:rPr>
          <w:b/>
          <w:bCs/>
        </w:rPr>
      </w:pPr>
    </w:p>
    <w:p>
      <w:pPr>
        <w:rPr>
          <w:rFonts w:ascii="宋体" w:hAnsi="宋体"/>
          <w:sz w:val="28"/>
        </w:rPr>
      </w:pPr>
      <w:r>
        <w:rPr>
          <w:rFonts w:hint="eastAsia" w:ascii="宋体" w:hAnsi="宋体"/>
          <w:sz w:val="24"/>
        </w:rPr>
        <w:t>注：表中所列的项目负责人必须配备，其余人员的配备由供应商根据本项目特点自行确定。</w:t>
      </w:r>
    </w:p>
    <w:p>
      <w:pPr>
        <w:spacing w:line="320" w:lineRule="exact"/>
        <w:ind w:left="420"/>
        <w:rPr>
          <w:rFonts w:ascii="宋体" w:hAnsi="宋体"/>
          <w:sz w:val="24"/>
          <w:szCs w:val="20"/>
        </w:rPr>
      </w:pPr>
    </w:p>
    <w:p>
      <w:pPr>
        <w:spacing w:line="320" w:lineRule="exact"/>
        <w:ind w:left="420"/>
        <w:rPr>
          <w:rFonts w:ascii="宋体" w:hAnsi="宋体"/>
          <w:sz w:val="24"/>
          <w:u w:val="single"/>
        </w:rPr>
      </w:pPr>
      <w:r>
        <w:rPr>
          <w:rFonts w:hint="eastAsia" w:ascii="宋体" w:hAnsi="宋体"/>
          <w:kern w:val="0"/>
          <w:sz w:val="24"/>
        </w:rPr>
        <w:t>供应商</w:t>
      </w:r>
      <w:r>
        <w:rPr>
          <w:rFonts w:hint="eastAsia" w:ascii="宋体" w:hAnsi="宋体"/>
          <w:sz w:val="24"/>
        </w:rPr>
        <w:t>名称（盖章）：</w:t>
      </w:r>
    </w:p>
    <w:p>
      <w:pPr>
        <w:spacing w:line="320" w:lineRule="exact"/>
        <w:ind w:left="420"/>
        <w:rPr>
          <w:rFonts w:ascii="宋体" w:hAnsi="宋体"/>
          <w:sz w:val="24"/>
        </w:rPr>
      </w:pPr>
    </w:p>
    <w:p>
      <w:pPr>
        <w:spacing w:line="320" w:lineRule="exact"/>
        <w:ind w:firstLine="435"/>
        <w:rPr>
          <w:rFonts w:ascii="宋体" w:hAnsi="宋体"/>
          <w:sz w:val="24"/>
        </w:rPr>
      </w:pPr>
      <w:r>
        <w:rPr>
          <w:rFonts w:hint="eastAsia" w:ascii="宋体" w:hAnsi="宋体"/>
          <w:kern w:val="0"/>
          <w:sz w:val="24"/>
        </w:rPr>
        <w:t>供应商</w:t>
      </w:r>
      <w:r>
        <w:rPr>
          <w:rFonts w:hint="eastAsia" w:ascii="宋体" w:hAnsi="宋体"/>
          <w:sz w:val="24"/>
        </w:rPr>
        <w:t>代表签字或盖章：</w:t>
      </w:r>
    </w:p>
    <w:p>
      <w:pPr>
        <w:spacing w:line="320" w:lineRule="exact"/>
        <w:ind w:firstLine="435"/>
        <w:rPr>
          <w:rFonts w:ascii="宋体" w:hAnsi="宋体"/>
          <w:sz w:val="24"/>
        </w:rPr>
      </w:pPr>
    </w:p>
    <w:p>
      <w:pPr>
        <w:spacing w:line="320" w:lineRule="exact"/>
        <w:ind w:firstLine="435"/>
        <w:rPr>
          <w:rFonts w:ascii="宋体" w:hAnsi="宋体"/>
          <w:sz w:val="24"/>
        </w:rPr>
      </w:pPr>
      <w:r>
        <w:rPr>
          <w:rFonts w:hint="eastAsia" w:ascii="宋体" w:hAnsi="宋体"/>
          <w:sz w:val="24"/>
        </w:rPr>
        <w:t>职        务：</w:t>
      </w:r>
    </w:p>
    <w:p>
      <w:pPr>
        <w:spacing w:line="320" w:lineRule="exact"/>
        <w:ind w:firstLine="435"/>
        <w:rPr>
          <w:rFonts w:ascii="宋体" w:hAnsi="宋体"/>
          <w:sz w:val="24"/>
        </w:rPr>
      </w:pPr>
    </w:p>
    <w:p>
      <w:pPr>
        <w:spacing w:line="320" w:lineRule="exact"/>
        <w:ind w:firstLine="435"/>
        <w:rPr>
          <w:rFonts w:ascii="宋体" w:hAnsi="宋体"/>
          <w:sz w:val="24"/>
        </w:rPr>
      </w:pPr>
      <w:r>
        <w:rPr>
          <w:rFonts w:hint="eastAsia" w:ascii="宋体" w:hAnsi="宋体"/>
          <w:sz w:val="24"/>
        </w:rPr>
        <w:t>日        期：</w:t>
      </w:r>
    </w:p>
    <w:p>
      <w:pPr>
        <w:spacing w:line="360" w:lineRule="auto"/>
        <w:ind w:left="437"/>
        <w:rPr>
          <w:rFonts w:ascii="宋体" w:hAnsi="宋体"/>
          <w:sz w:val="24"/>
        </w:rPr>
      </w:pPr>
    </w:p>
    <w:p>
      <w:pPr>
        <w:spacing w:line="360" w:lineRule="auto"/>
        <w:ind w:left="437"/>
        <w:rPr>
          <w:rFonts w:ascii="宋体" w:hAnsi="宋体"/>
          <w:szCs w:val="21"/>
        </w:rPr>
      </w:pPr>
      <w:r>
        <w:rPr>
          <w:rFonts w:hint="eastAsia" w:ascii="宋体" w:hAnsi="宋体"/>
          <w:b/>
          <w:szCs w:val="21"/>
        </w:rPr>
        <w:t>说明：</w:t>
      </w:r>
      <w:r>
        <w:rPr>
          <w:rFonts w:hint="eastAsia" w:ascii="宋体" w:hAnsi="宋体"/>
          <w:szCs w:val="21"/>
        </w:rPr>
        <w:t>在填写时，如本表格不适合</w:t>
      </w:r>
      <w:r>
        <w:rPr>
          <w:rFonts w:hint="eastAsia" w:ascii="宋体" w:hAnsi="宋体"/>
          <w:kern w:val="0"/>
          <w:szCs w:val="21"/>
        </w:rPr>
        <w:t>谈判供应商</w:t>
      </w:r>
      <w:r>
        <w:rPr>
          <w:rFonts w:hint="eastAsia" w:ascii="宋体" w:hAnsi="宋体"/>
          <w:szCs w:val="21"/>
        </w:rPr>
        <w:t>的实际情况，可根据本表格式自行划表填写。</w:t>
      </w:r>
    </w:p>
    <w:p>
      <w:pPr>
        <w:spacing w:line="360" w:lineRule="auto"/>
        <w:rPr>
          <w:rFonts w:ascii="宋体" w:hAnsi="宋体"/>
          <w:sz w:val="24"/>
        </w:rPr>
      </w:pPr>
    </w:p>
    <w:p>
      <w:pPr>
        <w:spacing w:line="360" w:lineRule="auto"/>
        <w:rPr>
          <w:rFonts w:ascii="宋体" w:hAnsi="宋体"/>
          <w:sz w:val="24"/>
        </w:rPr>
      </w:pPr>
      <w:r>
        <w:rPr>
          <w:rFonts w:ascii="宋体" w:hAnsi="宋体"/>
          <w:sz w:val="24"/>
        </w:rPr>
        <w:br w:type="page"/>
      </w:r>
    </w:p>
    <w:p>
      <w:pPr>
        <w:spacing w:line="320" w:lineRule="exact"/>
        <w:outlineLvl w:val="1"/>
        <w:rPr>
          <w:rFonts w:ascii="宋体" w:hAnsi="宋体"/>
          <w:b/>
          <w:sz w:val="28"/>
        </w:rPr>
      </w:pPr>
      <w:bookmarkStart w:id="112" w:name="_Toc462675242"/>
      <w:bookmarkStart w:id="113" w:name="_Toc22230"/>
      <w:r>
        <w:rPr>
          <w:rFonts w:hint="eastAsia" w:ascii="宋体" w:hAnsi="宋体"/>
          <w:b/>
          <w:sz w:val="28"/>
        </w:rPr>
        <w:t>附件6</w:t>
      </w:r>
      <w:bookmarkEnd w:id="112"/>
      <w:bookmarkEnd w:id="113"/>
    </w:p>
    <w:p>
      <w:pPr>
        <w:spacing w:line="360" w:lineRule="atLeast"/>
        <w:jc w:val="center"/>
        <w:rPr>
          <w:rFonts w:ascii="宋体" w:hAnsi="宋体"/>
          <w:b/>
          <w:sz w:val="36"/>
          <w:szCs w:val="36"/>
          <w:u w:val="single"/>
        </w:rPr>
      </w:pPr>
      <w:r>
        <w:rPr>
          <w:rFonts w:hint="eastAsia" w:ascii="宋体" w:hAnsi="宋体"/>
          <w:b/>
          <w:sz w:val="28"/>
          <w:u w:val="single"/>
        </w:rPr>
        <w:t>三门县客运中心及三门湾科创广场周边区块交通规划研究采购项目</w:t>
      </w:r>
    </w:p>
    <w:p>
      <w:pPr>
        <w:spacing w:line="360" w:lineRule="atLeast"/>
        <w:jc w:val="center"/>
        <w:rPr>
          <w:rFonts w:ascii="宋体" w:hAnsi="宋体"/>
          <w:b/>
          <w:sz w:val="36"/>
          <w:szCs w:val="36"/>
        </w:rPr>
      </w:pPr>
      <w:r>
        <w:rPr>
          <w:rFonts w:hint="eastAsia" w:ascii="宋体" w:hAnsi="宋体"/>
          <w:b/>
          <w:sz w:val="36"/>
          <w:szCs w:val="36"/>
        </w:rPr>
        <w:t>技术需求响应表</w:t>
      </w:r>
    </w:p>
    <w:tbl>
      <w:tblPr>
        <w:tblStyle w:val="15"/>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785"/>
        <w:gridCol w:w="1785"/>
        <w:gridCol w:w="1365"/>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jc w:val="center"/>
        </w:trPr>
        <w:tc>
          <w:tcPr>
            <w:tcW w:w="877" w:type="dxa"/>
            <w:vAlign w:val="center"/>
          </w:tcPr>
          <w:p>
            <w:pPr>
              <w:spacing w:line="360" w:lineRule="auto"/>
              <w:rPr>
                <w:rFonts w:ascii="宋体" w:hAnsi="宋体"/>
                <w:b/>
                <w:sz w:val="24"/>
              </w:rPr>
            </w:pPr>
            <w:r>
              <w:rPr>
                <w:rFonts w:hint="eastAsia" w:ascii="宋体" w:hAnsi="宋体"/>
                <w:b/>
                <w:sz w:val="24"/>
              </w:rPr>
              <w:t>序号</w:t>
            </w:r>
          </w:p>
        </w:tc>
        <w:tc>
          <w:tcPr>
            <w:tcW w:w="1785" w:type="dxa"/>
            <w:vAlign w:val="center"/>
          </w:tcPr>
          <w:p>
            <w:pPr>
              <w:spacing w:line="360" w:lineRule="auto"/>
              <w:rPr>
                <w:rFonts w:ascii="宋体" w:hAnsi="宋体"/>
                <w:b/>
                <w:sz w:val="24"/>
              </w:rPr>
            </w:pPr>
            <w:r>
              <w:rPr>
                <w:rFonts w:hint="eastAsia" w:ascii="宋体" w:hAnsi="宋体"/>
                <w:b/>
                <w:sz w:val="24"/>
              </w:rPr>
              <w:t xml:space="preserve">   内容</w:t>
            </w:r>
          </w:p>
        </w:tc>
        <w:tc>
          <w:tcPr>
            <w:tcW w:w="1785" w:type="dxa"/>
            <w:vAlign w:val="center"/>
          </w:tcPr>
          <w:p>
            <w:pPr>
              <w:spacing w:line="360" w:lineRule="auto"/>
              <w:ind w:left="53" w:leftChars="25" w:firstLine="241" w:firstLineChars="100"/>
              <w:rPr>
                <w:rFonts w:ascii="宋体" w:hAnsi="宋体"/>
                <w:b/>
                <w:sz w:val="24"/>
              </w:rPr>
            </w:pPr>
            <w:r>
              <w:rPr>
                <w:rFonts w:hint="eastAsia" w:ascii="宋体" w:hAnsi="宋体"/>
                <w:b/>
                <w:sz w:val="24"/>
              </w:rPr>
              <w:t>谈判需求</w:t>
            </w:r>
          </w:p>
        </w:tc>
        <w:tc>
          <w:tcPr>
            <w:tcW w:w="1365" w:type="dxa"/>
            <w:vAlign w:val="center"/>
          </w:tcPr>
          <w:p>
            <w:pPr>
              <w:spacing w:line="360" w:lineRule="auto"/>
              <w:ind w:left="152"/>
              <w:rPr>
                <w:rFonts w:ascii="宋体" w:hAnsi="宋体"/>
                <w:b/>
                <w:sz w:val="24"/>
              </w:rPr>
            </w:pPr>
            <w:r>
              <w:rPr>
                <w:rFonts w:hint="eastAsia" w:ascii="宋体" w:hAnsi="宋体"/>
                <w:b/>
                <w:sz w:val="24"/>
              </w:rPr>
              <w:t>是否响应</w:t>
            </w:r>
          </w:p>
        </w:tc>
        <w:tc>
          <w:tcPr>
            <w:tcW w:w="3428" w:type="dxa"/>
            <w:vAlign w:val="center"/>
          </w:tcPr>
          <w:p>
            <w:pPr>
              <w:spacing w:line="360" w:lineRule="auto"/>
              <w:jc w:val="center"/>
              <w:rPr>
                <w:rFonts w:ascii="宋体" w:hAnsi="宋体"/>
                <w:b/>
                <w:sz w:val="24"/>
              </w:rPr>
            </w:pPr>
            <w:r>
              <w:rPr>
                <w:rFonts w:hint="eastAsia" w:ascii="宋体" w:hAnsi="宋体"/>
                <w:b/>
                <w:kern w:val="0"/>
                <w:sz w:val="24"/>
              </w:rPr>
              <w:t>谈判供应商</w:t>
            </w:r>
            <w:r>
              <w:rPr>
                <w:rFonts w:hint="eastAsia" w:ascii="宋体" w:hAnsi="宋体"/>
                <w:b/>
                <w:sz w:val="24"/>
              </w:rPr>
              <w:t>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877" w:type="dxa"/>
            <w:vAlign w:val="center"/>
          </w:tcPr>
          <w:p>
            <w:pPr>
              <w:snapToGrid w:val="0"/>
              <w:spacing w:beforeLines="50" w:line="360" w:lineRule="auto"/>
              <w:ind w:firstLine="120" w:firstLineChars="50"/>
              <w:jc w:val="center"/>
              <w:rPr>
                <w:rFonts w:ascii="宋体" w:hAnsi="宋体"/>
                <w:sz w:val="24"/>
                <w:szCs w:val="20"/>
              </w:rPr>
            </w:pPr>
            <w:r>
              <w:rPr>
                <w:rFonts w:hint="eastAsia" w:ascii="宋体" w:hAnsi="宋体"/>
                <w:sz w:val="24"/>
                <w:szCs w:val="20"/>
              </w:rPr>
              <w:t>1</w:t>
            </w:r>
          </w:p>
        </w:tc>
        <w:tc>
          <w:tcPr>
            <w:tcW w:w="1785" w:type="dxa"/>
          </w:tcPr>
          <w:p>
            <w:pPr>
              <w:snapToGrid w:val="0"/>
              <w:spacing w:beforeLines="50" w:line="360" w:lineRule="auto"/>
              <w:rPr>
                <w:rFonts w:ascii="宋体" w:hAnsi="宋体"/>
                <w:sz w:val="24"/>
                <w:szCs w:val="20"/>
              </w:rPr>
            </w:pPr>
            <w:r>
              <w:rPr>
                <w:rFonts w:hint="eastAsia" w:ascii="宋体" w:hAnsi="宋体"/>
                <w:sz w:val="24"/>
                <w:szCs w:val="20"/>
              </w:rPr>
              <w:t>服务期</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342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877" w:type="dxa"/>
            <w:vAlign w:val="center"/>
          </w:tcPr>
          <w:p>
            <w:pPr>
              <w:snapToGrid w:val="0"/>
              <w:spacing w:beforeLines="50" w:line="360" w:lineRule="auto"/>
              <w:ind w:firstLine="120" w:firstLineChars="50"/>
              <w:jc w:val="center"/>
              <w:rPr>
                <w:rFonts w:ascii="宋体" w:hAnsi="宋体"/>
                <w:sz w:val="24"/>
                <w:szCs w:val="20"/>
              </w:rPr>
            </w:pPr>
            <w:r>
              <w:rPr>
                <w:rFonts w:hint="eastAsia" w:ascii="宋体" w:hAnsi="宋体"/>
                <w:sz w:val="24"/>
                <w:szCs w:val="20"/>
              </w:rPr>
              <w:t>2</w:t>
            </w:r>
          </w:p>
        </w:tc>
        <w:tc>
          <w:tcPr>
            <w:tcW w:w="1785" w:type="dxa"/>
          </w:tcPr>
          <w:p>
            <w:pPr>
              <w:snapToGrid w:val="0"/>
              <w:spacing w:beforeLines="50" w:line="360" w:lineRule="auto"/>
              <w:rPr>
                <w:rFonts w:ascii="宋体" w:hAnsi="宋体"/>
                <w:sz w:val="24"/>
                <w:szCs w:val="20"/>
              </w:rPr>
            </w:pPr>
            <w:r>
              <w:rPr>
                <w:rFonts w:hint="eastAsia" w:ascii="宋体" w:hAnsi="宋体"/>
                <w:sz w:val="24"/>
                <w:szCs w:val="20"/>
              </w:rPr>
              <w:t>服务地点</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342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877" w:type="dxa"/>
            <w:vAlign w:val="center"/>
          </w:tcPr>
          <w:p>
            <w:pPr>
              <w:spacing w:line="360" w:lineRule="auto"/>
              <w:jc w:val="center"/>
              <w:rPr>
                <w:rFonts w:ascii="宋体" w:hAnsi="宋体"/>
                <w:sz w:val="24"/>
                <w:szCs w:val="20"/>
              </w:rPr>
            </w:pPr>
            <w:r>
              <w:rPr>
                <w:rFonts w:hint="eastAsia" w:ascii="宋体" w:hAnsi="宋体"/>
                <w:sz w:val="24"/>
                <w:szCs w:val="20"/>
              </w:rPr>
              <w:t>3</w:t>
            </w:r>
          </w:p>
        </w:tc>
        <w:tc>
          <w:tcPr>
            <w:tcW w:w="1785" w:type="dxa"/>
          </w:tcPr>
          <w:p>
            <w:pPr>
              <w:snapToGrid w:val="0"/>
              <w:spacing w:beforeLines="50" w:line="360" w:lineRule="auto"/>
              <w:rPr>
                <w:rFonts w:ascii="宋体" w:hAnsi="宋体"/>
                <w:sz w:val="24"/>
                <w:szCs w:val="20"/>
              </w:rPr>
            </w:pPr>
            <w:r>
              <w:rPr>
                <w:rFonts w:hint="eastAsia" w:ascii="宋体" w:hAnsi="宋体"/>
                <w:sz w:val="24"/>
                <w:szCs w:val="20"/>
              </w:rPr>
              <w:t>付款条件</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342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877" w:type="dxa"/>
            <w:vAlign w:val="center"/>
          </w:tcPr>
          <w:p>
            <w:pPr>
              <w:spacing w:line="360" w:lineRule="auto"/>
              <w:jc w:val="center"/>
              <w:rPr>
                <w:rFonts w:ascii="宋体" w:hAnsi="宋体"/>
                <w:sz w:val="24"/>
                <w:szCs w:val="20"/>
              </w:rPr>
            </w:pPr>
            <w:r>
              <w:rPr>
                <w:rFonts w:hint="eastAsia" w:ascii="宋体" w:hAnsi="宋体"/>
                <w:sz w:val="24"/>
                <w:szCs w:val="20"/>
              </w:rPr>
              <w:t>4</w:t>
            </w:r>
          </w:p>
        </w:tc>
        <w:tc>
          <w:tcPr>
            <w:tcW w:w="1785" w:type="dxa"/>
          </w:tcPr>
          <w:p>
            <w:pPr>
              <w:snapToGrid w:val="0"/>
              <w:spacing w:beforeLines="50" w:line="360" w:lineRule="auto"/>
              <w:rPr>
                <w:rFonts w:ascii="宋体" w:hAnsi="宋体"/>
                <w:sz w:val="24"/>
                <w:szCs w:val="20"/>
              </w:rPr>
            </w:pPr>
            <w:r>
              <w:rPr>
                <w:rFonts w:hint="eastAsia" w:ascii="宋体" w:hAnsi="宋体"/>
                <w:sz w:val="24"/>
                <w:szCs w:val="20"/>
              </w:rPr>
              <w:t>质量目标</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342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877" w:type="dxa"/>
            <w:vAlign w:val="center"/>
          </w:tcPr>
          <w:p>
            <w:pPr>
              <w:spacing w:line="360" w:lineRule="auto"/>
              <w:jc w:val="center"/>
              <w:rPr>
                <w:rFonts w:ascii="宋体" w:hAnsi="宋体"/>
                <w:sz w:val="24"/>
                <w:szCs w:val="20"/>
              </w:rPr>
            </w:pPr>
          </w:p>
        </w:tc>
        <w:tc>
          <w:tcPr>
            <w:tcW w:w="1785" w:type="dxa"/>
          </w:tcPr>
          <w:p>
            <w:pPr>
              <w:snapToGrid w:val="0"/>
              <w:spacing w:beforeLines="50" w:line="360" w:lineRule="auto"/>
              <w:rPr>
                <w:rFonts w:ascii="宋体" w:hAnsi="宋体"/>
                <w:sz w:val="24"/>
                <w:szCs w:val="20"/>
              </w:rPr>
            </w:pPr>
            <w:r>
              <w:rPr>
                <w:rFonts w:hint="eastAsia" w:ascii="宋体" w:hAnsi="宋体"/>
                <w:sz w:val="24"/>
                <w:szCs w:val="20"/>
              </w:rPr>
              <w:t>……</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342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877" w:type="dxa"/>
            <w:vAlign w:val="center"/>
          </w:tcPr>
          <w:p>
            <w:pPr>
              <w:spacing w:line="360" w:lineRule="auto"/>
              <w:rPr>
                <w:rFonts w:ascii="宋体" w:hAnsi="宋体"/>
                <w:sz w:val="24"/>
              </w:rPr>
            </w:pPr>
          </w:p>
        </w:tc>
        <w:tc>
          <w:tcPr>
            <w:tcW w:w="1785" w:type="dxa"/>
          </w:tcPr>
          <w:p>
            <w:pPr>
              <w:snapToGrid w:val="0"/>
              <w:spacing w:beforeLines="50" w:line="360" w:lineRule="auto"/>
              <w:rPr>
                <w:rFonts w:ascii="宋体" w:hAnsi="宋体"/>
                <w:sz w:val="24"/>
                <w:szCs w:val="20"/>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342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877"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342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877"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342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877"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3428" w:type="dxa"/>
            <w:vAlign w:val="center"/>
          </w:tcPr>
          <w:p>
            <w:pPr>
              <w:spacing w:line="360" w:lineRule="auto"/>
              <w:rPr>
                <w:rFonts w:ascii="宋体" w:hAnsi="宋体"/>
                <w:sz w:val="24"/>
              </w:rPr>
            </w:pPr>
          </w:p>
        </w:tc>
      </w:tr>
    </w:tbl>
    <w:p>
      <w:pPr>
        <w:spacing w:line="320" w:lineRule="exact"/>
        <w:ind w:left="420"/>
        <w:rPr>
          <w:rFonts w:ascii="宋体" w:hAnsi="宋体"/>
          <w:sz w:val="24"/>
        </w:rPr>
      </w:pPr>
    </w:p>
    <w:p>
      <w:pPr>
        <w:spacing w:line="320" w:lineRule="exact"/>
        <w:ind w:left="420"/>
        <w:rPr>
          <w:rFonts w:ascii="宋体" w:hAnsi="宋体"/>
          <w:sz w:val="24"/>
        </w:rPr>
      </w:pPr>
    </w:p>
    <w:p>
      <w:pPr>
        <w:spacing w:line="320" w:lineRule="exact"/>
        <w:ind w:left="420"/>
        <w:rPr>
          <w:rFonts w:ascii="宋体" w:hAnsi="宋体"/>
          <w:sz w:val="24"/>
          <w:u w:val="single"/>
        </w:rPr>
      </w:pPr>
      <w:r>
        <w:rPr>
          <w:rFonts w:hint="eastAsia" w:ascii="宋体" w:hAnsi="宋体"/>
          <w:kern w:val="0"/>
          <w:sz w:val="24"/>
        </w:rPr>
        <w:t>供应商</w:t>
      </w:r>
      <w:r>
        <w:rPr>
          <w:rFonts w:hint="eastAsia" w:ascii="宋体" w:hAnsi="宋体"/>
          <w:sz w:val="24"/>
        </w:rPr>
        <w:t>名称（盖章）：</w:t>
      </w:r>
    </w:p>
    <w:p>
      <w:pPr>
        <w:spacing w:line="320" w:lineRule="exact"/>
        <w:ind w:left="420"/>
        <w:rPr>
          <w:rFonts w:ascii="宋体" w:hAnsi="宋体"/>
          <w:sz w:val="24"/>
        </w:rPr>
      </w:pPr>
    </w:p>
    <w:p>
      <w:pPr>
        <w:spacing w:line="384" w:lineRule="auto"/>
        <w:ind w:firstLine="435"/>
        <w:rPr>
          <w:rFonts w:ascii="宋体" w:hAnsi="宋体"/>
          <w:szCs w:val="21"/>
        </w:rPr>
      </w:pPr>
      <w:r>
        <w:rPr>
          <w:rFonts w:hint="eastAsia" w:ascii="宋体" w:hAnsi="宋体"/>
          <w:kern w:val="0"/>
          <w:sz w:val="24"/>
        </w:rPr>
        <w:t>供应商代表签字或盖章</w:t>
      </w:r>
      <w:r>
        <w:rPr>
          <w:rFonts w:hint="eastAsia" w:ascii="宋体" w:hAnsi="宋体"/>
          <w:szCs w:val="21"/>
        </w:rPr>
        <w:t>：</w:t>
      </w:r>
    </w:p>
    <w:p>
      <w:pPr>
        <w:spacing w:line="320" w:lineRule="exact"/>
        <w:ind w:firstLine="435"/>
        <w:rPr>
          <w:rFonts w:ascii="宋体" w:hAnsi="宋体"/>
          <w:sz w:val="24"/>
        </w:rPr>
      </w:pPr>
    </w:p>
    <w:p>
      <w:pPr>
        <w:spacing w:line="320" w:lineRule="exact"/>
        <w:ind w:firstLine="435"/>
        <w:rPr>
          <w:rFonts w:ascii="宋体" w:hAnsi="宋体"/>
          <w:sz w:val="24"/>
        </w:rPr>
      </w:pPr>
      <w:r>
        <w:rPr>
          <w:rFonts w:hint="eastAsia" w:ascii="宋体" w:hAnsi="宋体"/>
          <w:sz w:val="24"/>
        </w:rPr>
        <w:t>职        务：</w:t>
      </w:r>
    </w:p>
    <w:p>
      <w:pPr>
        <w:spacing w:line="320" w:lineRule="exact"/>
        <w:ind w:firstLine="435"/>
        <w:rPr>
          <w:rFonts w:ascii="宋体" w:hAnsi="宋体"/>
          <w:sz w:val="24"/>
        </w:rPr>
      </w:pPr>
    </w:p>
    <w:p>
      <w:pPr>
        <w:spacing w:line="320" w:lineRule="exact"/>
        <w:ind w:firstLine="435"/>
        <w:rPr>
          <w:rFonts w:ascii="宋体" w:hAnsi="宋体"/>
          <w:sz w:val="24"/>
        </w:rPr>
      </w:pPr>
      <w:r>
        <w:rPr>
          <w:rFonts w:hint="eastAsia" w:ascii="宋体" w:hAnsi="宋体"/>
          <w:sz w:val="24"/>
        </w:rPr>
        <w:t>日        期：</w:t>
      </w:r>
    </w:p>
    <w:p>
      <w:pPr>
        <w:spacing w:line="360" w:lineRule="atLeast"/>
        <w:ind w:left="480"/>
        <w:rPr>
          <w:rFonts w:ascii="宋体" w:hAnsi="宋体"/>
          <w:b/>
          <w:sz w:val="36"/>
          <w:szCs w:val="36"/>
        </w:rPr>
      </w:pPr>
    </w:p>
    <w:p>
      <w:pPr>
        <w:spacing w:line="360" w:lineRule="atLeast"/>
        <w:ind w:left="480"/>
        <w:rPr>
          <w:rFonts w:ascii="宋体" w:hAnsi="宋体"/>
          <w:b/>
          <w:sz w:val="36"/>
          <w:szCs w:val="36"/>
        </w:rPr>
      </w:pPr>
    </w:p>
    <w:p>
      <w:pPr>
        <w:pStyle w:val="6"/>
        <w:spacing w:line="360" w:lineRule="auto"/>
        <w:rPr>
          <w:rFonts w:ascii="宋体"/>
          <w:sz w:val="21"/>
          <w:szCs w:val="21"/>
        </w:rPr>
      </w:pPr>
      <w:r>
        <w:rPr>
          <w:rFonts w:hint="eastAsia" w:ascii="宋体"/>
          <w:b/>
          <w:sz w:val="21"/>
          <w:szCs w:val="21"/>
        </w:rPr>
        <w:t>说明：</w:t>
      </w:r>
      <w:r>
        <w:rPr>
          <w:rFonts w:hint="eastAsia" w:ascii="宋体"/>
          <w:sz w:val="21"/>
          <w:szCs w:val="21"/>
        </w:rPr>
        <w:t>本表参照本谈判文件第二章“谈判需求”内第三条“技术需求”填制，</w:t>
      </w:r>
      <w:r>
        <w:rPr>
          <w:rFonts w:hint="eastAsia" w:ascii="宋体" w:hAnsi="宋体"/>
          <w:kern w:val="0"/>
          <w:sz w:val="21"/>
          <w:szCs w:val="21"/>
        </w:rPr>
        <w:t>谈判供应商</w:t>
      </w:r>
      <w:r>
        <w:rPr>
          <w:rFonts w:hint="eastAsia" w:ascii="宋体"/>
          <w:sz w:val="21"/>
          <w:szCs w:val="21"/>
        </w:rPr>
        <w:t>应在此表上对每项作出</w:t>
      </w:r>
      <w:r>
        <w:rPr>
          <w:rFonts w:hint="eastAsia" w:ascii="宋体" w:hAnsi="宋体"/>
          <w:sz w:val="21"/>
          <w:szCs w:val="21"/>
        </w:rPr>
        <w:t>承诺或说明</w:t>
      </w:r>
      <w:r>
        <w:rPr>
          <w:rFonts w:hint="eastAsia" w:ascii="宋体"/>
          <w:sz w:val="21"/>
          <w:szCs w:val="21"/>
        </w:rPr>
        <w:t>。</w:t>
      </w:r>
    </w:p>
    <w:p>
      <w:pPr>
        <w:rPr>
          <w:rFonts w:ascii="宋体"/>
          <w:b/>
          <w:color w:val="000000"/>
          <w:sz w:val="24"/>
          <w:lang w:val="zh-CN"/>
        </w:rPr>
      </w:pPr>
      <w:r>
        <w:rPr>
          <w:rFonts w:ascii="宋体"/>
          <w:szCs w:val="21"/>
        </w:rPr>
        <w:br w:type="page"/>
      </w:r>
      <w:r>
        <w:rPr>
          <w:rFonts w:hint="eastAsia" w:ascii="宋体" w:hAnsi="宋体"/>
          <w:b/>
          <w:sz w:val="28"/>
        </w:rPr>
        <w:t>附件7</w:t>
      </w:r>
      <w:r>
        <w:rPr>
          <w:rFonts w:hint="eastAsia" w:ascii="宋体"/>
          <w:b/>
          <w:color w:val="000000"/>
          <w:sz w:val="24"/>
          <w:lang w:val="zh-CN"/>
        </w:rPr>
        <w:t>：</w:t>
      </w:r>
    </w:p>
    <w:p>
      <w:pPr>
        <w:pStyle w:val="7"/>
        <w:spacing w:line="360" w:lineRule="auto"/>
        <w:jc w:val="center"/>
        <w:rPr>
          <w:rFonts w:hAnsi="宋体"/>
          <w:b/>
          <w:bCs/>
          <w:sz w:val="24"/>
          <w:lang w:val="zh-CN"/>
        </w:rPr>
      </w:pPr>
      <w:r>
        <w:rPr>
          <w:rFonts w:hint="eastAsia" w:hAnsi="宋体"/>
          <w:b/>
          <w:sz w:val="36"/>
          <w:szCs w:val="36"/>
        </w:rPr>
        <w:t>类似项目业绩一览表</w:t>
      </w:r>
    </w:p>
    <w:tbl>
      <w:tblPr>
        <w:tblStyle w:val="1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7"/>
              <w:jc w:val="center"/>
              <w:rPr>
                <w:rFonts w:hAnsi="宋体"/>
                <w:sz w:val="24"/>
              </w:rPr>
            </w:pPr>
            <w:r>
              <w:rPr>
                <w:rFonts w:hAnsi="宋体"/>
                <w:sz w:val="24"/>
              </w:rPr>
              <w:t>序号</w:t>
            </w:r>
          </w:p>
        </w:tc>
        <w:tc>
          <w:tcPr>
            <w:tcW w:w="1561" w:type="dxa"/>
            <w:vAlign w:val="center"/>
          </w:tcPr>
          <w:p>
            <w:pPr>
              <w:pStyle w:val="7"/>
              <w:jc w:val="center"/>
              <w:rPr>
                <w:rFonts w:hAnsi="宋体"/>
                <w:sz w:val="24"/>
              </w:rPr>
            </w:pPr>
            <w:r>
              <w:rPr>
                <w:rFonts w:hAnsi="宋体"/>
                <w:sz w:val="24"/>
              </w:rPr>
              <w:t>项目名称</w:t>
            </w:r>
          </w:p>
        </w:tc>
        <w:tc>
          <w:tcPr>
            <w:tcW w:w="1744" w:type="dxa"/>
            <w:vAlign w:val="center"/>
          </w:tcPr>
          <w:p>
            <w:pPr>
              <w:pStyle w:val="7"/>
              <w:jc w:val="center"/>
              <w:rPr>
                <w:rFonts w:hAnsi="宋体"/>
                <w:sz w:val="24"/>
              </w:rPr>
            </w:pPr>
            <w:r>
              <w:rPr>
                <w:rFonts w:hAnsi="宋体"/>
                <w:sz w:val="24"/>
              </w:rPr>
              <w:t>业主单位</w:t>
            </w:r>
          </w:p>
        </w:tc>
        <w:tc>
          <w:tcPr>
            <w:tcW w:w="1260" w:type="dxa"/>
            <w:vAlign w:val="center"/>
          </w:tcPr>
          <w:p>
            <w:pPr>
              <w:pStyle w:val="7"/>
              <w:jc w:val="center"/>
              <w:rPr>
                <w:rFonts w:hAnsi="宋体"/>
                <w:sz w:val="24"/>
              </w:rPr>
            </w:pPr>
            <w:r>
              <w:rPr>
                <w:rFonts w:hAnsi="宋体"/>
                <w:sz w:val="24"/>
              </w:rPr>
              <w:t>合同金额</w:t>
            </w:r>
          </w:p>
        </w:tc>
        <w:tc>
          <w:tcPr>
            <w:tcW w:w="1800" w:type="dxa"/>
            <w:vAlign w:val="center"/>
          </w:tcPr>
          <w:p>
            <w:pPr>
              <w:pStyle w:val="7"/>
              <w:jc w:val="center"/>
              <w:rPr>
                <w:rFonts w:hAnsi="宋体"/>
                <w:sz w:val="24"/>
              </w:rPr>
            </w:pPr>
            <w:r>
              <w:rPr>
                <w:rFonts w:hAnsi="宋体"/>
                <w:sz w:val="24"/>
              </w:rPr>
              <w:t>合同签订时间</w:t>
            </w:r>
          </w:p>
        </w:tc>
        <w:tc>
          <w:tcPr>
            <w:tcW w:w="2520" w:type="dxa"/>
            <w:vAlign w:val="center"/>
          </w:tcPr>
          <w:p>
            <w:pPr>
              <w:pStyle w:val="7"/>
              <w:jc w:val="center"/>
              <w:rPr>
                <w:rFonts w:hAnsi="宋体"/>
                <w:sz w:val="24"/>
              </w:rPr>
            </w:pPr>
            <w:r>
              <w:rPr>
                <w:rFonts w:hAnsi="宋体"/>
                <w:sz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7"/>
              <w:rPr>
                <w:rFonts w:hAnsi="宋体"/>
                <w:sz w:val="24"/>
              </w:rPr>
            </w:pPr>
          </w:p>
        </w:tc>
        <w:tc>
          <w:tcPr>
            <w:tcW w:w="1561" w:type="dxa"/>
            <w:vAlign w:val="center"/>
          </w:tcPr>
          <w:p>
            <w:pPr>
              <w:pStyle w:val="7"/>
              <w:rPr>
                <w:rFonts w:hAnsi="宋体"/>
                <w:sz w:val="24"/>
              </w:rPr>
            </w:pPr>
          </w:p>
        </w:tc>
        <w:tc>
          <w:tcPr>
            <w:tcW w:w="1744" w:type="dxa"/>
            <w:vAlign w:val="center"/>
          </w:tcPr>
          <w:p>
            <w:pPr>
              <w:pStyle w:val="7"/>
              <w:rPr>
                <w:rFonts w:hAnsi="宋体"/>
                <w:sz w:val="24"/>
              </w:rPr>
            </w:pPr>
          </w:p>
        </w:tc>
        <w:tc>
          <w:tcPr>
            <w:tcW w:w="1260" w:type="dxa"/>
            <w:vAlign w:val="center"/>
          </w:tcPr>
          <w:p>
            <w:pPr>
              <w:pStyle w:val="7"/>
              <w:rPr>
                <w:rFonts w:hAnsi="宋体"/>
                <w:sz w:val="24"/>
              </w:rPr>
            </w:pPr>
          </w:p>
        </w:tc>
        <w:tc>
          <w:tcPr>
            <w:tcW w:w="1800" w:type="dxa"/>
            <w:vAlign w:val="center"/>
          </w:tcPr>
          <w:p>
            <w:pPr>
              <w:pStyle w:val="7"/>
              <w:rPr>
                <w:rFonts w:hAnsi="宋体"/>
                <w:sz w:val="24"/>
              </w:rPr>
            </w:pPr>
          </w:p>
        </w:tc>
        <w:tc>
          <w:tcPr>
            <w:tcW w:w="2520" w:type="dxa"/>
            <w:vAlign w:val="center"/>
          </w:tcPr>
          <w:p>
            <w:pPr>
              <w:pStyle w:val="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7"/>
              <w:rPr>
                <w:rFonts w:hAnsi="宋体"/>
                <w:sz w:val="24"/>
              </w:rPr>
            </w:pPr>
          </w:p>
        </w:tc>
        <w:tc>
          <w:tcPr>
            <w:tcW w:w="1561" w:type="dxa"/>
            <w:vAlign w:val="center"/>
          </w:tcPr>
          <w:p>
            <w:pPr>
              <w:pStyle w:val="7"/>
              <w:rPr>
                <w:rFonts w:hAnsi="宋体"/>
                <w:sz w:val="24"/>
              </w:rPr>
            </w:pPr>
          </w:p>
        </w:tc>
        <w:tc>
          <w:tcPr>
            <w:tcW w:w="1744" w:type="dxa"/>
            <w:vAlign w:val="center"/>
          </w:tcPr>
          <w:p>
            <w:pPr>
              <w:pStyle w:val="7"/>
              <w:rPr>
                <w:rFonts w:hAnsi="宋体"/>
                <w:sz w:val="24"/>
              </w:rPr>
            </w:pPr>
          </w:p>
        </w:tc>
        <w:tc>
          <w:tcPr>
            <w:tcW w:w="1260" w:type="dxa"/>
            <w:vAlign w:val="center"/>
          </w:tcPr>
          <w:p>
            <w:pPr>
              <w:pStyle w:val="7"/>
              <w:rPr>
                <w:rFonts w:hAnsi="宋体"/>
                <w:sz w:val="24"/>
              </w:rPr>
            </w:pPr>
          </w:p>
        </w:tc>
        <w:tc>
          <w:tcPr>
            <w:tcW w:w="1800" w:type="dxa"/>
            <w:vAlign w:val="center"/>
          </w:tcPr>
          <w:p>
            <w:pPr>
              <w:pStyle w:val="7"/>
              <w:rPr>
                <w:rFonts w:hAnsi="宋体"/>
                <w:sz w:val="24"/>
              </w:rPr>
            </w:pPr>
          </w:p>
        </w:tc>
        <w:tc>
          <w:tcPr>
            <w:tcW w:w="2520" w:type="dxa"/>
            <w:vAlign w:val="center"/>
          </w:tcPr>
          <w:p>
            <w:pPr>
              <w:pStyle w:val="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7"/>
              <w:rPr>
                <w:rFonts w:hAnsi="宋体"/>
                <w:sz w:val="24"/>
              </w:rPr>
            </w:pPr>
          </w:p>
        </w:tc>
        <w:tc>
          <w:tcPr>
            <w:tcW w:w="1561" w:type="dxa"/>
            <w:vAlign w:val="center"/>
          </w:tcPr>
          <w:p>
            <w:pPr>
              <w:pStyle w:val="7"/>
              <w:rPr>
                <w:rFonts w:hAnsi="宋体"/>
                <w:sz w:val="24"/>
              </w:rPr>
            </w:pPr>
          </w:p>
        </w:tc>
        <w:tc>
          <w:tcPr>
            <w:tcW w:w="1744" w:type="dxa"/>
            <w:vAlign w:val="center"/>
          </w:tcPr>
          <w:p>
            <w:pPr>
              <w:pStyle w:val="7"/>
              <w:rPr>
                <w:rFonts w:hAnsi="宋体"/>
                <w:sz w:val="24"/>
              </w:rPr>
            </w:pPr>
          </w:p>
        </w:tc>
        <w:tc>
          <w:tcPr>
            <w:tcW w:w="1260" w:type="dxa"/>
            <w:vAlign w:val="center"/>
          </w:tcPr>
          <w:p>
            <w:pPr>
              <w:pStyle w:val="7"/>
              <w:rPr>
                <w:rFonts w:hAnsi="宋体"/>
                <w:sz w:val="24"/>
              </w:rPr>
            </w:pPr>
          </w:p>
        </w:tc>
        <w:tc>
          <w:tcPr>
            <w:tcW w:w="1800" w:type="dxa"/>
            <w:vAlign w:val="center"/>
          </w:tcPr>
          <w:p>
            <w:pPr>
              <w:pStyle w:val="7"/>
              <w:rPr>
                <w:rFonts w:hAnsi="宋体"/>
                <w:sz w:val="24"/>
              </w:rPr>
            </w:pPr>
          </w:p>
        </w:tc>
        <w:tc>
          <w:tcPr>
            <w:tcW w:w="2520" w:type="dxa"/>
            <w:vAlign w:val="center"/>
          </w:tcPr>
          <w:p>
            <w:pPr>
              <w:pStyle w:val="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7"/>
              <w:rPr>
                <w:rFonts w:hAnsi="宋体"/>
                <w:sz w:val="24"/>
              </w:rPr>
            </w:pPr>
          </w:p>
        </w:tc>
        <w:tc>
          <w:tcPr>
            <w:tcW w:w="1561" w:type="dxa"/>
            <w:vAlign w:val="center"/>
          </w:tcPr>
          <w:p>
            <w:pPr>
              <w:pStyle w:val="7"/>
              <w:rPr>
                <w:rFonts w:hAnsi="宋体"/>
                <w:sz w:val="24"/>
              </w:rPr>
            </w:pPr>
          </w:p>
        </w:tc>
        <w:tc>
          <w:tcPr>
            <w:tcW w:w="1744" w:type="dxa"/>
            <w:vAlign w:val="center"/>
          </w:tcPr>
          <w:p>
            <w:pPr>
              <w:pStyle w:val="7"/>
              <w:rPr>
                <w:rFonts w:hAnsi="宋体"/>
                <w:sz w:val="24"/>
              </w:rPr>
            </w:pPr>
          </w:p>
        </w:tc>
        <w:tc>
          <w:tcPr>
            <w:tcW w:w="1260" w:type="dxa"/>
            <w:vAlign w:val="center"/>
          </w:tcPr>
          <w:p>
            <w:pPr>
              <w:pStyle w:val="7"/>
              <w:rPr>
                <w:rFonts w:hAnsi="宋体"/>
                <w:sz w:val="24"/>
              </w:rPr>
            </w:pPr>
          </w:p>
        </w:tc>
        <w:tc>
          <w:tcPr>
            <w:tcW w:w="1800" w:type="dxa"/>
            <w:vAlign w:val="center"/>
          </w:tcPr>
          <w:p>
            <w:pPr>
              <w:pStyle w:val="7"/>
              <w:rPr>
                <w:rFonts w:hAnsi="宋体"/>
                <w:sz w:val="24"/>
              </w:rPr>
            </w:pPr>
          </w:p>
        </w:tc>
        <w:tc>
          <w:tcPr>
            <w:tcW w:w="2520" w:type="dxa"/>
            <w:vAlign w:val="center"/>
          </w:tcPr>
          <w:p>
            <w:pPr>
              <w:pStyle w:val="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7"/>
              <w:rPr>
                <w:rFonts w:hAnsi="宋体"/>
                <w:sz w:val="24"/>
              </w:rPr>
            </w:pPr>
          </w:p>
        </w:tc>
        <w:tc>
          <w:tcPr>
            <w:tcW w:w="1561" w:type="dxa"/>
            <w:vAlign w:val="center"/>
          </w:tcPr>
          <w:p>
            <w:pPr>
              <w:pStyle w:val="7"/>
              <w:rPr>
                <w:rFonts w:hAnsi="宋体"/>
                <w:sz w:val="24"/>
              </w:rPr>
            </w:pPr>
          </w:p>
        </w:tc>
        <w:tc>
          <w:tcPr>
            <w:tcW w:w="1744" w:type="dxa"/>
            <w:vAlign w:val="center"/>
          </w:tcPr>
          <w:p>
            <w:pPr>
              <w:pStyle w:val="7"/>
              <w:rPr>
                <w:rFonts w:hAnsi="宋体"/>
                <w:sz w:val="24"/>
              </w:rPr>
            </w:pPr>
          </w:p>
        </w:tc>
        <w:tc>
          <w:tcPr>
            <w:tcW w:w="1260" w:type="dxa"/>
            <w:vAlign w:val="center"/>
          </w:tcPr>
          <w:p>
            <w:pPr>
              <w:pStyle w:val="7"/>
              <w:rPr>
                <w:rFonts w:hAnsi="宋体"/>
                <w:sz w:val="24"/>
              </w:rPr>
            </w:pPr>
          </w:p>
        </w:tc>
        <w:tc>
          <w:tcPr>
            <w:tcW w:w="1800" w:type="dxa"/>
            <w:vAlign w:val="center"/>
          </w:tcPr>
          <w:p>
            <w:pPr>
              <w:pStyle w:val="7"/>
              <w:rPr>
                <w:rFonts w:hAnsi="宋体"/>
                <w:sz w:val="24"/>
              </w:rPr>
            </w:pPr>
          </w:p>
        </w:tc>
        <w:tc>
          <w:tcPr>
            <w:tcW w:w="2520" w:type="dxa"/>
            <w:vAlign w:val="center"/>
          </w:tcPr>
          <w:p>
            <w:pPr>
              <w:pStyle w:val="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7"/>
              <w:rPr>
                <w:rFonts w:hAnsi="宋体"/>
                <w:sz w:val="24"/>
              </w:rPr>
            </w:pPr>
          </w:p>
        </w:tc>
        <w:tc>
          <w:tcPr>
            <w:tcW w:w="1561" w:type="dxa"/>
            <w:vAlign w:val="center"/>
          </w:tcPr>
          <w:p>
            <w:pPr>
              <w:pStyle w:val="7"/>
              <w:rPr>
                <w:rFonts w:hAnsi="宋体"/>
                <w:sz w:val="24"/>
              </w:rPr>
            </w:pPr>
          </w:p>
        </w:tc>
        <w:tc>
          <w:tcPr>
            <w:tcW w:w="1744" w:type="dxa"/>
            <w:vAlign w:val="center"/>
          </w:tcPr>
          <w:p>
            <w:pPr>
              <w:pStyle w:val="7"/>
              <w:rPr>
                <w:rFonts w:hAnsi="宋体"/>
                <w:sz w:val="24"/>
              </w:rPr>
            </w:pPr>
          </w:p>
        </w:tc>
        <w:tc>
          <w:tcPr>
            <w:tcW w:w="1260" w:type="dxa"/>
            <w:vAlign w:val="center"/>
          </w:tcPr>
          <w:p>
            <w:pPr>
              <w:pStyle w:val="7"/>
              <w:rPr>
                <w:rFonts w:hAnsi="宋体"/>
                <w:sz w:val="24"/>
              </w:rPr>
            </w:pPr>
          </w:p>
        </w:tc>
        <w:tc>
          <w:tcPr>
            <w:tcW w:w="1800" w:type="dxa"/>
            <w:vAlign w:val="center"/>
          </w:tcPr>
          <w:p>
            <w:pPr>
              <w:pStyle w:val="7"/>
              <w:rPr>
                <w:rFonts w:hAnsi="宋体"/>
                <w:sz w:val="24"/>
              </w:rPr>
            </w:pPr>
          </w:p>
        </w:tc>
        <w:tc>
          <w:tcPr>
            <w:tcW w:w="2520" w:type="dxa"/>
            <w:vAlign w:val="center"/>
          </w:tcPr>
          <w:p>
            <w:pPr>
              <w:pStyle w:val="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7"/>
              <w:rPr>
                <w:rFonts w:hAnsi="宋体"/>
                <w:sz w:val="24"/>
              </w:rPr>
            </w:pPr>
          </w:p>
        </w:tc>
        <w:tc>
          <w:tcPr>
            <w:tcW w:w="1561" w:type="dxa"/>
            <w:vAlign w:val="center"/>
          </w:tcPr>
          <w:p>
            <w:pPr>
              <w:pStyle w:val="7"/>
              <w:rPr>
                <w:rFonts w:hAnsi="宋体"/>
                <w:sz w:val="24"/>
              </w:rPr>
            </w:pPr>
          </w:p>
        </w:tc>
        <w:tc>
          <w:tcPr>
            <w:tcW w:w="1744" w:type="dxa"/>
            <w:vAlign w:val="center"/>
          </w:tcPr>
          <w:p>
            <w:pPr>
              <w:pStyle w:val="7"/>
              <w:rPr>
                <w:rFonts w:hAnsi="宋体"/>
                <w:sz w:val="24"/>
              </w:rPr>
            </w:pPr>
          </w:p>
        </w:tc>
        <w:tc>
          <w:tcPr>
            <w:tcW w:w="1260" w:type="dxa"/>
            <w:vAlign w:val="center"/>
          </w:tcPr>
          <w:p>
            <w:pPr>
              <w:pStyle w:val="7"/>
              <w:rPr>
                <w:rFonts w:hAnsi="宋体"/>
                <w:sz w:val="24"/>
              </w:rPr>
            </w:pPr>
          </w:p>
        </w:tc>
        <w:tc>
          <w:tcPr>
            <w:tcW w:w="1800" w:type="dxa"/>
            <w:vAlign w:val="center"/>
          </w:tcPr>
          <w:p>
            <w:pPr>
              <w:pStyle w:val="7"/>
              <w:rPr>
                <w:rFonts w:hAnsi="宋体"/>
                <w:sz w:val="24"/>
              </w:rPr>
            </w:pPr>
          </w:p>
        </w:tc>
        <w:tc>
          <w:tcPr>
            <w:tcW w:w="2520" w:type="dxa"/>
            <w:vAlign w:val="center"/>
          </w:tcPr>
          <w:p>
            <w:pPr>
              <w:pStyle w:val="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7"/>
              <w:rPr>
                <w:rFonts w:hAnsi="宋体"/>
                <w:sz w:val="24"/>
              </w:rPr>
            </w:pPr>
          </w:p>
        </w:tc>
        <w:tc>
          <w:tcPr>
            <w:tcW w:w="1561" w:type="dxa"/>
            <w:vAlign w:val="center"/>
          </w:tcPr>
          <w:p>
            <w:pPr>
              <w:pStyle w:val="7"/>
              <w:rPr>
                <w:rFonts w:hAnsi="宋体"/>
                <w:sz w:val="24"/>
              </w:rPr>
            </w:pPr>
          </w:p>
        </w:tc>
        <w:tc>
          <w:tcPr>
            <w:tcW w:w="1744" w:type="dxa"/>
            <w:vAlign w:val="center"/>
          </w:tcPr>
          <w:p>
            <w:pPr>
              <w:pStyle w:val="7"/>
              <w:rPr>
                <w:rFonts w:hAnsi="宋体"/>
                <w:sz w:val="24"/>
              </w:rPr>
            </w:pPr>
          </w:p>
        </w:tc>
        <w:tc>
          <w:tcPr>
            <w:tcW w:w="1260" w:type="dxa"/>
            <w:vAlign w:val="center"/>
          </w:tcPr>
          <w:p>
            <w:pPr>
              <w:pStyle w:val="7"/>
              <w:rPr>
                <w:rFonts w:hAnsi="宋体"/>
                <w:sz w:val="24"/>
              </w:rPr>
            </w:pPr>
          </w:p>
        </w:tc>
        <w:tc>
          <w:tcPr>
            <w:tcW w:w="1800" w:type="dxa"/>
            <w:vAlign w:val="center"/>
          </w:tcPr>
          <w:p>
            <w:pPr>
              <w:pStyle w:val="7"/>
              <w:rPr>
                <w:rFonts w:hAnsi="宋体"/>
                <w:sz w:val="24"/>
              </w:rPr>
            </w:pPr>
          </w:p>
        </w:tc>
        <w:tc>
          <w:tcPr>
            <w:tcW w:w="2520" w:type="dxa"/>
            <w:vAlign w:val="center"/>
          </w:tcPr>
          <w:p>
            <w:pPr>
              <w:pStyle w:val="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63" w:type="dxa"/>
            <w:vAlign w:val="center"/>
          </w:tcPr>
          <w:p>
            <w:pPr>
              <w:pStyle w:val="7"/>
              <w:rPr>
                <w:rFonts w:hAnsi="宋体"/>
                <w:sz w:val="24"/>
              </w:rPr>
            </w:pPr>
            <w:r>
              <w:rPr>
                <w:rFonts w:hint="eastAsia" w:hAnsi="宋体"/>
                <w:sz w:val="24"/>
              </w:rPr>
              <w:t>……</w:t>
            </w:r>
          </w:p>
        </w:tc>
        <w:tc>
          <w:tcPr>
            <w:tcW w:w="1561" w:type="dxa"/>
            <w:vAlign w:val="center"/>
          </w:tcPr>
          <w:p>
            <w:pPr>
              <w:pStyle w:val="7"/>
              <w:rPr>
                <w:rFonts w:hAnsi="宋体"/>
                <w:sz w:val="24"/>
              </w:rPr>
            </w:pPr>
          </w:p>
        </w:tc>
        <w:tc>
          <w:tcPr>
            <w:tcW w:w="1744" w:type="dxa"/>
            <w:vAlign w:val="center"/>
          </w:tcPr>
          <w:p>
            <w:pPr>
              <w:pStyle w:val="7"/>
              <w:rPr>
                <w:rFonts w:hAnsi="宋体"/>
                <w:sz w:val="24"/>
              </w:rPr>
            </w:pPr>
          </w:p>
        </w:tc>
        <w:tc>
          <w:tcPr>
            <w:tcW w:w="1260" w:type="dxa"/>
            <w:vAlign w:val="center"/>
          </w:tcPr>
          <w:p>
            <w:pPr>
              <w:pStyle w:val="7"/>
              <w:rPr>
                <w:rFonts w:hAnsi="宋体"/>
                <w:sz w:val="24"/>
              </w:rPr>
            </w:pPr>
          </w:p>
        </w:tc>
        <w:tc>
          <w:tcPr>
            <w:tcW w:w="1800" w:type="dxa"/>
            <w:vAlign w:val="center"/>
          </w:tcPr>
          <w:p>
            <w:pPr>
              <w:pStyle w:val="7"/>
              <w:rPr>
                <w:rFonts w:hAnsi="宋体"/>
                <w:sz w:val="24"/>
              </w:rPr>
            </w:pPr>
          </w:p>
        </w:tc>
        <w:tc>
          <w:tcPr>
            <w:tcW w:w="2520" w:type="dxa"/>
            <w:vAlign w:val="center"/>
          </w:tcPr>
          <w:p>
            <w:pPr>
              <w:pStyle w:val="7"/>
              <w:rPr>
                <w:rFonts w:hAnsi="宋体"/>
                <w:sz w:val="24"/>
              </w:rPr>
            </w:pPr>
          </w:p>
        </w:tc>
      </w:tr>
    </w:tbl>
    <w:p>
      <w:pPr>
        <w:pStyle w:val="7"/>
        <w:spacing w:line="360" w:lineRule="auto"/>
        <w:rPr>
          <w:rFonts w:hAnsi="宋体"/>
          <w:sz w:val="24"/>
        </w:rPr>
      </w:pPr>
      <w:r>
        <w:rPr>
          <w:rFonts w:hAnsi="宋体"/>
          <w:sz w:val="24"/>
        </w:rPr>
        <w:t>注：1</w:t>
      </w:r>
      <w:r>
        <w:rPr>
          <w:rFonts w:hint="eastAsia" w:hAnsi="宋体"/>
          <w:sz w:val="24"/>
        </w:rPr>
        <w:t>.</w:t>
      </w:r>
      <w:r>
        <w:rPr>
          <w:rFonts w:hAnsi="宋体"/>
          <w:sz w:val="24"/>
        </w:rPr>
        <w:t>表中业绩参照第四部分评分办法及评分标准中要求的业绩提供；</w:t>
      </w:r>
    </w:p>
    <w:p>
      <w:pPr>
        <w:pStyle w:val="7"/>
        <w:spacing w:line="360" w:lineRule="auto"/>
        <w:ind w:firstLine="468" w:firstLineChars="195"/>
        <w:rPr>
          <w:rFonts w:hAnsi="宋体"/>
          <w:sz w:val="24"/>
        </w:rPr>
      </w:pPr>
      <w:r>
        <w:rPr>
          <w:rFonts w:hAnsi="宋体"/>
          <w:sz w:val="24"/>
        </w:rPr>
        <w:t>2</w:t>
      </w:r>
      <w:r>
        <w:rPr>
          <w:rFonts w:hint="eastAsia" w:hAnsi="宋体"/>
          <w:sz w:val="24"/>
        </w:rPr>
        <w:t>.</w:t>
      </w:r>
      <w:r>
        <w:rPr>
          <w:rFonts w:hAnsi="宋体"/>
          <w:sz w:val="24"/>
        </w:rPr>
        <w:t>附上每个业绩合同的复印件，</w:t>
      </w:r>
      <w:r>
        <w:rPr>
          <w:rFonts w:hint="eastAsia" w:hAnsi="宋体"/>
          <w:sz w:val="24"/>
        </w:rPr>
        <w:t>并提供业绩合同</w:t>
      </w:r>
      <w:r>
        <w:rPr>
          <w:rFonts w:hAnsi="宋体"/>
          <w:sz w:val="24"/>
        </w:rPr>
        <w:t>原件</w:t>
      </w:r>
      <w:r>
        <w:rPr>
          <w:rFonts w:hint="eastAsia" w:hAnsi="宋体"/>
          <w:color w:val="000000"/>
          <w:sz w:val="24"/>
        </w:rPr>
        <w:t>及中标通知书原件</w:t>
      </w:r>
      <w:r>
        <w:rPr>
          <w:rFonts w:hAnsi="宋体"/>
          <w:color w:val="000000"/>
          <w:sz w:val="24"/>
        </w:rPr>
        <w:t>备查</w:t>
      </w:r>
      <w:r>
        <w:rPr>
          <w:rFonts w:hint="eastAsia" w:hAnsi="宋体"/>
          <w:color w:val="000000"/>
          <w:sz w:val="24"/>
        </w:rPr>
        <w:t>（如无法提供中标通知书原件的，也可以用相关项目中标结果公示链接网址与截图替代）</w:t>
      </w:r>
      <w:r>
        <w:rPr>
          <w:rFonts w:hAnsi="宋体"/>
          <w:sz w:val="24"/>
        </w:rPr>
        <w:t>。</w:t>
      </w:r>
    </w:p>
    <w:p>
      <w:pPr>
        <w:autoSpaceDE w:val="0"/>
        <w:autoSpaceDN w:val="0"/>
        <w:adjustRightInd w:val="0"/>
        <w:spacing w:line="560" w:lineRule="exact"/>
        <w:ind w:firstLine="6000" w:firstLineChars="2500"/>
        <w:rPr>
          <w:rFonts w:ascii="宋体" w:hAnsi="宋体"/>
          <w:sz w:val="24"/>
        </w:rPr>
      </w:pPr>
    </w:p>
    <w:p>
      <w:pPr>
        <w:autoSpaceDE w:val="0"/>
        <w:autoSpaceDN w:val="0"/>
        <w:adjustRightInd w:val="0"/>
        <w:spacing w:line="560" w:lineRule="exact"/>
        <w:ind w:firstLine="6000" w:firstLineChars="2500"/>
        <w:rPr>
          <w:rFonts w:ascii="宋体" w:hAnsi="宋体"/>
          <w:sz w:val="24"/>
        </w:rPr>
      </w:pPr>
      <w:r>
        <w:rPr>
          <w:rFonts w:ascii="宋体" w:hAnsi="宋体"/>
          <w:sz w:val="24"/>
        </w:rPr>
        <w:t>投标人（盖单位章）：</w:t>
      </w:r>
    </w:p>
    <w:p>
      <w:pPr>
        <w:autoSpaceDE w:val="0"/>
        <w:autoSpaceDN w:val="0"/>
        <w:adjustRightInd w:val="0"/>
        <w:spacing w:line="560" w:lineRule="exact"/>
        <w:ind w:firstLine="3840" w:firstLineChars="1600"/>
        <w:rPr>
          <w:rFonts w:ascii="宋体" w:hAnsi="宋体"/>
          <w:sz w:val="24"/>
        </w:rPr>
      </w:pPr>
      <w:r>
        <w:rPr>
          <w:rFonts w:ascii="宋体" w:hAnsi="宋体"/>
          <w:sz w:val="24"/>
        </w:rPr>
        <w:t>法定代表人或</w:t>
      </w:r>
      <w:r>
        <w:rPr>
          <w:rFonts w:hint="eastAsia" w:ascii="宋体" w:hAnsi="宋体"/>
          <w:sz w:val="24"/>
        </w:rPr>
        <w:t>全权代表</w:t>
      </w:r>
      <w:r>
        <w:rPr>
          <w:rFonts w:ascii="宋体" w:hAnsi="宋体"/>
          <w:sz w:val="24"/>
        </w:rPr>
        <w:t>（盖章或签字）：</w:t>
      </w:r>
    </w:p>
    <w:p>
      <w:pPr>
        <w:spacing w:line="560" w:lineRule="exact"/>
        <w:rPr>
          <w:rFonts w:ascii="宋体" w:hAnsi="宋体"/>
          <w:sz w:val="24"/>
        </w:rPr>
      </w:pPr>
      <w:r>
        <w:rPr>
          <w:rFonts w:ascii="宋体" w:hAnsi="宋体"/>
          <w:sz w:val="24"/>
        </w:rPr>
        <w:t xml:space="preserve">日期： </w:t>
      </w:r>
    </w:p>
    <w:p>
      <w:pPr>
        <w:pStyle w:val="6"/>
        <w:spacing w:line="360" w:lineRule="auto"/>
        <w:rPr>
          <w:rFonts w:ascii="宋体" w:hAnsi="宋体"/>
          <w:sz w:val="24"/>
        </w:rPr>
      </w:pPr>
    </w:p>
    <w:p>
      <w:pPr>
        <w:spacing w:line="320" w:lineRule="exact"/>
        <w:outlineLvl w:val="1"/>
        <w:rPr>
          <w:rFonts w:ascii="宋体" w:hAnsi="宋体"/>
          <w:b/>
          <w:sz w:val="28"/>
        </w:rPr>
      </w:pPr>
    </w:p>
    <w:p>
      <w:pPr>
        <w:spacing w:line="360" w:lineRule="auto"/>
        <w:outlineLvl w:val="1"/>
        <w:rPr>
          <w:rFonts w:ascii="宋体" w:hAnsi="宋体"/>
          <w:b/>
          <w:sz w:val="32"/>
          <w:szCs w:val="32"/>
        </w:rPr>
      </w:pPr>
      <w:bookmarkStart w:id="114" w:name="_Toc6246"/>
      <w:r>
        <w:rPr>
          <w:rFonts w:hint="eastAsia" w:ascii="宋体" w:hAnsi="宋体"/>
          <w:b/>
          <w:sz w:val="32"/>
          <w:szCs w:val="32"/>
        </w:rPr>
        <w:t>二、报价文件</w:t>
      </w:r>
      <w:bookmarkEnd w:id="114"/>
    </w:p>
    <w:p>
      <w:pPr>
        <w:spacing w:line="360" w:lineRule="auto"/>
        <w:outlineLvl w:val="1"/>
        <w:rPr>
          <w:rFonts w:ascii="宋体" w:hAnsi="宋体"/>
          <w:b/>
          <w:sz w:val="28"/>
        </w:rPr>
      </w:pPr>
      <w:bookmarkStart w:id="115" w:name="_Toc462675243"/>
      <w:bookmarkStart w:id="116" w:name="_Toc13241"/>
      <w:r>
        <w:rPr>
          <w:rFonts w:hint="eastAsia" w:ascii="宋体" w:hAnsi="宋体"/>
          <w:b/>
          <w:sz w:val="28"/>
        </w:rPr>
        <w:t>附件</w:t>
      </w:r>
      <w:bookmarkEnd w:id="115"/>
      <w:r>
        <w:rPr>
          <w:rFonts w:hint="eastAsia" w:ascii="宋体" w:hAnsi="宋体"/>
          <w:b/>
          <w:sz w:val="28"/>
        </w:rPr>
        <w:t>1</w:t>
      </w:r>
      <w:bookmarkEnd w:id="116"/>
    </w:p>
    <w:p>
      <w:pPr>
        <w:spacing w:line="360" w:lineRule="atLeast"/>
        <w:ind w:left="480"/>
        <w:jc w:val="center"/>
        <w:rPr>
          <w:rFonts w:ascii="宋体" w:hAnsi="宋体"/>
          <w:b/>
          <w:spacing w:val="-20"/>
          <w:sz w:val="30"/>
          <w:szCs w:val="30"/>
        </w:rPr>
      </w:pPr>
      <w:r>
        <w:rPr>
          <w:rFonts w:hint="eastAsia" w:ascii="宋体" w:hAnsi="宋体"/>
          <w:b/>
          <w:sz w:val="28"/>
          <w:u w:val="single"/>
        </w:rPr>
        <w:t>三门县客运中心及三门湾科创广场周边区块交通规划研究采购项目</w:t>
      </w:r>
    </w:p>
    <w:p>
      <w:pPr>
        <w:spacing w:line="360" w:lineRule="atLeast"/>
        <w:jc w:val="center"/>
        <w:rPr>
          <w:rFonts w:ascii="宋体" w:hAnsi="宋体"/>
          <w:b/>
          <w:sz w:val="36"/>
          <w:szCs w:val="36"/>
        </w:rPr>
      </w:pPr>
      <w:r>
        <w:rPr>
          <w:rFonts w:hint="eastAsia" w:ascii="宋体" w:hAnsi="宋体"/>
          <w:b/>
          <w:sz w:val="36"/>
          <w:szCs w:val="36"/>
        </w:rPr>
        <w:t>首次报价一览表</w:t>
      </w:r>
    </w:p>
    <w:p>
      <w:pPr>
        <w:jc w:val="center"/>
        <w:rPr>
          <w:rFonts w:ascii="宋体" w:hAnsi="宋体"/>
        </w:rPr>
      </w:pPr>
    </w:p>
    <w:p>
      <w:pPr>
        <w:spacing w:line="320" w:lineRule="exact"/>
        <w:ind w:firstLine="480"/>
        <w:rPr>
          <w:rFonts w:ascii="宋体" w:hAnsi="宋体"/>
          <w:sz w:val="24"/>
        </w:rPr>
      </w:pPr>
      <w:r>
        <w:rPr>
          <w:rFonts w:hint="eastAsia" w:ascii="宋体" w:hAnsi="宋体"/>
          <w:sz w:val="24"/>
        </w:rPr>
        <w:t>项目编号：</w:t>
      </w:r>
    </w:p>
    <w:p>
      <w:pPr>
        <w:spacing w:line="320" w:lineRule="exact"/>
        <w:rPr>
          <w:rFonts w:ascii="宋体" w:hAnsi="宋体"/>
          <w:sz w:val="24"/>
        </w:rPr>
      </w:pPr>
    </w:p>
    <w:tbl>
      <w:tblPr>
        <w:tblStyle w:val="15"/>
        <w:tblW w:w="91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7"/>
        <w:gridCol w:w="3481"/>
        <w:gridCol w:w="1984"/>
        <w:gridCol w:w="1276"/>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jc w:val="center"/>
        </w:trPr>
        <w:tc>
          <w:tcPr>
            <w:tcW w:w="1157" w:type="dxa"/>
            <w:vAlign w:val="center"/>
          </w:tcPr>
          <w:p>
            <w:pPr>
              <w:adjustRightInd w:val="0"/>
              <w:snapToGrid w:val="0"/>
              <w:jc w:val="center"/>
              <w:rPr>
                <w:rFonts w:ascii="宋体" w:hAnsi="宋体"/>
                <w:b/>
                <w:szCs w:val="21"/>
              </w:rPr>
            </w:pPr>
            <w:r>
              <w:rPr>
                <w:rFonts w:hint="eastAsia" w:ascii="宋体" w:hAnsi="宋体"/>
                <w:b/>
                <w:szCs w:val="21"/>
              </w:rPr>
              <w:t>序号</w:t>
            </w:r>
          </w:p>
        </w:tc>
        <w:tc>
          <w:tcPr>
            <w:tcW w:w="3481" w:type="dxa"/>
            <w:vAlign w:val="center"/>
          </w:tcPr>
          <w:p>
            <w:pPr>
              <w:widowControl/>
              <w:jc w:val="center"/>
              <w:rPr>
                <w:rFonts w:ascii="宋体" w:hAnsi="宋体" w:cs="宋体"/>
                <w:b/>
                <w:kern w:val="0"/>
                <w:szCs w:val="21"/>
              </w:rPr>
            </w:pPr>
            <w:r>
              <w:rPr>
                <w:rFonts w:hint="eastAsia" w:ascii="宋体" w:hAnsi="宋体" w:cs="宋体"/>
                <w:b/>
                <w:kern w:val="0"/>
                <w:szCs w:val="21"/>
              </w:rPr>
              <w:t>项目名称</w:t>
            </w:r>
          </w:p>
        </w:tc>
        <w:tc>
          <w:tcPr>
            <w:tcW w:w="1984" w:type="dxa"/>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投标报价</w:t>
            </w:r>
          </w:p>
        </w:tc>
        <w:tc>
          <w:tcPr>
            <w:tcW w:w="1276" w:type="dxa"/>
            <w:tcBorders>
              <w:left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服务期</w:t>
            </w:r>
          </w:p>
        </w:tc>
        <w:tc>
          <w:tcPr>
            <w:tcW w:w="1263" w:type="dxa"/>
            <w:tcBorders>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服务地点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jc w:val="center"/>
        </w:trPr>
        <w:tc>
          <w:tcPr>
            <w:tcW w:w="1157" w:type="dxa"/>
            <w:vAlign w:val="center"/>
          </w:tcPr>
          <w:p>
            <w:pPr>
              <w:adjustRightInd w:val="0"/>
              <w:snapToGrid w:val="0"/>
              <w:jc w:val="center"/>
              <w:rPr>
                <w:rFonts w:ascii="宋体" w:hAnsi="宋体" w:cs="宋体"/>
                <w:kern w:val="0"/>
                <w:sz w:val="24"/>
              </w:rPr>
            </w:pPr>
            <w:r>
              <w:rPr>
                <w:rFonts w:hint="eastAsia" w:ascii="宋体" w:hAnsi="宋体" w:cs="宋体"/>
                <w:kern w:val="0"/>
                <w:sz w:val="24"/>
              </w:rPr>
              <w:t>一</w:t>
            </w:r>
          </w:p>
        </w:tc>
        <w:tc>
          <w:tcPr>
            <w:tcW w:w="3481" w:type="dxa"/>
            <w:vAlign w:val="center"/>
          </w:tcPr>
          <w:p>
            <w:pPr>
              <w:adjustRightInd w:val="0"/>
              <w:snapToGrid w:val="0"/>
              <w:rPr>
                <w:rFonts w:ascii="宋体" w:hAnsi="宋体" w:cs="宋体"/>
                <w:kern w:val="0"/>
                <w:sz w:val="24"/>
              </w:rPr>
            </w:pPr>
          </w:p>
        </w:tc>
        <w:tc>
          <w:tcPr>
            <w:tcW w:w="1984" w:type="dxa"/>
            <w:tcBorders>
              <w:right w:val="single" w:color="auto" w:sz="4" w:space="0"/>
            </w:tcBorders>
            <w:vAlign w:val="center"/>
          </w:tcPr>
          <w:p>
            <w:pPr>
              <w:widowControl/>
              <w:jc w:val="center"/>
              <w:rPr>
                <w:rFonts w:ascii="宋体" w:hAnsi="宋体" w:cs="Arial"/>
                <w:kern w:val="0"/>
                <w:szCs w:val="21"/>
              </w:rPr>
            </w:pPr>
          </w:p>
        </w:tc>
        <w:tc>
          <w:tcPr>
            <w:tcW w:w="1276" w:type="dxa"/>
            <w:tcBorders>
              <w:left w:val="single" w:color="auto" w:sz="4" w:space="0"/>
              <w:right w:val="single" w:color="auto" w:sz="4" w:space="0"/>
            </w:tcBorders>
            <w:vAlign w:val="center"/>
          </w:tcPr>
          <w:p>
            <w:pPr>
              <w:widowControl/>
              <w:jc w:val="center"/>
              <w:rPr>
                <w:rFonts w:ascii="宋体" w:hAnsi="宋体" w:cs="Arial"/>
                <w:kern w:val="0"/>
                <w:szCs w:val="21"/>
              </w:rPr>
            </w:pPr>
          </w:p>
        </w:tc>
        <w:tc>
          <w:tcPr>
            <w:tcW w:w="1263" w:type="dxa"/>
            <w:tcBorders>
              <w:left w:val="single" w:color="auto" w:sz="4" w:space="0"/>
            </w:tcBorders>
            <w:vAlign w:val="center"/>
          </w:tcPr>
          <w:p>
            <w:pPr>
              <w:widowControl/>
              <w:jc w:val="center"/>
              <w:rPr>
                <w:rFonts w:ascii="宋体" w:hAnsi="宋体" w:cs="Aria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jc w:val="center"/>
        </w:trPr>
        <w:tc>
          <w:tcPr>
            <w:tcW w:w="4638" w:type="dxa"/>
            <w:gridSpan w:val="2"/>
            <w:vAlign w:val="center"/>
          </w:tcPr>
          <w:p>
            <w:pPr>
              <w:adjustRightInd w:val="0"/>
              <w:snapToGrid w:val="0"/>
              <w:jc w:val="center"/>
              <w:rPr>
                <w:rFonts w:ascii="宋体" w:hAnsi="宋体"/>
                <w:b/>
                <w:szCs w:val="21"/>
                <w:u w:val="single"/>
              </w:rPr>
            </w:pPr>
            <w:r>
              <w:rPr>
                <w:rFonts w:hint="eastAsia" w:ascii="宋体" w:hAnsi="宋体" w:cs="宋体"/>
                <w:kern w:val="0"/>
                <w:sz w:val="24"/>
              </w:rPr>
              <w:t>合计</w:t>
            </w:r>
          </w:p>
        </w:tc>
        <w:tc>
          <w:tcPr>
            <w:tcW w:w="4523" w:type="dxa"/>
            <w:gridSpan w:val="3"/>
            <w:vAlign w:val="center"/>
          </w:tcPr>
          <w:p>
            <w:pPr>
              <w:adjustRightInd w:val="0"/>
              <w:snapToGrid w:val="0"/>
              <w:jc w:val="left"/>
              <w:rPr>
                <w:rFonts w:ascii="宋体" w:hAnsi="宋体"/>
                <w:b/>
                <w:szCs w:val="21"/>
                <w:u w:val="single"/>
              </w:rPr>
            </w:pPr>
            <w:r>
              <w:rPr>
                <w:rFonts w:hint="eastAsia" w:ascii="宋体" w:hAnsi="宋体" w:cs="宋体"/>
                <w:kern w:val="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jc w:val="center"/>
        </w:trPr>
        <w:tc>
          <w:tcPr>
            <w:tcW w:w="9161" w:type="dxa"/>
            <w:gridSpan w:val="5"/>
            <w:vAlign w:val="center"/>
          </w:tcPr>
          <w:p>
            <w:pPr>
              <w:adjustRightInd w:val="0"/>
              <w:snapToGrid w:val="0"/>
              <w:jc w:val="left"/>
              <w:rPr>
                <w:rFonts w:ascii="宋体" w:hAnsi="宋体" w:cs="宋体"/>
                <w:kern w:val="0"/>
                <w:sz w:val="24"/>
              </w:rPr>
            </w:pPr>
            <w:r>
              <w:rPr>
                <w:rFonts w:hint="eastAsia" w:ascii="宋体" w:hAnsi="宋体" w:cs="宋体"/>
                <w:kern w:val="0"/>
                <w:sz w:val="24"/>
              </w:rPr>
              <w:t>投标总报价大写：</w:t>
            </w:r>
          </w:p>
        </w:tc>
      </w:tr>
    </w:tbl>
    <w:p>
      <w:pPr>
        <w:spacing w:line="320" w:lineRule="exact"/>
        <w:ind w:left="420"/>
        <w:rPr>
          <w:rFonts w:ascii="宋体" w:hAnsi="宋体"/>
          <w:sz w:val="24"/>
        </w:rPr>
      </w:pPr>
    </w:p>
    <w:p>
      <w:pPr>
        <w:spacing w:line="320" w:lineRule="exact"/>
        <w:ind w:left="420"/>
        <w:rPr>
          <w:rFonts w:ascii="宋体" w:hAnsi="宋体"/>
          <w:kern w:val="0"/>
          <w:sz w:val="24"/>
        </w:rPr>
      </w:pPr>
    </w:p>
    <w:p>
      <w:pPr>
        <w:spacing w:line="320" w:lineRule="exact"/>
        <w:ind w:left="420"/>
        <w:rPr>
          <w:rFonts w:ascii="宋体" w:hAnsi="宋体"/>
          <w:kern w:val="0"/>
          <w:sz w:val="24"/>
        </w:rPr>
      </w:pPr>
    </w:p>
    <w:p>
      <w:pPr>
        <w:spacing w:line="320" w:lineRule="exact"/>
        <w:ind w:left="420"/>
        <w:rPr>
          <w:rFonts w:ascii="宋体" w:hAnsi="宋体"/>
          <w:sz w:val="24"/>
          <w:u w:val="single"/>
        </w:rPr>
      </w:pPr>
      <w:r>
        <w:rPr>
          <w:rFonts w:hint="eastAsia" w:ascii="宋体" w:hAnsi="宋体"/>
          <w:kern w:val="0"/>
          <w:sz w:val="24"/>
        </w:rPr>
        <w:t>供应商</w:t>
      </w:r>
      <w:r>
        <w:rPr>
          <w:rFonts w:hint="eastAsia" w:ascii="宋体" w:hAnsi="宋体"/>
          <w:sz w:val="24"/>
        </w:rPr>
        <w:t>名称（盖章）：</w:t>
      </w:r>
    </w:p>
    <w:p>
      <w:pPr>
        <w:spacing w:line="320" w:lineRule="exact"/>
        <w:ind w:left="420"/>
        <w:rPr>
          <w:rFonts w:ascii="宋体" w:hAnsi="宋体"/>
          <w:sz w:val="24"/>
        </w:rPr>
      </w:pPr>
    </w:p>
    <w:p>
      <w:pPr>
        <w:spacing w:line="320" w:lineRule="exact"/>
        <w:ind w:firstLine="435"/>
        <w:rPr>
          <w:rFonts w:ascii="宋体" w:hAnsi="宋体"/>
          <w:sz w:val="24"/>
        </w:rPr>
      </w:pPr>
      <w:r>
        <w:rPr>
          <w:rFonts w:hint="eastAsia" w:ascii="宋体" w:hAnsi="宋体"/>
          <w:kern w:val="0"/>
          <w:sz w:val="24"/>
        </w:rPr>
        <w:t>供应商</w:t>
      </w:r>
      <w:r>
        <w:rPr>
          <w:rFonts w:hint="eastAsia" w:ascii="宋体" w:hAnsi="宋体"/>
          <w:sz w:val="24"/>
        </w:rPr>
        <w:t>代表签字或盖章：</w:t>
      </w:r>
    </w:p>
    <w:p>
      <w:pPr>
        <w:spacing w:line="320" w:lineRule="exact"/>
        <w:ind w:firstLine="435"/>
        <w:rPr>
          <w:rFonts w:ascii="宋体" w:hAnsi="宋体"/>
          <w:sz w:val="24"/>
        </w:rPr>
      </w:pPr>
    </w:p>
    <w:p>
      <w:pPr>
        <w:spacing w:line="320" w:lineRule="exact"/>
        <w:ind w:firstLine="435"/>
        <w:rPr>
          <w:rFonts w:ascii="宋体" w:hAnsi="宋体"/>
          <w:sz w:val="24"/>
        </w:rPr>
      </w:pPr>
      <w:r>
        <w:rPr>
          <w:rFonts w:hint="eastAsia" w:ascii="宋体" w:hAnsi="宋体"/>
          <w:sz w:val="24"/>
        </w:rPr>
        <w:t>职        务：</w:t>
      </w:r>
    </w:p>
    <w:p>
      <w:pPr>
        <w:spacing w:line="320" w:lineRule="exact"/>
        <w:rPr>
          <w:rFonts w:ascii="宋体" w:hAnsi="宋体"/>
          <w:sz w:val="24"/>
        </w:rPr>
      </w:pPr>
    </w:p>
    <w:p>
      <w:pPr>
        <w:spacing w:line="320" w:lineRule="exact"/>
        <w:ind w:firstLine="435"/>
        <w:rPr>
          <w:rFonts w:ascii="宋体" w:hAnsi="宋体"/>
          <w:sz w:val="24"/>
        </w:rPr>
      </w:pPr>
      <w:r>
        <w:rPr>
          <w:rFonts w:hint="eastAsia" w:ascii="宋体" w:hAnsi="宋体"/>
          <w:sz w:val="24"/>
        </w:rPr>
        <w:t>日        期：</w:t>
      </w:r>
    </w:p>
    <w:p>
      <w:pPr>
        <w:spacing w:line="320" w:lineRule="exact"/>
        <w:ind w:firstLine="435"/>
        <w:rPr>
          <w:rFonts w:ascii="宋体" w:hAnsi="宋体"/>
          <w:sz w:val="24"/>
        </w:rPr>
      </w:pPr>
    </w:p>
    <w:p>
      <w:pPr>
        <w:spacing w:line="360" w:lineRule="auto"/>
        <w:rPr>
          <w:rFonts w:ascii="宋体" w:hAnsi="宋体"/>
          <w:b/>
          <w:szCs w:val="21"/>
        </w:rPr>
      </w:pPr>
      <w:r>
        <w:rPr>
          <w:rFonts w:hint="eastAsia" w:ascii="宋体" w:hAnsi="宋体"/>
          <w:b/>
          <w:szCs w:val="21"/>
        </w:rPr>
        <w:t>说明：</w:t>
      </w:r>
    </w:p>
    <w:p>
      <w:pPr>
        <w:spacing w:line="360" w:lineRule="auto"/>
        <w:ind w:firstLine="315" w:firstLineChars="150"/>
        <w:rPr>
          <w:rFonts w:ascii="宋体" w:hAnsi="宋体"/>
          <w:b/>
          <w:i/>
          <w:szCs w:val="21"/>
          <w:u w:val="single"/>
        </w:rPr>
      </w:pPr>
      <w:r>
        <w:rPr>
          <w:rFonts w:ascii="宋体" w:hAnsi="宋体"/>
          <w:szCs w:val="21"/>
        </w:rPr>
        <w:t xml:space="preserve"> 1</w:t>
      </w:r>
      <w:r>
        <w:rPr>
          <w:rFonts w:hint="eastAsia" w:ascii="宋体" w:hAnsi="宋体"/>
          <w:szCs w:val="21"/>
        </w:rPr>
        <w:t>、报价一经涂改，应在涂改处加盖单位公章或者由法定代表人或授权委托人签字或盖章，否则其谈判作无效标处理；</w:t>
      </w:r>
    </w:p>
    <w:p>
      <w:pPr>
        <w:spacing w:line="360" w:lineRule="atLeast"/>
        <w:outlineLvl w:val="1"/>
        <w:rPr>
          <w:rFonts w:hAnsi="宋体"/>
          <w:b/>
          <w:color w:val="000000"/>
          <w:sz w:val="24"/>
        </w:rPr>
      </w:pPr>
      <w:r>
        <w:rPr>
          <w:rFonts w:ascii="宋体" w:hAnsi="宋体"/>
          <w:szCs w:val="21"/>
        </w:rPr>
        <w:br w:type="page"/>
      </w:r>
      <w:bookmarkStart w:id="117" w:name="_Toc22891"/>
      <w:r>
        <w:rPr>
          <w:rFonts w:ascii="宋体" w:hAnsi="宋体"/>
          <w:b/>
          <w:sz w:val="28"/>
        </w:rPr>
        <w:t>附件</w:t>
      </w:r>
      <w:r>
        <w:rPr>
          <w:rFonts w:hint="eastAsia" w:ascii="宋体" w:hAnsi="宋体"/>
          <w:b/>
          <w:sz w:val="28"/>
        </w:rPr>
        <w:t>2</w:t>
      </w:r>
      <w:r>
        <w:rPr>
          <w:rFonts w:ascii="宋体" w:hAnsi="宋体"/>
          <w:b/>
          <w:sz w:val="28"/>
        </w:rPr>
        <w:t>：</w:t>
      </w:r>
      <w:bookmarkEnd w:id="117"/>
    </w:p>
    <w:p>
      <w:pPr>
        <w:ind w:right="-110"/>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ind w:right="-110"/>
        <w:jc w:val="center"/>
        <w:rPr>
          <w:rFonts w:ascii="宋体" w:hAnsi="宋体"/>
          <w:b/>
          <w:sz w:val="32"/>
          <w:szCs w:val="32"/>
        </w:rPr>
      </w:pPr>
    </w:p>
    <w:p>
      <w:pPr>
        <w:pStyle w:val="20"/>
        <w:spacing w:line="360" w:lineRule="auto"/>
        <w:ind w:firstLine="480" w:firstLineChars="200"/>
        <w:rPr>
          <w:rFonts w:ascii="宋体" w:hAnsi="宋体"/>
          <w:spacing w:val="6"/>
          <w:sz w:val="24"/>
        </w:rPr>
      </w:pPr>
      <w:r>
        <w:rPr>
          <w:rFonts w:hint="eastAsia" w:ascii="宋体"/>
          <w:sz w:val="24"/>
          <w:lang w:val="zh-CN"/>
        </w:rPr>
        <w:t>本公司郑重声明，根据《政府采购促进中小企业发展暂行办法》（财库[2011]181号）的规定，本公司为______（请填写：小型、微型）企业。即，本公司同时满足以下条件：</w:t>
      </w:r>
    </w:p>
    <w:p>
      <w:pPr>
        <w:pStyle w:val="20"/>
        <w:spacing w:line="360" w:lineRule="auto"/>
        <w:ind w:firstLine="480" w:firstLineChars="200"/>
        <w:rPr>
          <w:rFonts w:ascii="宋体" w:hAnsi="宋体"/>
          <w:spacing w:val="6"/>
          <w:sz w:val="24"/>
        </w:rPr>
      </w:pPr>
      <w:r>
        <w:rPr>
          <w:rFonts w:hint="eastAsia" w:ascii="宋体"/>
          <w:sz w:val="24"/>
          <w:lang w:val="zh-CN"/>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u w:val="dash"/>
        </w:rPr>
        <w:t>（此处填写从业人员和营业收入的具体数据）</w:t>
      </w:r>
      <w:r>
        <w:rPr>
          <w:rFonts w:hint="eastAsia" w:ascii="宋体" w:hAnsi="宋体"/>
          <w:spacing w:val="6"/>
          <w:sz w:val="24"/>
        </w:rPr>
        <w:t>，</w:t>
      </w:r>
      <w:r>
        <w:rPr>
          <w:rFonts w:hint="eastAsia" w:ascii="宋体"/>
          <w:sz w:val="24"/>
          <w:lang w:val="zh-CN"/>
        </w:rPr>
        <w:t>为______（请填写：小型、微型）企业。</w:t>
      </w:r>
    </w:p>
    <w:p>
      <w:pPr>
        <w:pStyle w:val="20"/>
        <w:spacing w:line="360" w:lineRule="auto"/>
        <w:ind w:firstLine="480" w:firstLineChars="200"/>
        <w:rPr>
          <w:rFonts w:ascii="宋体"/>
          <w:sz w:val="24"/>
          <w:lang w:val="zh-CN"/>
        </w:rPr>
      </w:pPr>
      <w:r>
        <w:rPr>
          <w:rFonts w:hint="eastAsia" w:ascii="宋体"/>
          <w:sz w:val="24"/>
          <w:lang w:val="zh-CN"/>
        </w:rPr>
        <w:t>2.本公司参加三门县公共资源交易中心组织</w:t>
      </w:r>
      <w:r>
        <w:rPr>
          <w:rFonts w:hint="eastAsia" w:ascii="宋体" w:hAnsi="宋体"/>
          <w:spacing w:val="6"/>
          <w:sz w:val="24"/>
        </w:rPr>
        <w:t>的</w:t>
      </w:r>
      <w:r>
        <w:rPr>
          <w:rFonts w:hint="eastAsia" w:ascii="宋体"/>
          <w:sz w:val="24"/>
          <w:lang w:val="zh-CN"/>
        </w:rPr>
        <w:t>采购项目（项目编号：</w:t>
      </w:r>
      <w:r>
        <w:rPr>
          <w:rFonts w:hint="eastAsia" w:ascii="宋体" w:hAnsi="宋体"/>
          <w:spacing w:val="6"/>
          <w:sz w:val="24"/>
        </w:rPr>
        <w:t xml:space="preserve"> ）</w:t>
      </w:r>
      <w:r>
        <w:rPr>
          <w:rFonts w:hint="eastAsia" w:ascii="宋体"/>
          <w:sz w:val="24"/>
          <w:lang w:val="zh-CN"/>
        </w:rPr>
        <w:t>采购活动提供本企业制造的货物，由本企业承担工程、提供服务，或者提供其他</w:t>
      </w:r>
      <w:r>
        <w:rPr>
          <w:rFonts w:hint="eastAsia" w:ascii="宋体" w:hAnsi="宋体"/>
          <w:spacing w:val="6"/>
          <w:sz w:val="24"/>
        </w:rPr>
        <w:t>______</w:t>
      </w:r>
      <w:r>
        <w:rPr>
          <w:rFonts w:hint="eastAsia" w:ascii="宋体"/>
          <w:sz w:val="24"/>
          <w:lang w:val="zh-CN"/>
        </w:rPr>
        <w:t>（请填写：小型、微型）企业制造的货物。本条所称货物不包括使用大、中型企业注册商标的货物。</w:t>
      </w:r>
    </w:p>
    <w:p>
      <w:pPr>
        <w:pStyle w:val="20"/>
        <w:spacing w:line="360" w:lineRule="auto"/>
        <w:ind w:firstLine="480" w:firstLineChars="200"/>
        <w:rPr>
          <w:rFonts w:ascii="宋体" w:hAnsi="宋体"/>
          <w:spacing w:val="6"/>
          <w:sz w:val="24"/>
        </w:rPr>
      </w:pPr>
      <w:r>
        <w:rPr>
          <w:rFonts w:hint="eastAsia" w:ascii="宋体"/>
          <w:sz w:val="24"/>
          <w:lang w:val="zh-CN"/>
        </w:rPr>
        <w:t>本公司对上述声明的真实性负责。如有虚假，将依法承担相应责任。</w:t>
      </w:r>
    </w:p>
    <w:p>
      <w:pPr>
        <w:pStyle w:val="20"/>
        <w:spacing w:line="360" w:lineRule="auto"/>
        <w:ind w:firstLine="504" w:firstLineChars="200"/>
        <w:rPr>
          <w:rFonts w:ascii="宋体" w:hAnsi="宋体"/>
          <w:spacing w:val="6"/>
          <w:sz w:val="24"/>
        </w:rPr>
      </w:pPr>
    </w:p>
    <w:p>
      <w:pPr>
        <w:spacing w:line="360" w:lineRule="auto"/>
        <w:ind w:firstLine="4080" w:firstLineChars="1700"/>
        <w:rPr>
          <w:rFonts w:ascii="宋体"/>
          <w:sz w:val="24"/>
          <w:lang w:val="zh-CN"/>
        </w:rPr>
      </w:pPr>
      <w:r>
        <w:rPr>
          <w:rFonts w:hint="eastAsia" w:ascii="宋体"/>
          <w:sz w:val="24"/>
          <w:lang w:val="zh-CN"/>
        </w:rPr>
        <w:t>投 标 人（盖单位公章）：</w:t>
      </w:r>
    </w:p>
    <w:p>
      <w:pPr>
        <w:spacing w:line="360" w:lineRule="auto"/>
        <w:ind w:firstLine="6120" w:firstLineChars="2550"/>
        <w:rPr>
          <w:rFonts w:ascii="宋体"/>
          <w:sz w:val="24"/>
          <w:lang w:val="zh-CN"/>
        </w:rPr>
      </w:pPr>
      <w:r>
        <w:rPr>
          <w:rFonts w:hint="eastAsia" w:ascii="宋体"/>
          <w:sz w:val="24"/>
          <w:lang w:val="zh-CN"/>
        </w:rPr>
        <w:t>日期：</w:t>
      </w:r>
    </w:p>
    <w:p>
      <w:pPr>
        <w:pStyle w:val="20"/>
        <w:spacing w:line="360" w:lineRule="auto"/>
        <w:rPr>
          <w:rFonts w:ascii="宋体" w:hAnsi="宋体"/>
          <w:sz w:val="24"/>
        </w:rPr>
      </w:pPr>
    </w:p>
    <w:p>
      <w:pPr>
        <w:pStyle w:val="20"/>
        <w:spacing w:line="360" w:lineRule="auto"/>
        <w:jc w:val="center"/>
        <w:rPr>
          <w:rFonts w:ascii="宋体" w:hAnsi="宋体"/>
          <w:b/>
          <w:spacing w:val="6"/>
          <w:sz w:val="32"/>
          <w:szCs w:val="32"/>
        </w:rPr>
      </w:pPr>
      <w:r>
        <w:rPr>
          <w:rFonts w:hint="eastAsia" w:ascii="宋体" w:hAnsi="宋体"/>
          <w:b/>
          <w:sz w:val="32"/>
          <w:szCs w:val="32"/>
          <w:lang w:val="en-GB"/>
        </w:rPr>
        <w:t>小微企业声明函（制造商）</w:t>
      </w:r>
    </w:p>
    <w:p>
      <w:pPr>
        <w:pStyle w:val="20"/>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20"/>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20"/>
        <w:spacing w:line="360" w:lineRule="auto"/>
        <w:ind w:firstLine="504" w:firstLineChars="200"/>
        <w:rPr>
          <w:rFonts w:ascii="宋体" w:hAnsi="宋体"/>
          <w:spacing w:val="6"/>
          <w:sz w:val="24"/>
        </w:rPr>
      </w:pPr>
    </w:p>
    <w:p>
      <w:pPr>
        <w:pStyle w:val="20"/>
        <w:spacing w:line="360" w:lineRule="auto"/>
        <w:ind w:firstLine="504" w:firstLineChars="200"/>
        <w:jc w:val="center"/>
        <w:rPr>
          <w:rFonts w:ascii="宋体" w:hAnsi="宋体"/>
          <w:spacing w:val="6"/>
          <w:sz w:val="24"/>
        </w:rPr>
      </w:pPr>
      <w:r>
        <w:rPr>
          <w:rFonts w:hint="eastAsia" w:ascii="宋体" w:hAnsi="宋体"/>
          <w:spacing w:val="6"/>
          <w:sz w:val="24"/>
        </w:rPr>
        <w:t xml:space="preserve">        企业名称（盖单位公章）：</w:t>
      </w:r>
    </w:p>
    <w:p>
      <w:pPr>
        <w:pStyle w:val="20"/>
        <w:spacing w:line="360" w:lineRule="auto"/>
        <w:ind w:right="360" w:firstLine="6000" w:firstLineChars="2500"/>
        <w:rPr>
          <w:rFonts w:ascii="宋体" w:hAnsi="宋体"/>
          <w:sz w:val="24"/>
        </w:rPr>
      </w:pPr>
      <w:r>
        <w:rPr>
          <w:rFonts w:hint="eastAsia" w:ascii="宋体" w:hAnsi="宋体"/>
          <w:sz w:val="24"/>
        </w:rPr>
        <w:t>日期 ：</w:t>
      </w:r>
    </w:p>
    <w:p>
      <w:pPr>
        <w:spacing w:line="360" w:lineRule="atLeast"/>
        <w:outlineLvl w:val="1"/>
        <w:rPr>
          <w:rFonts w:hAnsi="宋体"/>
          <w:b/>
          <w:color w:val="000000"/>
          <w:sz w:val="24"/>
        </w:rPr>
      </w:pPr>
      <w:r>
        <w:rPr>
          <w:rFonts w:ascii="宋体" w:hAnsi="宋体"/>
          <w:sz w:val="24"/>
        </w:rPr>
        <w:br w:type="page"/>
      </w:r>
      <w:bookmarkStart w:id="118" w:name="_Toc31304"/>
      <w:r>
        <w:rPr>
          <w:rFonts w:ascii="宋体" w:hAnsi="宋体"/>
          <w:b/>
          <w:sz w:val="28"/>
        </w:rPr>
        <w:t>附件</w:t>
      </w:r>
      <w:r>
        <w:rPr>
          <w:rFonts w:hint="eastAsia" w:ascii="宋体" w:hAnsi="宋体"/>
          <w:b/>
          <w:sz w:val="28"/>
        </w:rPr>
        <w:t>3</w:t>
      </w:r>
      <w:r>
        <w:rPr>
          <w:rFonts w:ascii="宋体" w:hAnsi="宋体"/>
          <w:b/>
          <w:sz w:val="28"/>
        </w:rPr>
        <w:t>：</w:t>
      </w:r>
      <w:bookmarkEnd w:id="118"/>
    </w:p>
    <w:p>
      <w:pPr>
        <w:pStyle w:val="21"/>
        <w:jc w:val="center"/>
        <w:rPr>
          <w:rFonts w:ascii="宋体" w:hAnsi="宋体"/>
          <w:b/>
          <w:sz w:val="32"/>
          <w:szCs w:val="32"/>
          <w:lang w:val="en-GB"/>
        </w:rPr>
      </w:pPr>
      <w:r>
        <w:rPr>
          <w:rFonts w:hint="eastAsia" w:ascii="宋体" w:hAnsi="宋体"/>
          <w:b/>
          <w:sz w:val="32"/>
          <w:szCs w:val="32"/>
          <w:lang w:val="en-GB"/>
        </w:rPr>
        <w:t>产品适用政府采购政策情况表</w:t>
      </w:r>
    </w:p>
    <w:p>
      <w:pPr>
        <w:pStyle w:val="21"/>
        <w:jc w:val="center"/>
        <w:rPr>
          <w:rFonts w:ascii="宋体" w:hAnsi="宋体"/>
          <w:b/>
          <w:sz w:val="36"/>
          <w:szCs w:val="36"/>
          <w:lang w:val="en-GB"/>
        </w:rPr>
      </w:pPr>
    </w:p>
    <w:tbl>
      <w:tblPr>
        <w:tblStyle w:val="15"/>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2053"/>
        <w:gridCol w:w="1758"/>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21"/>
              <w:tabs>
                <w:tab w:val="left" w:pos="1260"/>
              </w:tabs>
              <w:jc w:val="center"/>
              <w:rPr>
                <w:rFonts w:ascii="宋体" w:hAnsi="宋体"/>
                <w:sz w:val="24"/>
                <w:lang w:val="en-GB"/>
              </w:rPr>
            </w:pPr>
            <w:r>
              <w:rPr>
                <w:rFonts w:hint="eastAsia" w:ascii="宋体" w:hAnsi="宋体"/>
                <w:sz w:val="24"/>
                <w:lang w:val="en-GB"/>
              </w:rPr>
              <w:t>小微企业扶持政策</w:t>
            </w:r>
          </w:p>
        </w:tc>
        <w:tc>
          <w:tcPr>
            <w:tcW w:w="8111" w:type="dxa"/>
            <w:gridSpan w:val="4"/>
            <w:vAlign w:val="center"/>
          </w:tcPr>
          <w:tbl>
            <w:tblPr>
              <w:tblStyle w:val="15"/>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21"/>
                    <w:tabs>
                      <w:tab w:val="left" w:pos="1260"/>
                    </w:tabs>
                    <w:spacing w:line="360" w:lineRule="auto"/>
                    <w:rPr>
                      <w:rFonts w:ascii="宋体" w:hAnsi="宋体"/>
                      <w:sz w:val="24"/>
                      <w:lang w:val="en-GB"/>
                    </w:rPr>
                  </w:pPr>
                  <w:r>
                    <w:rPr>
                      <w:rFonts w:hint="eastAsia" w:ascii="宋体" w:hAnsi="宋体"/>
                      <w:sz w:val="24"/>
                      <w:lang w:val="en-GB"/>
                    </w:rPr>
                    <w:t>如属所列情形的，请在括号内打“√”，并按下表要求列明具体产品：</w:t>
                  </w:r>
                </w:p>
                <w:p>
                  <w:pPr>
                    <w:pStyle w:val="21"/>
                    <w:tabs>
                      <w:tab w:val="left" w:pos="1260"/>
                    </w:tabs>
                    <w:spacing w:line="360" w:lineRule="auto"/>
                    <w:rPr>
                      <w:rFonts w:ascii="宋体" w:hAnsi="宋体"/>
                      <w:sz w:val="24"/>
                    </w:rPr>
                  </w:pPr>
                  <w:r>
                    <w:rPr>
                      <w:rFonts w:hint="eastAsia" w:ascii="宋体" w:hAnsi="宋体"/>
                      <w:sz w:val="24"/>
                    </w:rPr>
                    <w:t>（  ）小型、微型企业投标且提供本企业制造的产品。</w:t>
                  </w:r>
                </w:p>
                <w:p>
                  <w:pPr>
                    <w:pStyle w:val="21"/>
                    <w:tabs>
                      <w:tab w:val="left" w:pos="1260"/>
                    </w:tabs>
                    <w:spacing w:line="360" w:lineRule="auto"/>
                    <w:rPr>
                      <w:rFonts w:ascii="宋体" w:hAnsi="宋体"/>
                      <w:sz w:val="24"/>
                    </w:rPr>
                  </w:pPr>
                  <w:r>
                    <w:rPr>
                      <w:rFonts w:hint="eastAsia" w:ascii="宋体" w:hAnsi="宋体"/>
                      <w:sz w:val="24"/>
                    </w:rPr>
                    <w:t>（  ）小型、微型企业投标且提供其它小型、微型企业产品。</w:t>
                  </w:r>
                </w:p>
              </w:tc>
            </w:tr>
          </w:tbl>
          <w:p>
            <w:pPr>
              <w:pStyle w:val="21"/>
              <w:tabs>
                <w:tab w:val="left" w:pos="12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21"/>
              <w:tabs>
                <w:tab w:val="left" w:pos="1260"/>
              </w:tabs>
              <w:jc w:val="center"/>
              <w:rPr>
                <w:rFonts w:ascii="宋体" w:hAnsi="宋体"/>
                <w:sz w:val="24"/>
                <w:lang w:val="en-GB"/>
              </w:rPr>
            </w:pPr>
          </w:p>
        </w:tc>
        <w:tc>
          <w:tcPr>
            <w:tcW w:w="2679" w:type="dxa"/>
            <w:vAlign w:val="center"/>
          </w:tcPr>
          <w:p>
            <w:pPr>
              <w:pStyle w:val="21"/>
              <w:tabs>
                <w:tab w:val="left" w:pos="1260"/>
              </w:tabs>
              <w:jc w:val="center"/>
              <w:rPr>
                <w:rFonts w:ascii="宋体" w:hAnsi="宋体"/>
                <w:sz w:val="24"/>
                <w:lang w:val="en-GB"/>
              </w:rPr>
            </w:pPr>
            <w:r>
              <w:rPr>
                <w:rFonts w:hint="eastAsia" w:ascii="宋体" w:hAnsi="宋体"/>
                <w:sz w:val="24"/>
                <w:lang w:val="en-GB"/>
              </w:rPr>
              <w:t>产品名称（品牌、型号）</w:t>
            </w:r>
          </w:p>
        </w:tc>
        <w:tc>
          <w:tcPr>
            <w:tcW w:w="2053" w:type="dxa"/>
            <w:vAlign w:val="center"/>
          </w:tcPr>
          <w:p>
            <w:pPr>
              <w:pStyle w:val="21"/>
              <w:tabs>
                <w:tab w:val="left" w:pos="1260"/>
              </w:tabs>
              <w:jc w:val="center"/>
              <w:rPr>
                <w:rFonts w:ascii="宋体" w:hAnsi="宋体"/>
                <w:sz w:val="24"/>
                <w:lang w:val="en-GB"/>
              </w:rPr>
            </w:pPr>
            <w:r>
              <w:rPr>
                <w:rFonts w:hint="eastAsia" w:ascii="宋体" w:hAnsi="宋体"/>
                <w:sz w:val="24"/>
                <w:lang w:val="en-GB"/>
              </w:rPr>
              <w:t>制造商</w:t>
            </w:r>
          </w:p>
        </w:tc>
        <w:tc>
          <w:tcPr>
            <w:tcW w:w="1758" w:type="dxa"/>
            <w:vAlign w:val="center"/>
          </w:tcPr>
          <w:p>
            <w:pPr>
              <w:pStyle w:val="21"/>
              <w:tabs>
                <w:tab w:val="left" w:pos="1260"/>
              </w:tabs>
              <w:jc w:val="center"/>
              <w:rPr>
                <w:rFonts w:ascii="宋体" w:hAnsi="宋体"/>
                <w:sz w:val="24"/>
                <w:lang w:val="en-GB"/>
              </w:rPr>
            </w:pPr>
            <w:r>
              <w:rPr>
                <w:rFonts w:hint="eastAsia" w:ascii="宋体" w:hAnsi="宋体"/>
                <w:sz w:val="24"/>
                <w:lang w:val="en-GB"/>
              </w:rPr>
              <w:t>制造商</w:t>
            </w:r>
          </w:p>
          <w:p>
            <w:pPr>
              <w:pStyle w:val="21"/>
              <w:tabs>
                <w:tab w:val="left" w:pos="1260"/>
              </w:tabs>
              <w:jc w:val="center"/>
              <w:rPr>
                <w:rFonts w:ascii="宋体" w:hAnsi="宋体"/>
                <w:sz w:val="24"/>
                <w:lang w:val="en-GB"/>
              </w:rPr>
            </w:pPr>
            <w:r>
              <w:rPr>
                <w:rFonts w:hint="eastAsia" w:ascii="宋体" w:hAnsi="宋体"/>
                <w:sz w:val="24"/>
                <w:lang w:val="en-GB"/>
              </w:rPr>
              <w:t>企业类型</w:t>
            </w:r>
          </w:p>
        </w:tc>
        <w:tc>
          <w:tcPr>
            <w:tcW w:w="1621" w:type="dxa"/>
            <w:vAlign w:val="center"/>
          </w:tcPr>
          <w:p>
            <w:pPr>
              <w:pStyle w:val="21"/>
              <w:tabs>
                <w:tab w:val="left" w:pos="1260"/>
              </w:tabs>
              <w:jc w:val="center"/>
              <w:rPr>
                <w:rFonts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21"/>
              <w:tabs>
                <w:tab w:val="left" w:pos="1260"/>
              </w:tabs>
              <w:jc w:val="center"/>
              <w:rPr>
                <w:rFonts w:ascii="宋体" w:hAnsi="宋体"/>
                <w:sz w:val="24"/>
                <w:lang w:val="en-GB"/>
              </w:rPr>
            </w:pPr>
          </w:p>
        </w:tc>
        <w:tc>
          <w:tcPr>
            <w:tcW w:w="2679" w:type="dxa"/>
            <w:vAlign w:val="center"/>
          </w:tcPr>
          <w:p>
            <w:pPr>
              <w:pStyle w:val="21"/>
              <w:tabs>
                <w:tab w:val="left" w:pos="1260"/>
              </w:tabs>
              <w:jc w:val="center"/>
              <w:rPr>
                <w:rFonts w:ascii="宋体" w:hAnsi="宋体"/>
                <w:sz w:val="24"/>
                <w:lang w:val="en-GB"/>
              </w:rPr>
            </w:pPr>
          </w:p>
        </w:tc>
        <w:tc>
          <w:tcPr>
            <w:tcW w:w="2053" w:type="dxa"/>
            <w:vAlign w:val="center"/>
          </w:tcPr>
          <w:p>
            <w:pPr>
              <w:pStyle w:val="21"/>
              <w:tabs>
                <w:tab w:val="left" w:pos="1260"/>
              </w:tabs>
              <w:jc w:val="center"/>
              <w:rPr>
                <w:rFonts w:ascii="宋体" w:hAnsi="宋体"/>
                <w:sz w:val="24"/>
                <w:lang w:val="en-GB"/>
              </w:rPr>
            </w:pPr>
          </w:p>
        </w:tc>
        <w:tc>
          <w:tcPr>
            <w:tcW w:w="1758" w:type="dxa"/>
            <w:vAlign w:val="center"/>
          </w:tcPr>
          <w:p>
            <w:pPr>
              <w:pStyle w:val="21"/>
              <w:tabs>
                <w:tab w:val="left" w:pos="1260"/>
              </w:tabs>
              <w:jc w:val="center"/>
              <w:rPr>
                <w:rFonts w:ascii="宋体" w:hAnsi="宋体"/>
                <w:sz w:val="24"/>
                <w:lang w:val="en-GB"/>
              </w:rPr>
            </w:pPr>
          </w:p>
        </w:tc>
        <w:tc>
          <w:tcPr>
            <w:tcW w:w="1621" w:type="dxa"/>
            <w:vAlign w:val="center"/>
          </w:tcPr>
          <w:p>
            <w:pPr>
              <w:pStyle w:val="21"/>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21"/>
              <w:tabs>
                <w:tab w:val="left" w:pos="1260"/>
              </w:tabs>
              <w:jc w:val="center"/>
              <w:rPr>
                <w:rFonts w:ascii="宋体" w:hAnsi="宋体"/>
                <w:sz w:val="24"/>
                <w:lang w:val="en-GB"/>
              </w:rPr>
            </w:pPr>
          </w:p>
        </w:tc>
        <w:tc>
          <w:tcPr>
            <w:tcW w:w="2679" w:type="dxa"/>
            <w:vAlign w:val="center"/>
          </w:tcPr>
          <w:p>
            <w:pPr>
              <w:pStyle w:val="21"/>
              <w:tabs>
                <w:tab w:val="left" w:pos="1260"/>
              </w:tabs>
              <w:jc w:val="center"/>
              <w:rPr>
                <w:rFonts w:ascii="宋体" w:hAnsi="宋体"/>
                <w:sz w:val="24"/>
                <w:lang w:val="en-GB"/>
              </w:rPr>
            </w:pPr>
          </w:p>
        </w:tc>
        <w:tc>
          <w:tcPr>
            <w:tcW w:w="2053" w:type="dxa"/>
            <w:vAlign w:val="center"/>
          </w:tcPr>
          <w:p>
            <w:pPr>
              <w:pStyle w:val="21"/>
              <w:tabs>
                <w:tab w:val="left" w:pos="1260"/>
              </w:tabs>
              <w:jc w:val="center"/>
              <w:rPr>
                <w:rFonts w:ascii="宋体" w:hAnsi="宋体"/>
                <w:sz w:val="24"/>
                <w:lang w:val="en-GB"/>
              </w:rPr>
            </w:pPr>
          </w:p>
        </w:tc>
        <w:tc>
          <w:tcPr>
            <w:tcW w:w="1758" w:type="dxa"/>
            <w:vAlign w:val="center"/>
          </w:tcPr>
          <w:p>
            <w:pPr>
              <w:pStyle w:val="21"/>
              <w:tabs>
                <w:tab w:val="left" w:pos="1260"/>
              </w:tabs>
              <w:jc w:val="center"/>
              <w:rPr>
                <w:rFonts w:ascii="宋体" w:hAnsi="宋体"/>
                <w:sz w:val="24"/>
                <w:lang w:val="en-GB"/>
              </w:rPr>
            </w:pPr>
          </w:p>
        </w:tc>
        <w:tc>
          <w:tcPr>
            <w:tcW w:w="1621" w:type="dxa"/>
            <w:vAlign w:val="center"/>
          </w:tcPr>
          <w:p>
            <w:pPr>
              <w:pStyle w:val="21"/>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21"/>
              <w:tabs>
                <w:tab w:val="left" w:pos="1260"/>
              </w:tabs>
              <w:jc w:val="center"/>
              <w:rPr>
                <w:rFonts w:ascii="宋体" w:hAnsi="宋体"/>
                <w:sz w:val="24"/>
                <w:lang w:val="en-GB"/>
              </w:rPr>
            </w:pPr>
          </w:p>
        </w:tc>
        <w:tc>
          <w:tcPr>
            <w:tcW w:w="2679" w:type="dxa"/>
            <w:vAlign w:val="center"/>
          </w:tcPr>
          <w:p>
            <w:pPr>
              <w:pStyle w:val="21"/>
              <w:tabs>
                <w:tab w:val="left" w:pos="1260"/>
              </w:tabs>
              <w:jc w:val="center"/>
              <w:rPr>
                <w:rFonts w:ascii="宋体" w:hAnsi="宋体"/>
                <w:sz w:val="24"/>
                <w:lang w:val="en-GB"/>
              </w:rPr>
            </w:pPr>
          </w:p>
        </w:tc>
        <w:tc>
          <w:tcPr>
            <w:tcW w:w="2053" w:type="dxa"/>
            <w:vAlign w:val="center"/>
          </w:tcPr>
          <w:p>
            <w:pPr>
              <w:pStyle w:val="21"/>
              <w:tabs>
                <w:tab w:val="left" w:pos="1260"/>
              </w:tabs>
              <w:jc w:val="center"/>
              <w:rPr>
                <w:rFonts w:ascii="宋体" w:hAnsi="宋体"/>
                <w:sz w:val="24"/>
                <w:lang w:val="en-GB"/>
              </w:rPr>
            </w:pPr>
          </w:p>
        </w:tc>
        <w:tc>
          <w:tcPr>
            <w:tcW w:w="1758" w:type="dxa"/>
            <w:vAlign w:val="center"/>
          </w:tcPr>
          <w:p>
            <w:pPr>
              <w:pStyle w:val="21"/>
              <w:tabs>
                <w:tab w:val="left" w:pos="1260"/>
              </w:tabs>
              <w:jc w:val="center"/>
              <w:rPr>
                <w:rFonts w:ascii="宋体" w:hAnsi="宋体"/>
                <w:sz w:val="24"/>
                <w:lang w:val="en-GB"/>
              </w:rPr>
            </w:pPr>
          </w:p>
        </w:tc>
        <w:tc>
          <w:tcPr>
            <w:tcW w:w="1621" w:type="dxa"/>
            <w:vAlign w:val="center"/>
          </w:tcPr>
          <w:p>
            <w:pPr>
              <w:pStyle w:val="21"/>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21"/>
              <w:tabs>
                <w:tab w:val="left" w:pos="1260"/>
              </w:tabs>
              <w:jc w:val="center"/>
              <w:rPr>
                <w:rFonts w:ascii="宋体" w:hAnsi="宋体"/>
                <w:sz w:val="24"/>
                <w:lang w:val="en-GB"/>
              </w:rPr>
            </w:pPr>
          </w:p>
        </w:tc>
        <w:tc>
          <w:tcPr>
            <w:tcW w:w="6490" w:type="dxa"/>
            <w:gridSpan w:val="3"/>
            <w:vAlign w:val="center"/>
          </w:tcPr>
          <w:p>
            <w:pPr>
              <w:pStyle w:val="21"/>
              <w:tabs>
                <w:tab w:val="left" w:pos="1260"/>
              </w:tabs>
              <w:jc w:val="center"/>
              <w:rPr>
                <w:rFonts w:ascii="宋体" w:hAnsi="宋体"/>
                <w:sz w:val="24"/>
                <w:lang w:val="en-GB"/>
              </w:rPr>
            </w:pPr>
            <w:r>
              <w:rPr>
                <w:rFonts w:hint="eastAsia" w:ascii="宋体" w:hAnsi="宋体"/>
                <w:sz w:val="24"/>
              </w:rPr>
              <w:t>小型、微型企业产品</w:t>
            </w:r>
            <w:r>
              <w:rPr>
                <w:rFonts w:hint="eastAsia" w:ascii="宋体" w:hAnsi="宋体"/>
                <w:sz w:val="24"/>
                <w:lang w:val="en-GB"/>
              </w:rPr>
              <w:t>金额合计（元）</w:t>
            </w:r>
          </w:p>
        </w:tc>
        <w:tc>
          <w:tcPr>
            <w:tcW w:w="1621" w:type="dxa"/>
            <w:vAlign w:val="center"/>
          </w:tcPr>
          <w:p>
            <w:pPr>
              <w:pStyle w:val="21"/>
              <w:tabs>
                <w:tab w:val="left" w:pos="1260"/>
              </w:tabs>
              <w:jc w:val="center"/>
              <w:rPr>
                <w:rFonts w:ascii="宋体" w:hAnsi="宋体"/>
                <w:sz w:val="24"/>
                <w:lang w:val="en-GB"/>
              </w:rPr>
            </w:pPr>
          </w:p>
        </w:tc>
      </w:tr>
    </w:tbl>
    <w:p>
      <w:pPr>
        <w:pStyle w:val="21"/>
        <w:spacing w:line="460" w:lineRule="exact"/>
        <w:ind w:left="718" w:hanging="718" w:hangingChars="342"/>
        <w:rPr>
          <w:rFonts w:ascii="宋体" w:hAnsi="宋体"/>
          <w:szCs w:val="21"/>
          <w:lang w:val="en-GB"/>
        </w:rPr>
      </w:pPr>
      <w:r>
        <w:rPr>
          <w:rFonts w:hint="eastAsia" w:ascii="宋体" w:hAnsi="宋体"/>
          <w:szCs w:val="21"/>
          <w:lang w:val="en-GB"/>
        </w:rPr>
        <w:t>填表要求：</w:t>
      </w:r>
    </w:p>
    <w:p>
      <w:pPr>
        <w:pStyle w:val="21"/>
        <w:widowControl/>
        <w:spacing w:line="360" w:lineRule="auto"/>
        <w:ind w:right="84" w:rightChars="40"/>
        <w:jc w:val="left"/>
        <w:rPr>
          <w:rFonts w:ascii="宋体" w:hAnsi="宋体"/>
          <w:szCs w:val="21"/>
          <w:lang w:val="en-GB"/>
        </w:rPr>
      </w:pPr>
      <w:r>
        <w:rPr>
          <w:rFonts w:hint="eastAsia" w:ascii="宋体" w:hAnsi="宋体"/>
          <w:szCs w:val="21"/>
          <w:lang w:val="en-GB"/>
        </w:rPr>
        <w:t>1.本表的产品名称、规格型号和品牌、金额要与《报价明细表》一致。</w:t>
      </w:r>
    </w:p>
    <w:p>
      <w:pPr>
        <w:pStyle w:val="21"/>
        <w:widowControl/>
        <w:spacing w:line="360" w:lineRule="auto"/>
        <w:ind w:right="84" w:rightChars="40"/>
        <w:jc w:val="left"/>
        <w:rPr>
          <w:rFonts w:ascii="宋体" w:hAnsi="宋体"/>
          <w:szCs w:val="21"/>
          <w:lang w:val="en-GB"/>
        </w:rPr>
      </w:pPr>
      <w:r>
        <w:rPr>
          <w:rFonts w:hint="eastAsia" w:ascii="宋体" w:hAnsi="宋体"/>
          <w:szCs w:val="21"/>
          <w:lang w:val="en-GB"/>
        </w:rPr>
        <w:t>2.制造商为小型或微型企业时，才需要填“制造商企业类型”栏，填写内容为“小型”或“微型”。</w:t>
      </w:r>
    </w:p>
    <w:p>
      <w:pPr>
        <w:pStyle w:val="20"/>
        <w:spacing w:line="360" w:lineRule="auto"/>
        <w:ind w:right="360"/>
        <w:jc w:val="left"/>
        <w:rPr>
          <w:rFonts w:ascii="宋体" w:hAnsi="宋体"/>
          <w:spacing w:val="6"/>
          <w:sz w:val="24"/>
        </w:rPr>
      </w:pPr>
      <w:r>
        <w:rPr>
          <w:rFonts w:hint="eastAsia" w:hAnsi="宋体" w:cs="宋体"/>
          <w:b/>
          <w:bCs/>
          <w:szCs w:val="21"/>
          <w:lang w:val="en-GB"/>
        </w:rPr>
        <w:t>*</w:t>
      </w:r>
      <w:r>
        <w:rPr>
          <w:rFonts w:hint="eastAsia" w:hAnsi="宋体"/>
          <w:b/>
          <w:bCs/>
          <w:szCs w:val="21"/>
          <w:lang w:val="en-GB"/>
        </w:rPr>
        <w:t>3.请投标人正确填写本表，所填内容将作为评分的依据（以“小型、微型企业产品金额合计”为准进行价格折扣，表中所填内容或数据必须与相应的证明资料相符，如出现不相符或未提供证明资料予以证明的，该小型、微型企业产品合计金额将不予以享受小微企业扶持政策优惠）。</w:t>
      </w:r>
    </w:p>
    <w:p>
      <w:pPr>
        <w:snapToGrid w:val="0"/>
        <w:spacing w:before="50" w:after="50" w:line="360" w:lineRule="auto"/>
        <w:jc w:val="left"/>
        <w:rPr>
          <w:rFonts w:ascii="宋体" w:hAnsi="宋体"/>
          <w:szCs w:val="21"/>
        </w:rPr>
      </w:pPr>
      <w:r>
        <w:rPr>
          <w:rFonts w:ascii="宋体" w:hAnsi="宋体"/>
          <w:szCs w:val="21"/>
        </w:rPr>
        <w:br w:type="page"/>
      </w:r>
    </w:p>
    <w:p>
      <w:pPr>
        <w:pStyle w:val="7"/>
        <w:tabs>
          <w:tab w:val="left" w:pos="2472"/>
        </w:tabs>
        <w:snapToGrid w:val="0"/>
        <w:spacing w:before="120" w:after="120" w:line="440" w:lineRule="exact"/>
        <w:ind w:right="44" w:firstLine="826" w:firstLineChars="257"/>
        <w:jc w:val="center"/>
        <w:outlineLvl w:val="0"/>
        <w:rPr>
          <w:rFonts w:hAnsi="宋体"/>
          <w:b/>
          <w:sz w:val="32"/>
          <w:szCs w:val="32"/>
        </w:rPr>
      </w:pPr>
      <w:bookmarkStart w:id="119" w:name="_Toc14085"/>
      <w:r>
        <w:rPr>
          <w:b/>
          <w:sz w:val="32"/>
          <w:szCs w:val="32"/>
        </w:rPr>
        <w:t>第</w:t>
      </w:r>
      <w:r>
        <w:rPr>
          <w:rFonts w:hint="eastAsia"/>
          <w:b/>
          <w:sz w:val="32"/>
          <w:szCs w:val="32"/>
        </w:rPr>
        <w:t>六章</w:t>
      </w:r>
      <w:r>
        <w:rPr>
          <w:b/>
          <w:sz w:val="32"/>
          <w:szCs w:val="32"/>
        </w:rPr>
        <w:t>　</w:t>
      </w:r>
      <w:r>
        <w:rPr>
          <w:rFonts w:hint="eastAsia"/>
          <w:b/>
          <w:sz w:val="32"/>
          <w:szCs w:val="32"/>
        </w:rPr>
        <w:t xml:space="preserve">  谈判</w:t>
      </w:r>
      <w:r>
        <w:rPr>
          <w:b/>
          <w:sz w:val="32"/>
          <w:szCs w:val="32"/>
        </w:rPr>
        <w:t>文件格式</w:t>
      </w:r>
      <w:bookmarkEnd w:id="119"/>
    </w:p>
    <w:p>
      <w:pPr>
        <w:snapToGrid w:val="0"/>
        <w:spacing w:before="50" w:after="50" w:line="440" w:lineRule="exact"/>
        <w:ind w:right="44"/>
        <w:rPr>
          <w:rFonts w:eastAsia="仿宋_GB2312"/>
          <w:sz w:val="32"/>
          <w:szCs w:val="20"/>
        </w:rPr>
      </w:pPr>
    </w:p>
    <w:p>
      <w:pPr>
        <w:spacing w:line="360" w:lineRule="auto"/>
        <w:outlineLvl w:val="1"/>
        <w:rPr>
          <w:rFonts w:ascii="宋体" w:hAnsi="宋体"/>
          <w:b/>
          <w:color w:val="000000"/>
          <w:sz w:val="28"/>
        </w:rPr>
      </w:pPr>
      <w:bookmarkStart w:id="120" w:name="_Toc25408"/>
      <w:r>
        <w:rPr>
          <w:rFonts w:hint="eastAsia" w:ascii="宋体"/>
          <w:b/>
          <w:color w:val="000000"/>
          <w:sz w:val="24"/>
          <w:lang w:val="zh-CN"/>
        </w:rPr>
        <w:t>投标文件封面</w:t>
      </w:r>
      <w:bookmarkEnd w:id="120"/>
    </w:p>
    <w:p>
      <w:pPr>
        <w:spacing w:line="360" w:lineRule="auto"/>
        <w:outlineLvl w:val="1"/>
        <w:rPr>
          <w:rFonts w:ascii="宋体" w:hAnsi="宋体"/>
          <w:b/>
          <w:color w:val="000000"/>
          <w:sz w:val="28"/>
        </w:rPr>
      </w:pPr>
    </w:p>
    <w:p>
      <w:pPr>
        <w:spacing w:line="360" w:lineRule="auto"/>
        <w:outlineLvl w:val="1"/>
        <w:rPr>
          <w:rFonts w:ascii="宋体" w:hAnsi="宋体"/>
          <w:b/>
          <w:color w:val="000000"/>
          <w:sz w:val="28"/>
        </w:rPr>
      </w:pPr>
    </w:p>
    <w:p>
      <w:pPr>
        <w:spacing w:line="360" w:lineRule="auto"/>
        <w:jc w:val="center"/>
        <w:rPr>
          <w:rFonts w:ascii="宋体" w:hAnsi="宋体"/>
          <w:color w:val="000000"/>
          <w:sz w:val="84"/>
        </w:rPr>
      </w:pPr>
      <w:r>
        <w:rPr>
          <w:rFonts w:hint="eastAsia" w:ascii="宋体" w:hAnsi="宋体"/>
          <w:color w:val="000000"/>
          <w:sz w:val="84"/>
        </w:rPr>
        <w:t>投 标 文 件</w:t>
      </w:r>
    </w:p>
    <w:p>
      <w:pPr>
        <w:pStyle w:val="8"/>
        <w:spacing w:line="360" w:lineRule="auto"/>
        <w:ind w:right="280"/>
        <w:jc w:val="center"/>
        <w:rPr>
          <w:b/>
          <w:sz w:val="28"/>
        </w:rPr>
      </w:pPr>
      <w:r>
        <w:rPr>
          <w:rFonts w:hint="eastAsia"/>
          <w:b/>
          <w:sz w:val="28"/>
          <w:szCs w:val="22"/>
          <w:lang w:val="zh-CN"/>
        </w:rPr>
        <w:t>“</w:t>
      </w:r>
      <w:r>
        <w:rPr>
          <w:rFonts w:hint="eastAsia"/>
          <w:b/>
          <w:sz w:val="28"/>
          <w:szCs w:val="22"/>
        </w:rPr>
        <w:t>技术文件”或“报价文件”</w:t>
      </w:r>
      <w:r>
        <w:rPr>
          <w:rFonts w:hint="eastAsia"/>
          <w:b/>
          <w:sz w:val="28"/>
        </w:rPr>
        <w:t>（请选择）</w:t>
      </w:r>
    </w:p>
    <w:p>
      <w:pPr>
        <w:pStyle w:val="8"/>
        <w:spacing w:line="360" w:lineRule="auto"/>
        <w:ind w:right="280"/>
        <w:jc w:val="center"/>
        <w:rPr>
          <w:b/>
          <w:color w:val="FF0000"/>
          <w:sz w:val="28"/>
        </w:rPr>
      </w:pPr>
      <w:r>
        <w:rPr>
          <w:rFonts w:hint="eastAsia"/>
          <w:b/>
          <w:sz w:val="28"/>
        </w:rPr>
        <w:t>正本或副本（请选择）</w:t>
      </w:r>
    </w:p>
    <w:p>
      <w:pPr>
        <w:pStyle w:val="7"/>
        <w:spacing w:line="360" w:lineRule="auto"/>
        <w:jc w:val="center"/>
        <w:rPr>
          <w:rFonts w:ascii="Times New Roman" w:hAnsi="Times New Roman"/>
          <w:b/>
          <w:color w:val="000000"/>
          <w:sz w:val="28"/>
        </w:rPr>
      </w:pPr>
      <w:r>
        <w:rPr>
          <w:rFonts w:hint="eastAsia" w:ascii="Times New Roman" w:hAnsi="Times New Roman"/>
          <w:b/>
          <w:color w:val="000000"/>
          <w:sz w:val="28"/>
        </w:rPr>
        <w:t>标项号（如有）</w:t>
      </w:r>
    </w:p>
    <w:p>
      <w:pPr>
        <w:pStyle w:val="7"/>
        <w:spacing w:line="360" w:lineRule="auto"/>
        <w:jc w:val="center"/>
        <w:rPr>
          <w:rFonts w:ascii="Times New Roman" w:hAnsi="Times New Roman"/>
          <w:b/>
          <w:color w:val="000000"/>
          <w:sz w:val="28"/>
        </w:rPr>
      </w:pPr>
    </w:p>
    <w:p>
      <w:pPr>
        <w:pStyle w:val="7"/>
        <w:spacing w:line="360" w:lineRule="auto"/>
        <w:jc w:val="center"/>
        <w:rPr>
          <w:rFonts w:ascii="Times New Roman" w:hAnsi="Times New Roman"/>
          <w:b/>
          <w:color w:val="000000"/>
          <w:sz w:val="28"/>
        </w:rPr>
      </w:pPr>
    </w:p>
    <w:p>
      <w:pPr>
        <w:pStyle w:val="7"/>
        <w:spacing w:line="360" w:lineRule="auto"/>
        <w:jc w:val="center"/>
        <w:rPr>
          <w:rFonts w:hAnsi="宋体"/>
          <w:b/>
          <w:bCs/>
          <w:color w:val="000000"/>
          <w:sz w:val="28"/>
          <w:szCs w:val="28"/>
        </w:rPr>
      </w:pPr>
      <w:r>
        <w:rPr>
          <w:rFonts w:hAnsi="宋体"/>
          <w:b/>
          <w:bCs/>
          <w:color w:val="000000"/>
          <w:sz w:val="28"/>
          <w:szCs w:val="28"/>
          <w:lang w:val="zh-CN"/>
        </w:rPr>
        <w:t>项目编号:</w:t>
      </w:r>
    </w:p>
    <w:p>
      <w:pPr>
        <w:pStyle w:val="7"/>
        <w:spacing w:line="360" w:lineRule="auto"/>
        <w:jc w:val="center"/>
        <w:rPr>
          <w:rFonts w:hAnsi="宋体"/>
          <w:b/>
          <w:bCs/>
          <w:color w:val="000000"/>
          <w:sz w:val="28"/>
          <w:szCs w:val="28"/>
        </w:rPr>
      </w:pPr>
      <w:r>
        <w:rPr>
          <w:rFonts w:hAnsi="宋体"/>
          <w:b/>
          <w:bCs/>
          <w:color w:val="000000"/>
          <w:sz w:val="28"/>
          <w:szCs w:val="28"/>
          <w:lang w:val="zh-CN"/>
        </w:rPr>
        <w:t>项目名称：</w:t>
      </w:r>
    </w:p>
    <w:p>
      <w:pPr>
        <w:spacing w:line="360" w:lineRule="auto"/>
        <w:ind w:firstLine="2744" w:firstLineChars="980"/>
        <w:jc w:val="left"/>
        <w:rPr>
          <w:rFonts w:ascii="宋体" w:hAnsi="宋体"/>
          <w:color w:val="000000"/>
          <w:sz w:val="28"/>
          <w:szCs w:val="44"/>
        </w:rPr>
      </w:pPr>
    </w:p>
    <w:p>
      <w:pPr>
        <w:spacing w:line="360" w:lineRule="auto"/>
        <w:ind w:firstLine="2744" w:firstLineChars="980"/>
        <w:jc w:val="left"/>
        <w:rPr>
          <w:rFonts w:ascii="宋体" w:hAnsi="宋体"/>
          <w:color w:val="000000"/>
          <w:sz w:val="28"/>
          <w:szCs w:val="44"/>
        </w:rPr>
      </w:pPr>
    </w:p>
    <w:p>
      <w:pPr>
        <w:spacing w:line="360" w:lineRule="auto"/>
        <w:jc w:val="left"/>
        <w:rPr>
          <w:rFonts w:ascii="宋体" w:hAnsi="宋体"/>
          <w:b/>
          <w:color w:val="000000"/>
          <w:sz w:val="28"/>
          <w:szCs w:val="44"/>
        </w:rPr>
      </w:pPr>
    </w:p>
    <w:p>
      <w:pPr>
        <w:spacing w:line="360" w:lineRule="auto"/>
        <w:ind w:firstLine="1546" w:firstLineChars="550"/>
        <w:jc w:val="left"/>
        <w:rPr>
          <w:rFonts w:ascii="宋体" w:hAnsi="宋体"/>
          <w:b/>
          <w:color w:val="000000"/>
          <w:sz w:val="28"/>
          <w:szCs w:val="44"/>
          <w:u w:val="single"/>
        </w:rPr>
      </w:pPr>
      <w:r>
        <w:rPr>
          <w:rFonts w:hint="eastAsia" w:ascii="宋体" w:hAnsi="宋体"/>
          <w:b/>
          <w:color w:val="000000"/>
          <w:sz w:val="28"/>
          <w:szCs w:val="44"/>
        </w:rPr>
        <w:t>投标人：（盖单位章）</w:t>
      </w:r>
    </w:p>
    <w:p>
      <w:pPr>
        <w:spacing w:line="360" w:lineRule="auto"/>
        <w:ind w:firstLine="1546" w:firstLineChars="550"/>
        <w:jc w:val="left"/>
        <w:rPr>
          <w:rFonts w:ascii="宋体" w:hAnsi="宋体"/>
          <w:b/>
          <w:color w:val="000000"/>
          <w:sz w:val="28"/>
          <w:szCs w:val="44"/>
          <w:u w:val="single"/>
        </w:rPr>
      </w:pPr>
      <w:r>
        <w:rPr>
          <w:rFonts w:hint="eastAsia" w:ascii="宋体" w:hAnsi="宋体"/>
          <w:b/>
          <w:color w:val="000000"/>
          <w:sz w:val="28"/>
          <w:szCs w:val="44"/>
        </w:rPr>
        <w:t>法定代表人或全权代表：（盖章或签字）</w:t>
      </w:r>
    </w:p>
    <w:p>
      <w:pPr>
        <w:spacing w:line="360" w:lineRule="auto"/>
        <w:ind w:firstLine="1968" w:firstLineChars="700"/>
        <w:jc w:val="left"/>
        <w:rPr>
          <w:rFonts w:ascii="宋体" w:hAnsi="宋体"/>
          <w:b/>
          <w:color w:val="000000"/>
          <w:sz w:val="28"/>
        </w:rPr>
      </w:pPr>
    </w:p>
    <w:p>
      <w:pPr>
        <w:spacing w:line="360" w:lineRule="auto"/>
        <w:ind w:firstLine="2811" w:firstLineChars="1000"/>
        <w:jc w:val="left"/>
        <w:rPr>
          <w:rFonts w:ascii="宋体" w:hAnsi="宋体"/>
          <w:b/>
          <w:color w:val="000000"/>
          <w:sz w:val="28"/>
        </w:rPr>
      </w:pPr>
      <w:r>
        <w:rPr>
          <w:rFonts w:hint="eastAsia" w:ascii="宋体" w:hAnsi="宋体"/>
          <w:b/>
          <w:color w:val="000000"/>
          <w:sz w:val="28"/>
        </w:rPr>
        <w:t>二  0一 九  年  月  日</w:t>
      </w:r>
    </w:p>
    <w:p>
      <w:pPr>
        <w:spacing w:line="360" w:lineRule="auto"/>
        <w:jc w:val="left"/>
        <w:rPr>
          <w:rFonts w:ascii="宋体" w:hAnsi="宋体"/>
          <w:b/>
          <w:color w:val="000000"/>
          <w:sz w:val="28"/>
        </w:rPr>
      </w:pPr>
    </w:p>
    <w:p>
      <w:pPr>
        <w:spacing w:line="360" w:lineRule="auto"/>
        <w:jc w:val="left"/>
        <w:outlineLvl w:val="1"/>
        <w:rPr>
          <w:rFonts w:ascii="宋体" w:hAnsi="宋体"/>
          <w:b/>
          <w:bCs/>
          <w:color w:val="000000"/>
          <w:sz w:val="28"/>
          <w:szCs w:val="28"/>
        </w:rPr>
      </w:pPr>
      <w:r>
        <w:rPr>
          <w:rFonts w:hAnsi="宋体"/>
          <w:b/>
          <w:color w:val="000000"/>
          <w:sz w:val="24"/>
        </w:rPr>
        <w:br w:type="page"/>
      </w:r>
      <w:bookmarkStart w:id="121" w:name="_Toc13806"/>
      <w:r>
        <w:rPr>
          <w:rFonts w:hint="eastAsia" w:hAnsi="宋体"/>
          <w:b/>
          <w:color w:val="000000"/>
          <w:sz w:val="24"/>
        </w:rPr>
        <w:t>外包装封面</w:t>
      </w:r>
      <w:bookmarkEnd w:id="121"/>
    </w:p>
    <w:p>
      <w:pPr>
        <w:spacing w:line="360" w:lineRule="auto"/>
        <w:jc w:val="left"/>
        <w:rPr>
          <w:rFonts w:ascii="宋体" w:hAnsi="宋体"/>
          <w:b/>
          <w:color w:val="000000"/>
          <w:sz w:val="30"/>
          <w:szCs w:val="30"/>
        </w:rPr>
      </w:pPr>
    </w:p>
    <w:p>
      <w:pPr>
        <w:spacing w:line="360" w:lineRule="auto"/>
        <w:jc w:val="left"/>
        <w:rPr>
          <w:rFonts w:ascii="宋体" w:hAnsi="宋体"/>
          <w:b/>
          <w:bCs/>
          <w:color w:val="000000"/>
        </w:rPr>
      </w:pPr>
    </w:p>
    <w:p>
      <w:pPr>
        <w:spacing w:line="360" w:lineRule="auto"/>
        <w:rPr>
          <w:rFonts w:ascii="宋体" w:hAnsi="宋体"/>
          <w:color w:val="000000"/>
          <w:sz w:val="24"/>
          <w:lang w:val="en-GB"/>
        </w:rPr>
      </w:pPr>
    </w:p>
    <w:tbl>
      <w:tblPr>
        <w:tblStyle w:val="15"/>
        <w:tblW w:w="8442" w:type="dxa"/>
        <w:jc w:val="center"/>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44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Ex>
        <w:trPr>
          <w:trHeight w:val="4290" w:hRule="atLeast"/>
          <w:jc w:val="center"/>
        </w:trPr>
        <w:tc>
          <w:tcPr>
            <w:tcW w:w="8442" w:type="dxa"/>
            <w:tcBorders>
              <w:top w:val="double" w:color="666699" w:sz="4" w:space="0"/>
              <w:left w:val="double" w:color="666699" w:sz="4" w:space="0"/>
              <w:bottom w:val="double" w:color="666699" w:sz="4" w:space="0"/>
              <w:right w:val="double" w:color="666699" w:sz="4" w:space="0"/>
            </w:tcBorders>
            <w:shd w:val="clear" w:color="auto" w:fill="FCFEEA"/>
          </w:tcPr>
          <w:p>
            <w:pPr>
              <w:spacing w:line="440" w:lineRule="exact"/>
              <w:jc w:val="center"/>
              <w:rPr>
                <w:rFonts w:ascii="宋体" w:hAnsi="宋体"/>
                <w:b/>
                <w:bCs/>
                <w:color w:val="000000"/>
                <w:sz w:val="28"/>
                <w:szCs w:val="28"/>
              </w:rPr>
            </w:pPr>
          </w:p>
          <w:p>
            <w:pPr>
              <w:spacing w:line="440" w:lineRule="exact"/>
              <w:jc w:val="center"/>
              <w:rPr>
                <w:rFonts w:hAnsi="宋体"/>
                <w:b/>
                <w:color w:val="000000"/>
                <w:sz w:val="28"/>
                <w:szCs w:val="28"/>
              </w:rPr>
            </w:pPr>
            <w:r>
              <w:rPr>
                <w:rFonts w:hint="eastAsia" w:hAnsi="宋体"/>
                <w:b/>
                <w:color w:val="000000"/>
                <w:sz w:val="28"/>
                <w:szCs w:val="28"/>
              </w:rPr>
              <w:t>编号：</w:t>
            </w:r>
          </w:p>
          <w:p>
            <w:pPr>
              <w:spacing w:line="440" w:lineRule="exact"/>
              <w:jc w:val="center"/>
              <w:rPr>
                <w:rFonts w:hAnsi="宋体"/>
                <w:b/>
                <w:color w:val="000000"/>
                <w:sz w:val="28"/>
                <w:szCs w:val="28"/>
              </w:rPr>
            </w:pPr>
            <w:r>
              <w:rPr>
                <w:rFonts w:hint="eastAsia" w:hAnsi="宋体"/>
                <w:b/>
                <w:color w:val="000000"/>
                <w:sz w:val="28"/>
                <w:szCs w:val="28"/>
              </w:rPr>
              <w:t>项目名称：</w:t>
            </w:r>
          </w:p>
          <w:p>
            <w:pPr>
              <w:spacing w:line="440" w:lineRule="exact"/>
              <w:jc w:val="center"/>
              <w:rPr>
                <w:rFonts w:ascii="宋体" w:hAnsi="宋体"/>
                <w:b/>
                <w:bCs/>
                <w:sz w:val="28"/>
                <w:szCs w:val="28"/>
                <w:lang w:val="en-GB"/>
              </w:rPr>
            </w:pPr>
            <w:r>
              <w:rPr>
                <w:rFonts w:hint="eastAsia" w:ascii="宋体" w:hAnsi="宋体"/>
                <w:b/>
                <w:bCs/>
                <w:color w:val="000000"/>
                <w:sz w:val="28"/>
                <w:szCs w:val="28"/>
                <w:lang w:val="en-GB"/>
              </w:rPr>
              <w:t>内容：</w:t>
            </w:r>
            <w:r>
              <w:rPr>
                <w:rFonts w:hint="eastAsia"/>
                <w:b/>
                <w:color w:val="000000"/>
                <w:sz w:val="28"/>
                <w:szCs w:val="22"/>
                <w:lang w:val="zh-CN"/>
              </w:rPr>
              <w:t>“</w:t>
            </w:r>
            <w:r>
              <w:rPr>
                <w:rFonts w:hint="eastAsia"/>
                <w:b/>
                <w:color w:val="000000"/>
                <w:sz w:val="28"/>
                <w:szCs w:val="22"/>
              </w:rPr>
              <w:t>技术文件”或“报价文件”</w:t>
            </w:r>
            <w:r>
              <w:rPr>
                <w:rFonts w:hint="eastAsia"/>
                <w:b/>
                <w:sz w:val="28"/>
                <w:szCs w:val="28"/>
              </w:rPr>
              <w:t>（请选择）</w:t>
            </w:r>
          </w:p>
          <w:p>
            <w:pPr>
              <w:spacing w:line="360" w:lineRule="auto"/>
              <w:jc w:val="center"/>
              <w:rPr>
                <w:rFonts w:ascii="黑体" w:eastAsia="黑体"/>
                <w:b/>
                <w:bCs/>
                <w:sz w:val="28"/>
                <w:szCs w:val="28"/>
              </w:rPr>
            </w:pPr>
          </w:p>
          <w:p>
            <w:pPr>
              <w:spacing w:line="360" w:lineRule="auto"/>
              <w:jc w:val="center"/>
              <w:rPr>
                <w:rFonts w:ascii="黑体" w:eastAsia="黑体"/>
                <w:b/>
                <w:bCs/>
                <w:sz w:val="28"/>
                <w:szCs w:val="28"/>
              </w:rPr>
            </w:pPr>
            <w:r>
              <w:rPr>
                <w:rFonts w:hint="eastAsia" w:ascii="黑体" w:eastAsia="黑体"/>
                <w:b/>
                <w:bCs/>
                <w:sz w:val="28"/>
                <w:szCs w:val="28"/>
              </w:rPr>
              <w:t xml:space="preserve">  正本或副本或正副本</w:t>
            </w:r>
            <w:r>
              <w:rPr>
                <w:rFonts w:hint="eastAsia"/>
                <w:b/>
                <w:sz w:val="28"/>
                <w:szCs w:val="28"/>
              </w:rPr>
              <w:t>（请选择）</w:t>
            </w:r>
          </w:p>
          <w:p>
            <w:pPr>
              <w:spacing w:line="360" w:lineRule="auto"/>
              <w:ind w:left="176" w:leftChars="84" w:firstLine="2670" w:firstLineChars="950"/>
              <w:rPr>
                <w:rFonts w:ascii="宋体" w:hAnsi="宋体"/>
                <w:b/>
                <w:color w:val="000000"/>
                <w:sz w:val="28"/>
                <w:szCs w:val="28"/>
              </w:rPr>
            </w:pPr>
            <w:r>
              <w:rPr>
                <w:rFonts w:hint="eastAsia"/>
                <w:b/>
                <w:color w:val="000000"/>
                <w:sz w:val="28"/>
                <w:szCs w:val="28"/>
              </w:rPr>
              <w:t>标项号（如有）</w:t>
            </w:r>
          </w:p>
          <w:p>
            <w:pPr>
              <w:spacing w:line="360" w:lineRule="auto"/>
              <w:ind w:left="176" w:leftChars="84" w:firstLine="2670" w:firstLineChars="950"/>
              <w:rPr>
                <w:rFonts w:ascii="宋体" w:hAnsi="宋体"/>
                <w:b/>
                <w:color w:val="000000"/>
                <w:sz w:val="28"/>
                <w:szCs w:val="28"/>
              </w:rPr>
            </w:pPr>
          </w:p>
          <w:p>
            <w:pPr>
              <w:spacing w:line="360" w:lineRule="auto"/>
              <w:ind w:firstLine="703" w:firstLineChars="250"/>
              <w:rPr>
                <w:rFonts w:ascii="宋体" w:hAnsi="宋体"/>
                <w:b/>
                <w:color w:val="000000"/>
                <w:sz w:val="28"/>
                <w:szCs w:val="28"/>
                <w:u w:val="single"/>
              </w:rPr>
            </w:pPr>
            <w:r>
              <w:rPr>
                <w:rFonts w:hint="eastAsia" w:ascii="宋体" w:hAnsi="宋体"/>
                <w:b/>
                <w:color w:val="000000"/>
                <w:sz w:val="28"/>
                <w:szCs w:val="28"/>
              </w:rPr>
              <w:t>投标人名称：</w:t>
            </w:r>
          </w:p>
          <w:p>
            <w:pPr>
              <w:spacing w:line="360" w:lineRule="auto"/>
              <w:rPr>
                <w:rFonts w:ascii="宋体" w:hAnsi="宋体"/>
                <w:color w:val="000000"/>
                <w:sz w:val="28"/>
                <w:szCs w:val="28"/>
                <w:u w:val="single"/>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开标时启封</w:t>
            </w:r>
          </w:p>
          <w:p>
            <w:pPr>
              <w:adjustRightInd w:val="0"/>
              <w:snapToGrid w:val="0"/>
              <w:spacing w:line="360" w:lineRule="auto"/>
              <w:rPr>
                <w:rFonts w:ascii="宋体" w:hAnsi="宋体"/>
                <w:color w:val="000000"/>
                <w:sz w:val="28"/>
              </w:rPr>
            </w:pPr>
            <w:r>
              <w:rPr>
                <w:rFonts w:hint="eastAsia" w:ascii="宋体" w:hAnsi="宋体"/>
                <w:b/>
                <w:bCs/>
                <w:color w:val="000000"/>
                <w:sz w:val="28"/>
                <w:szCs w:val="28"/>
              </w:rPr>
              <w:t>提交地点：三门县公共资源交易中心开标室（三门县海游镇广场路22号交通大楼四楼）</w:t>
            </w:r>
          </w:p>
        </w:tc>
      </w:tr>
    </w:tbl>
    <w:p>
      <w:pPr>
        <w:spacing w:afterLines="100" w:line="600" w:lineRule="exact"/>
        <w:rPr>
          <w:rFonts w:ascii="宋体"/>
          <w:spacing w:val="20"/>
          <w:szCs w:val="21"/>
        </w:rPr>
      </w:pPr>
    </w:p>
    <w:p/>
    <w:sectPr>
      <w:headerReference r:id="rId3" w:type="default"/>
      <w:footerReference r:id="rId4" w:type="default"/>
      <w:footerReference r:id="rId5" w:type="even"/>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小标宋">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36</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10</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90"/>
      <w:jc w:val="right"/>
      <w:rPr>
        <w:szCs w:val="18"/>
      </w:rPr>
    </w:pPr>
    <w:r>
      <w:rPr>
        <w:rFonts w:hint="eastAsia"/>
        <w:szCs w:val="18"/>
      </w:rPr>
      <w:t>三门县客运中心及三门湾科创广场周边区块交通规划研究采购项目竞争性磋商文件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6329C4"/>
    <w:multiLevelType w:val="singleLevel"/>
    <w:tmpl w:val="CD6329C4"/>
    <w:lvl w:ilvl="0" w:tentative="0">
      <w:start w:val="1"/>
      <w:numFmt w:val="chineseCounting"/>
      <w:suff w:val="nothing"/>
      <w:lvlText w:val="%1、"/>
      <w:lvlJc w:val="left"/>
      <w:rPr>
        <w:rFonts w:hint="eastAsia"/>
      </w:rPr>
    </w:lvl>
  </w:abstractNum>
  <w:abstractNum w:abstractNumId="1">
    <w:nsid w:val="0000000F"/>
    <w:multiLevelType w:val="multilevel"/>
    <w:tmpl w:val="0000000F"/>
    <w:lvl w:ilvl="0" w:tentative="0">
      <w:start w:val="1"/>
      <w:numFmt w:val="decimalEnclosedCircle"/>
      <w:lvlText w:val="%1"/>
      <w:lvlJc w:val="left"/>
      <w:pPr>
        <w:tabs>
          <w:tab w:val="left" w:pos="920"/>
        </w:tabs>
        <w:ind w:left="920" w:hanging="360"/>
      </w:pPr>
      <w:rPr>
        <w:rFonts w:hint="eastAsia"/>
      </w:rPr>
    </w:lvl>
    <w:lvl w:ilvl="1" w:tentative="0">
      <w:start w:val="3"/>
      <w:numFmt w:val="ideographEnclosedCircle"/>
      <w:lvlText w:val="%2"/>
      <w:lvlJc w:val="left"/>
      <w:pPr>
        <w:tabs>
          <w:tab w:val="left" w:pos="1340"/>
        </w:tabs>
        <w:ind w:left="1340" w:hanging="360"/>
      </w:pPr>
      <w:rPr>
        <w:rFonts w:hint="eastAsia"/>
      </w:rPr>
    </w:lvl>
    <w:lvl w:ilvl="2" w:tentative="0">
      <w:start w:val="1"/>
      <w:numFmt w:val="decimal"/>
      <w:lvlText w:val="%3."/>
      <w:lvlJc w:val="left"/>
      <w:pPr>
        <w:tabs>
          <w:tab w:val="left" w:pos="1760"/>
        </w:tabs>
        <w:ind w:left="1760" w:hanging="360"/>
      </w:pPr>
      <w:rPr>
        <w:rFonts w:hint="eastAsia"/>
      </w:r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014B539A"/>
    <w:multiLevelType w:val="multilevel"/>
    <w:tmpl w:val="014B539A"/>
    <w:lvl w:ilvl="0" w:tentative="0">
      <w:start w:val="1"/>
      <w:numFmt w:val="decimalEnclosedCircle"/>
      <w:lvlText w:val="%1"/>
      <w:lvlJc w:val="left"/>
      <w:pPr>
        <w:tabs>
          <w:tab w:val="left" w:pos="840"/>
        </w:tabs>
        <w:ind w:left="840" w:hanging="360"/>
      </w:pPr>
      <w:rPr>
        <w:rFonts w:hint="default"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EE478C8"/>
    <w:multiLevelType w:val="multilevel"/>
    <w:tmpl w:val="0EE478C8"/>
    <w:lvl w:ilvl="0" w:tentative="0">
      <w:start w:val="1"/>
      <w:numFmt w:val="decimalEnclosedCircle"/>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BEC5D0B"/>
    <w:multiLevelType w:val="multilevel"/>
    <w:tmpl w:val="1BEC5D0B"/>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1C954224"/>
    <w:multiLevelType w:val="multilevel"/>
    <w:tmpl w:val="1C954224"/>
    <w:lvl w:ilvl="0" w:tentative="0">
      <w:start w:val="1"/>
      <w:numFmt w:val="chineseCountingThousand"/>
      <w:lvlText w:val="%1、"/>
      <w:lvlJc w:val="left"/>
      <w:pPr>
        <w:tabs>
          <w:tab w:val="left" w:pos="480"/>
        </w:tabs>
        <w:ind w:left="480" w:hanging="480"/>
      </w:pPr>
      <w:rPr>
        <w:rFonts w:hint="eastAs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41567B2"/>
    <w:multiLevelType w:val="multilevel"/>
    <w:tmpl w:val="241567B2"/>
    <w:lvl w:ilvl="0" w:tentative="0">
      <w:start w:val="1"/>
      <w:numFmt w:val="decimal"/>
      <w:pStyle w:val="3"/>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28BF4E65"/>
    <w:multiLevelType w:val="singleLevel"/>
    <w:tmpl w:val="28BF4E65"/>
    <w:lvl w:ilvl="0" w:tentative="0">
      <w:start w:val="2"/>
      <w:numFmt w:val="decimal"/>
      <w:suff w:val="nothing"/>
      <w:lvlText w:val="（%1）"/>
      <w:lvlJc w:val="left"/>
    </w:lvl>
  </w:abstractNum>
  <w:abstractNum w:abstractNumId="8">
    <w:nsid w:val="36825437"/>
    <w:multiLevelType w:val="multilevel"/>
    <w:tmpl w:val="36825437"/>
    <w:lvl w:ilvl="0" w:tentative="0">
      <w:start w:val="1"/>
      <w:numFmt w:val="decimalEnclosedCircle"/>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9">
    <w:nsid w:val="3F1D774E"/>
    <w:multiLevelType w:val="multilevel"/>
    <w:tmpl w:val="3F1D774E"/>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6"/>
  </w:num>
  <w:num w:numId="2">
    <w:abstractNumId w:val="0"/>
  </w:num>
  <w:num w:numId="3">
    <w:abstractNumId w:val="7"/>
  </w:num>
  <w:num w:numId="4">
    <w:abstractNumId w:val="9"/>
  </w:num>
  <w:num w:numId="5">
    <w:abstractNumId w:val="2"/>
  </w:num>
  <w:num w:numId="6">
    <w:abstractNumId w:val="5"/>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7EC1"/>
    <w:rsid w:val="00015B2A"/>
    <w:rsid w:val="0003233B"/>
    <w:rsid w:val="00111A6E"/>
    <w:rsid w:val="00112BE4"/>
    <w:rsid w:val="0017593C"/>
    <w:rsid w:val="001C336F"/>
    <w:rsid w:val="00245AC9"/>
    <w:rsid w:val="00255D40"/>
    <w:rsid w:val="00324C00"/>
    <w:rsid w:val="003B4E58"/>
    <w:rsid w:val="00541752"/>
    <w:rsid w:val="005941F1"/>
    <w:rsid w:val="005A163E"/>
    <w:rsid w:val="005D25C0"/>
    <w:rsid w:val="0060135E"/>
    <w:rsid w:val="00631361"/>
    <w:rsid w:val="00687EC1"/>
    <w:rsid w:val="006C3552"/>
    <w:rsid w:val="0077632D"/>
    <w:rsid w:val="007F3B86"/>
    <w:rsid w:val="0083282B"/>
    <w:rsid w:val="008B6A10"/>
    <w:rsid w:val="008C5755"/>
    <w:rsid w:val="009710A2"/>
    <w:rsid w:val="009F02E1"/>
    <w:rsid w:val="009F5EC6"/>
    <w:rsid w:val="00A25067"/>
    <w:rsid w:val="00A452E9"/>
    <w:rsid w:val="00A63546"/>
    <w:rsid w:val="00AB21EF"/>
    <w:rsid w:val="00AD1435"/>
    <w:rsid w:val="00B26231"/>
    <w:rsid w:val="00B41DAD"/>
    <w:rsid w:val="00B730A3"/>
    <w:rsid w:val="00B737CC"/>
    <w:rsid w:val="00B80324"/>
    <w:rsid w:val="00B84A32"/>
    <w:rsid w:val="00BE1489"/>
    <w:rsid w:val="00C47F25"/>
    <w:rsid w:val="00C86001"/>
    <w:rsid w:val="00CD3285"/>
    <w:rsid w:val="00CE0885"/>
    <w:rsid w:val="00D035AF"/>
    <w:rsid w:val="00D60F63"/>
    <w:rsid w:val="00DB08CC"/>
    <w:rsid w:val="00F22782"/>
    <w:rsid w:val="00FA4BDF"/>
    <w:rsid w:val="00FB2B23"/>
    <w:rsid w:val="0205285A"/>
    <w:rsid w:val="036F0D56"/>
    <w:rsid w:val="091D04A3"/>
    <w:rsid w:val="107A6446"/>
    <w:rsid w:val="11F47AAF"/>
    <w:rsid w:val="144D210A"/>
    <w:rsid w:val="1B953C25"/>
    <w:rsid w:val="31D87F7D"/>
    <w:rsid w:val="3C0C032A"/>
    <w:rsid w:val="3CE341D4"/>
    <w:rsid w:val="45D26F9E"/>
    <w:rsid w:val="471165BF"/>
    <w:rsid w:val="4BAD2C60"/>
    <w:rsid w:val="4BFC3AE7"/>
    <w:rsid w:val="53494550"/>
    <w:rsid w:val="543A7270"/>
    <w:rsid w:val="54945427"/>
    <w:rsid w:val="586279AB"/>
    <w:rsid w:val="5ACD72B0"/>
    <w:rsid w:val="60363A09"/>
    <w:rsid w:val="64114090"/>
    <w:rsid w:val="6F2D5958"/>
    <w:rsid w:val="70884357"/>
    <w:rsid w:val="70A53869"/>
    <w:rsid w:val="74766E6B"/>
    <w:rsid w:val="74C266A4"/>
    <w:rsid w:val="77862C39"/>
    <w:rsid w:val="79BA5027"/>
    <w:rsid w:val="7AE542C8"/>
    <w:rsid w:val="7FA729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kern w:val="44"/>
      <w:sz w:val="44"/>
    </w:rPr>
  </w:style>
  <w:style w:type="paragraph" w:styleId="4">
    <w:name w:val="heading 2"/>
    <w:basedOn w:val="1"/>
    <w:next w:val="1"/>
    <w:qFormat/>
    <w:uiPriority w:val="9"/>
    <w:pPr>
      <w:keepNext/>
      <w:keepLines/>
      <w:spacing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style>
  <w:style w:type="paragraph" w:styleId="6">
    <w:name w:val="Body Text 3"/>
    <w:basedOn w:val="1"/>
    <w:qFormat/>
    <w:uiPriority w:val="0"/>
    <w:pPr>
      <w:spacing w:after="120"/>
    </w:pPr>
    <w:rPr>
      <w:sz w:val="16"/>
      <w:szCs w:val="16"/>
    </w:rPr>
  </w:style>
  <w:style w:type="paragraph" w:styleId="7">
    <w:name w:val="Plain Text"/>
    <w:basedOn w:val="1"/>
    <w:qFormat/>
    <w:uiPriority w:val="0"/>
    <w:rPr>
      <w:rFonts w:ascii="宋体" w:hAnsi="Courier New"/>
    </w:rPr>
  </w:style>
  <w:style w:type="paragraph" w:styleId="8">
    <w:name w:val="Date"/>
    <w:basedOn w:val="1"/>
    <w:next w:val="1"/>
    <w:qFormat/>
    <w:uiPriority w:val="0"/>
    <w:rPr>
      <w:rFonts w:ascii="宋体"/>
      <w:color w:val="000000"/>
      <w:kern w:val="0"/>
      <w:sz w:val="24"/>
    </w:r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tabs>
        <w:tab w:val="right" w:leader="dot" w:pos="9515"/>
      </w:tabs>
      <w:spacing w:line="440" w:lineRule="exact"/>
    </w:pPr>
    <w:rPr>
      <w:rFonts w:ascii="黑体" w:hAnsi="宋体" w:eastAsia="黑体"/>
    </w:rPr>
  </w:style>
  <w:style w:type="paragraph" w:styleId="13">
    <w:name w:val="toc 2"/>
    <w:basedOn w:val="1"/>
    <w:next w:val="1"/>
    <w:qFormat/>
    <w:uiPriority w:val="0"/>
    <w:pPr>
      <w:tabs>
        <w:tab w:val="right" w:leader="dot" w:pos="9515"/>
      </w:tabs>
      <w:spacing w:line="500" w:lineRule="exact"/>
      <w:ind w:left="420" w:leftChars="200"/>
    </w:pPr>
  </w:style>
  <w:style w:type="paragraph" w:styleId="14">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17">
    <w:name w:val="page number"/>
    <w:basedOn w:val="16"/>
    <w:qFormat/>
    <w:uiPriority w:val="0"/>
  </w:style>
  <w:style w:type="character" w:styleId="18">
    <w:name w:val="Hyperlink"/>
    <w:qFormat/>
    <w:uiPriority w:val="0"/>
    <w:rPr>
      <w:color w:val="0000FF"/>
      <w:u w:val="single"/>
    </w:rPr>
  </w:style>
  <w:style w:type="paragraph" w:customStyle="1" w:styleId="19">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0">
    <w:name w:val="正文_6"/>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1">
    <w:name w:val="正文_1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22">
    <w:name w:val="批注框文本 Char"/>
    <w:basedOn w:val="16"/>
    <w:link w:val="9"/>
    <w:qFormat/>
    <w:uiPriority w:val="0"/>
    <w:rPr>
      <w:rFonts w:asciiTheme="minorHAnsi" w:hAnsiTheme="minorHAnsi" w:eastAsiaTheme="minorEastAsia" w:cstheme="minorBidi"/>
      <w:kern w:val="2"/>
      <w:sz w:val="18"/>
      <w:szCs w:val="18"/>
    </w:rPr>
  </w:style>
  <w:style w:type="character" w:customStyle="1" w:styleId="23">
    <w:name w:val="标题 1 Char"/>
    <w:qFormat/>
    <w:uiPriority w:val="0"/>
    <w:rPr>
      <w:rFonts w:eastAsia="宋体"/>
      <w:b/>
      <w:bCs/>
      <w:kern w:val="44"/>
      <w:sz w:val="44"/>
      <w:szCs w:val="44"/>
      <w:lang w:val="en-US" w:eastAsia="zh-CN" w:bidi="ar-SA"/>
    </w:rPr>
  </w:style>
  <w:style w:type="paragraph" w:customStyle="1" w:styleId="24">
    <w:name w:val=" Char Char Char Char"/>
    <w:basedOn w:val="1"/>
    <w:qFormat/>
    <w:uiPriority w:val="0"/>
    <w:pPr>
      <w:spacing w:line="360" w:lineRule="auto"/>
      <w:ind w:firstLine="200" w:firstLineChars="200"/>
    </w:pPr>
    <w:rPr>
      <w:rFonts w:ascii="宋体" w:hAnsi="宋体" w:eastAsia="Times New Roman" w:cs="Times New Roman"/>
      <w:kern w:val="0"/>
      <w:sz w:val="24"/>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3477</Words>
  <Characters>19824</Characters>
  <Lines>165</Lines>
  <Paragraphs>46</Paragraphs>
  <TotalTime>0</TotalTime>
  <ScaleCrop>false</ScaleCrop>
  <LinksUpToDate>false</LinksUpToDate>
  <CharactersWithSpaces>23255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123</cp:lastModifiedBy>
  <cp:lastPrinted>2019-03-13T05:43:00Z</cp:lastPrinted>
  <dcterms:modified xsi:type="dcterms:W3CDTF">2019-03-20T02:49:22Z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